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9E95E" w14:textId="35B2C819" w:rsidR="0023360E" w:rsidRDefault="0023360E" w:rsidP="0023360E">
      <w:r w:rsidRPr="0023360E">
        <w:rPr>
          <w:noProof/>
        </w:rPr>
        <w:drawing>
          <wp:anchor distT="0" distB="0" distL="114300" distR="114300" simplePos="0" relativeHeight="251658240" behindDoc="0" locked="0" layoutInCell="1" allowOverlap="1" wp14:anchorId="26B34977" wp14:editId="36A9E331">
            <wp:simplePos x="0" y="0"/>
            <wp:positionH relativeFrom="page">
              <wp:posOffset>9525</wp:posOffset>
            </wp:positionH>
            <wp:positionV relativeFrom="paragraph">
              <wp:posOffset>-904875</wp:posOffset>
            </wp:positionV>
            <wp:extent cx="7553325" cy="10658475"/>
            <wp:effectExtent l="0" t="0" r="9525" b="9525"/>
            <wp:wrapNone/>
            <wp:docPr id="1553173216" name="Picture 1" descr="The cover of the IBAC 2022/23 annual report. &#10;&#10;Main image is a purple and white triangle with white text in the centre that says &quot;Annual report 2022/23&quot;. The IBAC logo is in the top left corner of the page which consists of a circle made up of triangles and the phase &quot;Strengthening Victoria's Integrity&qu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173216" name="Picture 1" descr="The cover of the IBAC 2022/23 annual report. &#10;&#10;Main image is a purple and white triangle with white text in the centre that says &quot;Annual report 2022/23&quot;. The IBAC logo is in the top left corner of the page which consists of a circle made up of triangles and the phase &quot;Strengthening Victoria's Integrity&quot;&#10;&#10;Description automatically generated"/>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7553325" cy="10658475"/>
                    </a:xfrm>
                    <a:prstGeom prst="rect">
                      <a:avLst/>
                    </a:prstGeom>
                  </pic:spPr>
                </pic:pic>
              </a:graphicData>
            </a:graphic>
            <wp14:sizeRelH relativeFrom="margin">
              <wp14:pctWidth>0</wp14:pctWidth>
            </wp14:sizeRelH>
            <wp14:sizeRelV relativeFrom="margin">
              <wp14:pctHeight>0</wp14:pctHeight>
            </wp14:sizeRelV>
          </wp:anchor>
        </w:drawing>
      </w:r>
    </w:p>
    <w:p w14:paraId="12E9D4C4" w14:textId="77777777" w:rsidR="0023360E" w:rsidRDefault="0023360E" w:rsidP="0023360E"/>
    <w:p w14:paraId="21BBF729" w14:textId="77777777" w:rsidR="00F14070" w:rsidRDefault="00CA3929" w:rsidP="004B51C5">
      <w:pPr>
        <w:pStyle w:val="ImprintText"/>
      </w:pPr>
      <w:r w:rsidRPr="002F6765">
        <w:t>Authorised and published by the</w:t>
      </w:r>
    </w:p>
    <w:p w14:paraId="70B07167" w14:textId="25900928" w:rsidR="00CA3929" w:rsidRPr="002F6765" w:rsidRDefault="00CA3929" w:rsidP="004B51C5">
      <w:pPr>
        <w:pStyle w:val="ImprintText"/>
      </w:pPr>
      <w:r w:rsidRPr="002F6765">
        <w:t>Independent Broad-based Anti-corruption Commission</w:t>
      </w:r>
    </w:p>
    <w:p w14:paraId="48D0CB3A" w14:textId="77777777" w:rsidR="00F14070" w:rsidRDefault="00CA3929" w:rsidP="004B51C5">
      <w:pPr>
        <w:pStyle w:val="ImprintText"/>
      </w:pPr>
      <w:r w:rsidRPr="002F6765">
        <w:t xml:space="preserve">Level 1, </w:t>
      </w:r>
      <w:r w:rsidR="003E2E19" w:rsidRPr="003E2E19">
        <w:t>North Tower</w:t>
      </w:r>
      <w:r w:rsidR="003E2E19">
        <w:t xml:space="preserve"> </w:t>
      </w:r>
    </w:p>
    <w:p w14:paraId="69AC7411" w14:textId="77777777" w:rsidR="00F14070" w:rsidRDefault="00CA3929" w:rsidP="004B51C5">
      <w:pPr>
        <w:pStyle w:val="ImprintText"/>
      </w:pPr>
      <w:r w:rsidRPr="002F6765">
        <w:t>459 Collins Street</w:t>
      </w:r>
    </w:p>
    <w:p w14:paraId="3BFB7B1F" w14:textId="0D113F0C" w:rsidR="00CA3929" w:rsidRPr="002F6765" w:rsidRDefault="00CA3929" w:rsidP="004B51C5">
      <w:pPr>
        <w:pStyle w:val="ImprintText"/>
      </w:pPr>
      <w:r w:rsidRPr="002F6765">
        <w:t xml:space="preserve">Melbourne </w:t>
      </w:r>
      <w:r w:rsidR="008B7A32" w:rsidRPr="002F6765">
        <w:t xml:space="preserve">VIC </w:t>
      </w:r>
      <w:r w:rsidRPr="002F6765">
        <w:t>3000</w:t>
      </w:r>
    </w:p>
    <w:p w14:paraId="7272283A" w14:textId="1F13F566" w:rsidR="00CD2872" w:rsidRDefault="00CD2872" w:rsidP="00CD2872">
      <w:pPr>
        <w:pStyle w:val="ImprintText"/>
      </w:pPr>
      <w:r w:rsidRPr="002F6765">
        <w:t xml:space="preserve">An accessible version and other formats of this document can be found on our website </w:t>
      </w:r>
      <w:hyperlink r:id="rId12" w:history="1">
        <w:r w:rsidRPr="00544D03">
          <w:rPr>
            <w:rStyle w:val="Hyperlink"/>
          </w:rPr>
          <w:t>www.ibac.vic.gov.au</w:t>
        </w:r>
      </w:hyperlink>
      <w:r w:rsidR="00635612">
        <w:t>.</w:t>
      </w:r>
    </w:p>
    <w:p w14:paraId="0BFBEE21" w14:textId="7A4AA39B" w:rsidR="0038021D" w:rsidRDefault="0038021D" w:rsidP="003E2E19">
      <w:pPr>
        <w:pStyle w:val="ImprintText"/>
      </w:pPr>
    </w:p>
    <w:p w14:paraId="2AAE180C" w14:textId="1324F5F2" w:rsidR="0038021D" w:rsidRPr="003E2E19" w:rsidRDefault="0038021D" w:rsidP="003E2E19">
      <w:pPr>
        <w:pStyle w:val="ImprintText"/>
        <w:rPr>
          <w:rStyle w:val="Characterbold"/>
        </w:rPr>
      </w:pPr>
      <w:r w:rsidRPr="003E2E19">
        <w:rPr>
          <w:rStyle w:val="Characterbold"/>
        </w:rPr>
        <w:t xml:space="preserve">Acknowledgement </w:t>
      </w:r>
    </w:p>
    <w:p w14:paraId="387F091B" w14:textId="58E8D0E5" w:rsidR="0062087D" w:rsidRPr="006237CC" w:rsidRDefault="0038021D" w:rsidP="006237CC">
      <w:pPr>
        <w:pStyle w:val="ImprintText"/>
        <w:sectPr w:rsidR="0062087D" w:rsidRPr="006237CC" w:rsidSect="003B1F10">
          <w:headerReference w:type="even" r:id="rId13"/>
          <w:headerReference w:type="default" r:id="rId14"/>
          <w:footerReference w:type="default" r:id="rId15"/>
          <w:headerReference w:type="first" r:id="rId16"/>
          <w:pgSz w:w="11907" w:h="16839" w:code="9"/>
          <w:pgMar w:top="1440" w:right="1440" w:bottom="1440" w:left="1440" w:header="680" w:footer="720" w:gutter="0"/>
          <w:pgNumType w:fmt="lowerRoman" w:start="1"/>
          <w:cols w:space="720"/>
          <w:docGrid w:linePitch="360"/>
        </w:sectPr>
      </w:pPr>
      <w:r>
        <w:t xml:space="preserve">IBAC acknowledges the Traditional Custodians of the lands on which we work and pays respect to Elders past, present and emerging. We recognise and celebrate the diversity of Aboriginal </w:t>
      </w:r>
      <w:r w:rsidR="005B52BD">
        <w:t xml:space="preserve">and Torres Strait Islander </w:t>
      </w:r>
      <w:r>
        <w:t xml:space="preserve">peoples and their ongoing cultures and connections to the lands and waters of Victoria. </w:t>
      </w:r>
    </w:p>
    <w:p w14:paraId="75211784" w14:textId="28B8596D" w:rsidR="00367078" w:rsidRPr="002F6765" w:rsidRDefault="00367078">
      <w:pPr>
        <w:pStyle w:val="Heading1unnumbered"/>
      </w:pPr>
      <w:r w:rsidRPr="002F6765">
        <w:lastRenderedPageBreak/>
        <w:t>Responsible body’s declaration</w:t>
      </w:r>
    </w:p>
    <w:p w14:paraId="300A2B65" w14:textId="7736C761" w:rsidR="00367078" w:rsidRPr="002F6765" w:rsidRDefault="00367078" w:rsidP="0026288D">
      <w:pPr>
        <w:pStyle w:val="ImprintText"/>
        <w:rPr>
          <w:lang w:eastAsia="en-AU"/>
        </w:rPr>
      </w:pPr>
      <w:r w:rsidRPr="002F6765">
        <w:rPr>
          <w:lang w:eastAsia="en-AU"/>
        </w:rPr>
        <w:t xml:space="preserve">In accordance with </w:t>
      </w:r>
      <w:r w:rsidRPr="0026288D">
        <w:t>the</w:t>
      </w:r>
      <w:r w:rsidRPr="002F6765">
        <w:rPr>
          <w:lang w:eastAsia="en-AU"/>
        </w:rPr>
        <w:t xml:space="preserve"> </w:t>
      </w:r>
      <w:r w:rsidRPr="00971224">
        <w:rPr>
          <w:rStyle w:val="Characteritalic"/>
        </w:rPr>
        <w:t>Financial Management Act 1994</w:t>
      </w:r>
      <w:r w:rsidR="00CC17C3">
        <w:rPr>
          <w:rStyle w:val="Characteritalic"/>
        </w:rPr>
        <w:t xml:space="preserve"> </w:t>
      </w:r>
      <w:r w:rsidR="00CC17C3" w:rsidRPr="001847E8">
        <w:t>(Vic)</w:t>
      </w:r>
      <w:r w:rsidRPr="002F6765">
        <w:rPr>
          <w:lang w:eastAsia="en-AU"/>
        </w:rPr>
        <w:t xml:space="preserve">, the </w:t>
      </w:r>
      <w:r w:rsidRPr="00971224">
        <w:rPr>
          <w:rStyle w:val="Characteritalic"/>
        </w:rPr>
        <w:t>Independent Broad-based Anti-corruption Commission Act</w:t>
      </w:r>
      <w:r w:rsidRPr="007211D6">
        <w:rPr>
          <w:rStyle w:val="BodyTextChar"/>
        </w:rPr>
        <w:t xml:space="preserve"> 2011</w:t>
      </w:r>
      <w:r w:rsidR="00CC17C3" w:rsidRPr="007211D6">
        <w:rPr>
          <w:rStyle w:val="BodyTextChar"/>
        </w:rPr>
        <w:t xml:space="preserve"> </w:t>
      </w:r>
      <w:r w:rsidR="00CC17C3" w:rsidRPr="001847E8">
        <w:t>(Vic)</w:t>
      </w:r>
      <w:r w:rsidRPr="002F6765">
        <w:rPr>
          <w:lang w:eastAsia="en-AU"/>
        </w:rPr>
        <w:t xml:space="preserve"> and the </w:t>
      </w:r>
      <w:r w:rsidRPr="00971224">
        <w:rPr>
          <w:rStyle w:val="Characteritalic"/>
        </w:rPr>
        <w:t>Public Interest Disclosures Act 2012</w:t>
      </w:r>
      <w:r w:rsidR="00F40D7D">
        <w:rPr>
          <w:rStyle w:val="Characteritalic"/>
        </w:rPr>
        <w:t xml:space="preserve"> </w:t>
      </w:r>
      <w:r w:rsidR="00F40D7D" w:rsidRPr="001847E8">
        <w:t>(Vic)</w:t>
      </w:r>
      <w:r w:rsidRPr="00F73C9A">
        <w:t>,</w:t>
      </w:r>
      <w:r w:rsidRPr="002F6765">
        <w:rPr>
          <w:lang w:eastAsia="en-AU"/>
        </w:rPr>
        <w:t xml:space="preserve"> I am pleased to present the Independent Broad-based Anti-corruption Commission’s annual report for the year ending 30 June 202</w:t>
      </w:r>
      <w:r w:rsidR="00E529FB">
        <w:rPr>
          <w:lang w:eastAsia="en-AU"/>
        </w:rPr>
        <w:t>3</w:t>
      </w:r>
      <w:r w:rsidRPr="002F6765">
        <w:rPr>
          <w:lang w:eastAsia="en-AU"/>
        </w:rPr>
        <w:t>.</w:t>
      </w:r>
    </w:p>
    <w:p w14:paraId="0B057BAD" w14:textId="65B407C4" w:rsidR="00367078" w:rsidRPr="002F6765" w:rsidRDefault="00F31239" w:rsidP="00971224">
      <w:pPr>
        <w:pStyle w:val="Image"/>
      </w:pPr>
      <w:sdt>
        <w:sdtPr>
          <w:rPr>
            <w:noProof/>
          </w:rPr>
          <w:alias w:val="Signature"/>
          <w:tag w:val="Signature"/>
          <w:id w:val="-1383706858"/>
          <w:picture/>
        </w:sdtPr>
        <w:sdtEndPr/>
        <w:sdtContent>
          <w:r w:rsidR="00C31EB6">
            <w:rPr>
              <w:noProof/>
            </w:rPr>
            <w:drawing>
              <wp:inline distT="0" distB="0" distL="0" distR="0" wp14:anchorId="469ACD2F" wp14:editId="2E33AE75">
                <wp:extent cx="952560" cy="278640"/>
                <wp:effectExtent l="0" t="0" r="0" b="7620"/>
                <wp:docPr id="1263261320" name="Picture 1263261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61320" name="Picture 126326132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52560" cy="278640"/>
                        </a:xfrm>
                        <a:prstGeom prst="rect">
                          <a:avLst/>
                        </a:prstGeom>
                        <a:noFill/>
                        <a:ln>
                          <a:noFill/>
                        </a:ln>
                      </pic:spPr>
                    </pic:pic>
                  </a:graphicData>
                </a:graphic>
              </wp:inline>
            </w:drawing>
          </w:r>
        </w:sdtContent>
      </w:sdt>
    </w:p>
    <w:p w14:paraId="40E67BBC" w14:textId="63A34594" w:rsidR="0085504F" w:rsidRPr="0085504F" w:rsidRDefault="0085504F" w:rsidP="0085504F">
      <w:pPr>
        <w:pStyle w:val="ImprintText"/>
        <w:rPr>
          <w:rStyle w:val="Characterbold"/>
        </w:rPr>
      </w:pPr>
      <w:r w:rsidRPr="0085504F">
        <w:rPr>
          <w:rStyle w:val="Characterbold"/>
        </w:rPr>
        <w:t>Stephen Farrow</w:t>
      </w:r>
    </w:p>
    <w:p w14:paraId="17F24DE6" w14:textId="6F352BFE" w:rsidR="00E15D5C" w:rsidRDefault="0085504F" w:rsidP="00E15D5C">
      <w:pPr>
        <w:pStyle w:val="ImprintText"/>
      </w:pPr>
      <w:r>
        <w:rPr>
          <w:lang w:eastAsia="en-AU"/>
        </w:rPr>
        <w:t xml:space="preserve">Acting </w:t>
      </w:r>
      <w:r w:rsidR="00E15D5C" w:rsidRPr="002F6765">
        <w:rPr>
          <w:lang w:eastAsia="en-AU"/>
        </w:rPr>
        <w:t>Commissioner</w:t>
      </w:r>
    </w:p>
    <w:p w14:paraId="45A339D6" w14:textId="77777777" w:rsidR="00E15D5C" w:rsidRPr="002F6765" w:rsidRDefault="00E15D5C" w:rsidP="00E15D5C">
      <w:pPr>
        <w:pStyle w:val="ImprintText"/>
        <w:rPr>
          <w:lang w:eastAsia="en-AU"/>
        </w:rPr>
      </w:pPr>
      <w:r w:rsidRPr="002F6765">
        <w:rPr>
          <w:lang w:eastAsia="en-AU"/>
        </w:rPr>
        <w:t xml:space="preserve">Independent </w:t>
      </w:r>
      <w:r w:rsidRPr="00971224">
        <w:t>Broad</w:t>
      </w:r>
      <w:r w:rsidRPr="002F6765">
        <w:rPr>
          <w:lang w:eastAsia="en-AU"/>
        </w:rPr>
        <w:t>-based Anti-corruption Commission</w:t>
      </w:r>
    </w:p>
    <w:p w14:paraId="10D63F93" w14:textId="1C5D7D91" w:rsidR="00D84446" w:rsidRPr="00C71598" w:rsidRDefault="00F31239" w:rsidP="00E15D5C">
      <w:pPr>
        <w:pStyle w:val="ImprintText"/>
        <w:rPr>
          <w:lang w:eastAsia="en-AU"/>
        </w:rPr>
      </w:pPr>
      <w:sdt>
        <w:sdtPr>
          <w:id w:val="-1932111386"/>
          <w:placeholder>
            <w:docPart w:val="17B11BCEEAB84542851C414CD695CB96"/>
          </w:placeholder>
          <w:date w:fullDate="2023-09-07T00:00:00Z">
            <w:dateFormat w:val="d MMMM yyyy"/>
            <w:lid w:val="en-AU"/>
            <w:storeMappedDataAs w:val="dateTime"/>
            <w:calendar w:val="gregorian"/>
          </w:date>
        </w:sdtPr>
        <w:sdtEndPr/>
        <w:sdtContent>
          <w:r w:rsidR="004D2EB2">
            <w:t>7 September 2023</w:t>
          </w:r>
        </w:sdtContent>
      </w:sdt>
      <w:r w:rsidR="00D84446" w:rsidRPr="00C71598">
        <w:br w:type="page"/>
      </w:r>
    </w:p>
    <w:p w14:paraId="5C0D7067" w14:textId="7D7BC8E0" w:rsidR="001D15A6" w:rsidRPr="002F6765" w:rsidRDefault="001D15A6">
      <w:pPr>
        <w:pStyle w:val="Heading1unnumbered"/>
      </w:pPr>
      <w:r w:rsidRPr="002F6765">
        <w:lastRenderedPageBreak/>
        <w:t xml:space="preserve">About this </w:t>
      </w:r>
      <w:r w:rsidRPr="00971224">
        <w:t>report</w:t>
      </w:r>
    </w:p>
    <w:p w14:paraId="7C34813C" w14:textId="220D4A46" w:rsidR="00906217" w:rsidRDefault="00906217" w:rsidP="00906217">
      <w:pPr>
        <w:pStyle w:val="BodyText"/>
      </w:pPr>
      <w:r>
        <w:t xml:space="preserve">This Independent Broad-based Anti-corruption Commission (IBAC) annual report describes operational and financial performance, achievements and </w:t>
      </w:r>
      <w:r w:rsidR="00994FA7">
        <w:t xml:space="preserve">work undertaken in </w:t>
      </w:r>
      <w:r w:rsidR="000A1691">
        <w:t>2022/23</w:t>
      </w:r>
      <w:r w:rsidR="00994FA7">
        <w:t xml:space="preserve"> </w:t>
      </w:r>
      <w:r>
        <w:t xml:space="preserve">to </w:t>
      </w:r>
      <w:r w:rsidR="00F24369">
        <w:t>prevent and expose</w:t>
      </w:r>
      <w:r w:rsidR="009D7FAF">
        <w:t xml:space="preserve"> </w:t>
      </w:r>
      <w:r>
        <w:t>public sector corruption and police misconduct.</w:t>
      </w:r>
    </w:p>
    <w:p w14:paraId="116B8488" w14:textId="44F6DE80" w:rsidR="00906217" w:rsidRDefault="00906217" w:rsidP="00906217">
      <w:pPr>
        <w:pStyle w:val="BodyText"/>
      </w:pPr>
      <w:r>
        <w:t>This report is an essential accountability document for IBAC</w:t>
      </w:r>
      <w:r w:rsidR="00184821">
        <w:t>. It</w:t>
      </w:r>
      <w:r w:rsidR="004C280F">
        <w:t xml:space="preserve"> is</w:t>
      </w:r>
      <w:r>
        <w:t xml:space="preserve"> one way we report on our activities and results to our stakeholders: the </w:t>
      </w:r>
      <w:r w:rsidR="001744B6">
        <w:t xml:space="preserve">Victorian </w:t>
      </w:r>
      <w:r>
        <w:t>Parliament, Victoria Police, public sector leaders and employees, and the Victorian community.</w:t>
      </w:r>
    </w:p>
    <w:p w14:paraId="03321C48" w14:textId="41451AF3" w:rsidR="00906217" w:rsidRDefault="00906217" w:rsidP="00906217">
      <w:pPr>
        <w:pStyle w:val="BodyText"/>
      </w:pPr>
      <w:r>
        <w:t>We report in accordance with the</w:t>
      </w:r>
      <w:r w:rsidRPr="007577F7">
        <w:t xml:space="preserve"> </w:t>
      </w:r>
      <w:r w:rsidR="007577F7" w:rsidRPr="007577F7">
        <w:t>FM Act</w:t>
      </w:r>
      <w:r>
        <w:t xml:space="preserve">, the </w:t>
      </w:r>
      <w:r w:rsidRPr="0089526F">
        <w:rPr>
          <w:rStyle w:val="Characteritalic"/>
        </w:rPr>
        <w:t>Independent Broad-based Anti-corruption Commission Act 2011</w:t>
      </w:r>
      <w:r>
        <w:t xml:space="preserve"> (IBAC Act) and the </w:t>
      </w:r>
      <w:r w:rsidRPr="009A74C9">
        <w:rPr>
          <w:rStyle w:val="Characteritalic"/>
        </w:rPr>
        <w:t>Public Interest Disclosures Act 2012</w:t>
      </w:r>
      <w:r>
        <w:t xml:space="preserve"> (PID Act).</w:t>
      </w:r>
    </w:p>
    <w:p w14:paraId="3621E5F9" w14:textId="54CEFF62" w:rsidR="00906217" w:rsidRDefault="00B31C05" w:rsidP="00906217">
      <w:pPr>
        <w:pStyle w:val="BodyText"/>
      </w:pPr>
      <w:r>
        <w:t>For t</w:t>
      </w:r>
      <w:r w:rsidR="00906217">
        <w:t>his reporting period</w:t>
      </w:r>
      <w:r>
        <w:t>,</w:t>
      </w:r>
      <w:r w:rsidR="00906217">
        <w:t xml:space="preserve"> we have improved the structure of th</w:t>
      </w:r>
      <w:r>
        <w:t>e</w:t>
      </w:r>
      <w:r w:rsidR="00906217">
        <w:t xml:space="preserve"> report. </w:t>
      </w:r>
      <w:r w:rsidR="48D7A8B2">
        <w:t>These improve</w:t>
      </w:r>
      <w:r w:rsidR="093304FA">
        <w:t xml:space="preserve">ments </w:t>
      </w:r>
      <w:r w:rsidR="00906217">
        <w:t>include:</w:t>
      </w:r>
    </w:p>
    <w:p w14:paraId="796E49E0" w14:textId="1B0ACF98" w:rsidR="0089721B" w:rsidRPr="00A72F51" w:rsidRDefault="0089721B" w:rsidP="0089721B">
      <w:pPr>
        <w:pStyle w:val="ListBullet"/>
      </w:pPr>
      <w:r w:rsidRPr="00A72F51">
        <w:t xml:space="preserve">applying a new structure to set out </w:t>
      </w:r>
      <w:r>
        <w:t xml:space="preserve">police oversight </w:t>
      </w:r>
      <w:r w:rsidRPr="00A72F51">
        <w:t>work separately from public sector</w:t>
      </w:r>
      <w:r>
        <w:t xml:space="preserve"> oversight</w:t>
      </w:r>
    </w:p>
    <w:p w14:paraId="1715087E" w14:textId="77777777" w:rsidR="0089721B" w:rsidRDefault="0089721B" w:rsidP="0089721B">
      <w:pPr>
        <w:pStyle w:val="ListBullet"/>
      </w:pPr>
      <w:r w:rsidRPr="00A72F51">
        <w:t>implementing recommendations 15 and 16 of the</w:t>
      </w:r>
      <w:r>
        <w:t xml:space="preserve"> </w:t>
      </w:r>
      <w:r w:rsidRPr="00F663B6">
        <w:t>Integrity and Oversight Committee</w:t>
      </w:r>
      <w:r w:rsidRPr="00A72F51">
        <w:t xml:space="preserve"> </w:t>
      </w:r>
      <w:r>
        <w:t>(</w:t>
      </w:r>
      <w:r w:rsidRPr="00A72F51">
        <w:t>IOC</w:t>
      </w:r>
      <w:r>
        <w:t>)</w:t>
      </w:r>
      <w:r w:rsidRPr="00A72F51">
        <w:t xml:space="preserve"> </w:t>
      </w:r>
      <w:r>
        <w:t>i</w:t>
      </w:r>
      <w:r w:rsidRPr="00A72F51">
        <w:t>nquiry into the education and prevention functions of Victoria’s integrity agencies</w:t>
      </w:r>
      <w:r>
        <w:t xml:space="preserve"> </w:t>
      </w:r>
    </w:p>
    <w:p w14:paraId="302CAD28" w14:textId="6DC2DE76" w:rsidR="00A82E4F" w:rsidRDefault="00802D10" w:rsidP="0089721B">
      <w:pPr>
        <w:pStyle w:val="ListBullet"/>
      </w:pPr>
      <w:r>
        <w:t xml:space="preserve">simplifying the </w:t>
      </w:r>
      <w:r w:rsidR="00A82E4F">
        <w:t xml:space="preserve">reporting </w:t>
      </w:r>
      <w:r w:rsidR="00760F29">
        <w:t xml:space="preserve">of </w:t>
      </w:r>
      <w:r>
        <w:t>complaints and notifications</w:t>
      </w:r>
      <w:r w:rsidR="00DD1E46">
        <w:t xml:space="preserve"> by reporting cases instead of allegations </w:t>
      </w:r>
      <w:r w:rsidR="001847E8">
        <w:t>(</w:t>
      </w:r>
      <w:r w:rsidR="00DD1E46">
        <w:t>where possible</w:t>
      </w:r>
      <w:r w:rsidR="001847E8">
        <w:t>)</w:t>
      </w:r>
    </w:p>
    <w:p w14:paraId="1CF395D4" w14:textId="2D829883" w:rsidR="0089721B" w:rsidRDefault="0089721B" w:rsidP="0089721B">
      <w:pPr>
        <w:pStyle w:val="ListBullet"/>
      </w:pPr>
      <w:r>
        <w:t>reporting workforce data and tier</w:t>
      </w:r>
      <w:r w:rsidR="4F8527D5">
        <w:t>-</w:t>
      </w:r>
      <w:r>
        <w:t>4 environmental data in the appendices to improve readability.</w:t>
      </w:r>
    </w:p>
    <w:p w14:paraId="09590815" w14:textId="43E81BFD" w:rsidR="00F9620D" w:rsidRDefault="00906217" w:rsidP="00F9620D">
      <w:pPr>
        <w:pStyle w:val="BodyText"/>
      </w:pPr>
      <w:r w:rsidRPr="00F9620D">
        <w:t>For legal and operational reasons, we cannot report publicly on some activities, including potential criminal prosecutions.</w:t>
      </w:r>
      <w:r w:rsidR="00AC21EB" w:rsidRPr="00AC21EB">
        <w:t xml:space="preserve"> Our work can be long term, such as some complex investigative activities</w:t>
      </w:r>
      <w:r w:rsidRPr="00F9620D">
        <w:t xml:space="preserve">, which affect the timing of our reporting. </w:t>
      </w:r>
      <w:r w:rsidR="00C428E6">
        <w:t>We inform the public w</w:t>
      </w:r>
      <w:r w:rsidRPr="00F9620D">
        <w:t>hen activities are no longer sensitive or constrained by legal requirements</w:t>
      </w:r>
      <w:r w:rsidR="00C428E6">
        <w:t>.</w:t>
      </w:r>
    </w:p>
    <w:p w14:paraId="658762FC" w14:textId="37A67EBE" w:rsidR="00EC6AE1" w:rsidRPr="00F9620D" w:rsidRDefault="00DB08B9" w:rsidP="00F9620D">
      <w:pPr>
        <w:pStyle w:val="BodyText"/>
      </w:pPr>
      <w:r w:rsidRPr="00F9620D">
        <w:br w:type="page"/>
      </w:r>
    </w:p>
    <w:p w14:paraId="0EF17C7D" w14:textId="77777777" w:rsidR="00EC6AE1" w:rsidRPr="00F9620D" w:rsidRDefault="00EC6AE1" w:rsidP="00F9620D">
      <w:pPr>
        <w:pStyle w:val="BodyText"/>
        <w:sectPr w:rsidR="00EC6AE1" w:rsidRPr="00F9620D" w:rsidSect="008A3822">
          <w:headerReference w:type="even" r:id="rId18"/>
          <w:headerReference w:type="default" r:id="rId19"/>
          <w:headerReference w:type="first" r:id="rId20"/>
          <w:pgSz w:w="11907" w:h="16839" w:code="9"/>
          <w:pgMar w:top="1440" w:right="1440" w:bottom="1440" w:left="1440" w:header="720" w:footer="720" w:gutter="0"/>
          <w:pgNumType w:fmt="lowerRoman"/>
          <w:cols w:space="720"/>
          <w:docGrid w:linePitch="360"/>
        </w:sectPr>
      </w:pPr>
    </w:p>
    <w:p w14:paraId="6ABD1354" w14:textId="377104C9" w:rsidR="00BF4417" w:rsidRDefault="00BF4417">
      <w:pPr>
        <w:pStyle w:val="Heading1unnumbered"/>
      </w:pPr>
      <w:r w:rsidRPr="002F6765">
        <w:lastRenderedPageBreak/>
        <w:t>About IBAC</w:t>
      </w:r>
    </w:p>
    <w:p w14:paraId="1BBDCE91" w14:textId="04A604F5" w:rsidR="003D7F20" w:rsidRDefault="00883501" w:rsidP="00C04AAA">
      <w:pPr>
        <w:pStyle w:val="BodyText"/>
      </w:pPr>
      <w:r w:rsidRPr="002F6765">
        <w:t xml:space="preserve">IBAC is </w:t>
      </w:r>
      <w:r w:rsidR="00994FA7">
        <w:t xml:space="preserve">Victoria’s </w:t>
      </w:r>
      <w:r w:rsidRPr="002F6765">
        <w:t xml:space="preserve">independent </w:t>
      </w:r>
      <w:r w:rsidR="00994FA7">
        <w:t xml:space="preserve">anti-corruption and police oversight </w:t>
      </w:r>
      <w:r w:rsidRPr="002F6765">
        <w:t>agency</w:t>
      </w:r>
      <w:r w:rsidR="00994FA7">
        <w:t>.</w:t>
      </w:r>
      <w:r w:rsidRPr="002F6765">
        <w:t xml:space="preserve"> </w:t>
      </w:r>
      <w:r w:rsidR="0056209A">
        <w:t>IBAC</w:t>
      </w:r>
      <w:r w:rsidR="00E908A2">
        <w:t xml:space="preserve"> works to identify, investigate, </w:t>
      </w:r>
      <w:r w:rsidR="0038021D" w:rsidRPr="0038021D">
        <w:t>expose</w:t>
      </w:r>
      <w:r w:rsidR="00C428E6">
        <w:t>,</w:t>
      </w:r>
      <w:r w:rsidR="0038021D" w:rsidRPr="0038021D">
        <w:t xml:space="preserve"> </w:t>
      </w:r>
      <w:r w:rsidR="00E908A2">
        <w:t xml:space="preserve">and prevent </w:t>
      </w:r>
      <w:r w:rsidR="0038021D" w:rsidRPr="0038021D">
        <w:t>public sector corruption and police misconduct in Victoria.</w:t>
      </w:r>
      <w:r w:rsidR="0038021D">
        <w:t xml:space="preserve"> </w:t>
      </w:r>
    </w:p>
    <w:p w14:paraId="0B59A69E" w14:textId="6FD8ACD5" w:rsidR="00C428E6" w:rsidRDefault="00C04AAA" w:rsidP="00C04AAA">
      <w:pPr>
        <w:pStyle w:val="BodyText"/>
      </w:pPr>
      <w:r>
        <w:t xml:space="preserve">Public sector corruption can occur when a public </w:t>
      </w:r>
      <w:r w:rsidR="00C428E6">
        <w:t xml:space="preserve">officer </w:t>
      </w:r>
      <w:r>
        <w:t>misuses their position or power for some form of gain. Examples of public sector corruption include</w:t>
      </w:r>
      <w:r w:rsidR="00C428E6">
        <w:t>:</w:t>
      </w:r>
      <w:r>
        <w:t xml:space="preserve"> </w:t>
      </w:r>
    </w:p>
    <w:p w14:paraId="7B7A57B4" w14:textId="0B5D623F" w:rsidR="00C428E6" w:rsidRDefault="00C04AAA" w:rsidP="005C2B12">
      <w:pPr>
        <w:pStyle w:val="ListBullet"/>
      </w:pPr>
      <w:r w:rsidRPr="00C04AAA">
        <w:t>providing services to family and friends ahead of other members of the community</w:t>
      </w:r>
    </w:p>
    <w:p w14:paraId="5A0E5E36" w14:textId="42B2BD1F" w:rsidR="00C428E6" w:rsidRDefault="00C04AAA" w:rsidP="005C2B12">
      <w:pPr>
        <w:pStyle w:val="ListBullet"/>
      </w:pPr>
      <w:r w:rsidRPr="00C04AAA">
        <w:t>misusing information to help a particular company win a contract</w:t>
      </w:r>
    </w:p>
    <w:p w14:paraId="2CC19239" w14:textId="24EAA2C3" w:rsidR="00A96A90" w:rsidRDefault="00C04AAA" w:rsidP="00A96A90">
      <w:pPr>
        <w:pStyle w:val="ListBullet"/>
      </w:pPr>
      <w:r w:rsidRPr="00C04AAA">
        <w:t>accepting bribes or other benefits.</w:t>
      </w:r>
    </w:p>
    <w:p w14:paraId="44C5CDB8" w14:textId="5C7D0F05" w:rsidR="00A96A90" w:rsidRDefault="006C0A2D" w:rsidP="00CC16B0">
      <w:pPr>
        <w:pStyle w:val="BodyText"/>
      </w:pPr>
      <w:r w:rsidRPr="006C0A2D">
        <w:t>Police misconduct is inappropriate or illegal conduct in connection with their official duties.</w:t>
      </w:r>
      <w:r w:rsidR="00E71B65">
        <w:t xml:space="preserve"> Examples of police misconduc</w:t>
      </w:r>
      <w:r w:rsidR="0017108D">
        <w:t>t include:</w:t>
      </w:r>
    </w:p>
    <w:p w14:paraId="15D5ABF3" w14:textId="573411F4" w:rsidR="00CC17C3" w:rsidRPr="00CC17C3" w:rsidRDefault="00CC17C3" w:rsidP="00CC17C3">
      <w:pPr>
        <w:pStyle w:val="ListBullet"/>
      </w:pPr>
      <w:r w:rsidRPr="00CC17C3">
        <w:t>using excessive force</w:t>
      </w:r>
    </w:p>
    <w:p w14:paraId="413253D5" w14:textId="6BF77112" w:rsidR="00CC17C3" w:rsidRPr="00CC17C3" w:rsidRDefault="00CC17C3" w:rsidP="00CC17C3">
      <w:pPr>
        <w:pStyle w:val="ListBullet"/>
      </w:pPr>
      <w:r w:rsidRPr="00CC17C3">
        <w:t>meet</w:t>
      </w:r>
      <w:r w:rsidR="004459BD">
        <w:t>ing</w:t>
      </w:r>
      <w:r w:rsidRPr="00CC17C3">
        <w:t xml:space="preserve"> a vulnerable person in the course of their work and invit</w:t>
      </w:r>
      <w:r w:rsidR="00ED641E">
        <w:t>ing</w:t>
      </w:r>
      <w:r w:rsidRPr="00CC17C3">
        <w:t xml:space="preserve"> them out on a date</w:t>
      </w:r>
    </w:p>
    <w:p w14:paraId="42C6E1F4" w14:textId="2492B6D6" w:rsidR="00CC17C3" w:rsidRPr="00CC17C3" w:rsidRDefault="00CC17C3" w:rsidP="00CC17C3">
      <w:pPr>
        <w:pStyle w:val="ListBullet"/>
      </w:pPr>
      <w:r w:rsidRPr="00CC17C3">
        <w:t>sharing images of police evidence on social media</w:t>
      </w:r>
    </w:p>
    <w:p w14:paraId="43B804D3" w14:textId="1CA47D59" w:rsidR="00ED5B33" w:rsidRDefault="00CC17C3" w:rsidP="0017108D">
      <w:pPr>
        <w:pStyle w:val="ListBullet"/>
      </w:pPr>
      <w:r w:rsidRPr="00CC17C3">
        <w:t>accessing information in police systems for personal use</w:t>
      </w:r>
      <w:r w:rsidR="008D0548">
        <w:t>.</w:t>
      </w:r>
    </w:p>
    <w:p w14:paraId="44AEDA43" w14:textId="243AB3A9" w:rsidR="00F011A5" w:rsidRPr="007E3C19" w:rsidRDefault="006A4C3F" w:rsidP="00547DA1">
      <w:pPr>
        <w:pStyle w:val="Image"/>
      </w:pPr>
      <w:r>
        <w:rPr>
          <w:noProof/>
        </w:rPr>
        <w:drawing>
          <wp:inline distT="0" distB="0" distL="0" distR="0" wp14:anchorId="25FC9693" wp14:editId="182F7C7D">
            <wp:extent cx="5731293" cy="5071070"/>
            <wp:effectExtent l="0" t="0" r="0" b="0"/>
            <wp:docPr id="1994651396" name="Picture 1994651396" descr="Diagram representing IBAC's vision showing our public value outcomes, guiding principles and strategic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51396" name="Picture 1994651396" descr="Diagram representing IBAC's vision showing our public value outcomes, guiding principles and strategic pillar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293" cy="5071070"/>
                    </a:xfrm>
                    <a:prstGeom prst="rect">
                      <a:avLst/>
                    </a:prstGeom>
                  </pic:spPr>
                </pic:pic>
              </a:graphicData>
            </a:graphic>
          </wp:inline>
        </w:drawing>
      </w:r>
      <w:r w:rsidR="00F011A5">
        <w:br w:type="page"/>
      </w:r>
    </w:p>
    <w:p w14:paraId="3AADA423" w14:textId="0CEB948F" w:rsidR="00B15871" w:rsidRPr="00D610DC" w:rsidRDefault="00B15871" w:rsidP="00EE1104">
      <w:pPr>
        <w:pStyle w:val="Heading2unnumbered"/>
      </w:pPr>
      <w:r>
        <w:lastRenderedPageBreak/>
        <w:t>Operating model</w:t>
      </w:r>
    </w:p>
    <w:p w14:paraId="327EAD01" w14:textId="66905064" w:rsidR="00B15871" w:rsidRPr="004E6C3D" w:rsidRDefault="00E50F6D" w:rsidP="00EC5FC9">
      <w:pPr>
        <w:pStyle w:val="BodyText"/>
        <w:rPr>
          <w:lang w:eastAsia="en-AU"/>
        </w:rPr>
      </w:pPr>
      <w:r w:rsidRPr="00E50F6D">
        <w:rPr>
          <w:lang w:eastAsia="en-AU"/>
        </w:rPr>
        <w:t xml:space="preserve">Driven by the </w:t>
      </w:r>
      <w:r w:rsidR="00D0205F" w:rsidRPr="00D0205F">
        <w:rPr>
          <w:rStyle w:val="Characteritalic"/>
          <w:lang w:eastAsia="en-AU"/>
        </w:rPr>
        <w:t>IBAC Plan 2021</w:t>
      </w:r>
      <w:r w:rsidR="00D0205F" w:rsidRPr="00D0205F">
        <w:rPr>
          <w:rStyle w:val="Characteritalic"/>
        </w:rPr>
        <w:softHyphen/>
        <w:t>–</w:t>
      </w:r>
      <w:r w:rsidR="00D0205F" w:rsidRPr="00D0205F">
        <w:rPr>
          <w:rStyle w:val="Characteritalic"/>
          <w:lang w:eastAsia="en-AU"/>
        </w:rPr>
        <w:t>25</w:t>
      </w:r>
      <w:r w:rsidR="00D0205F" w:rsidRPr="00D0205F">
        <w:rPr>
          <w:lang w:eastAsia="en-AU"/>
        </w:rPr>
        <w:t xml:space="preserve"> (IBAC Plan)</w:t>
      </w:r>
      <w:r w:rsidRPr="00E50F6D">
        <w:rPr>
          <w:lang w:eastAsia="en-AU"/>
        </w:rPr>
        <w:t xml:space="preserve">, </w:t>
      </w:r>
      <w:r w:rsidR="6D52DA61" w:rsidRPr="1F751BE5">
        <w:rPr>
          <w:lang w:eastAsia="en-AU"/>
        </w:rPr>
        <w:t xml:space="preserve">IBAC’s </w:t>
      </w:r>
      <w:r w:rsidR="00812A29" w:rsidRPr="1F751BE5">
        <w:rPr>
          <w:lang w:eastAsia="en-AU"/>
        </w:rPr>
        <w:t>o</w:t>
      </w:r>
      <w:r w:rsidR="00B15871" w:rsidRPr="1F751BE5">
        <w:rPr>
          <w:lang w:eastAsia="en-AU"/>
        </w:rPr>
        <w:t xml:space="preserve">perating </w:t>
      </w:r>
      <w:r w:rsidR="00812A29" w:rsidRPr="1F751BE5">
        <w:rPr>
          <w:lang w:eastAsia="en-AU"/>
        </w:rPr>
        <w:t>m</w:t>
      </w:r>
      <w:r w:rsidR="00B15871" w:rsidRPr="1F751BE5">
        <w:rPr>
          <w:lang w:eastAsia="en-AU"/>
        </w:rPr>
        <w:t>odel</w:t>
      </w:r>
      <w:r w:rsidR="009D6803">
        <w:rPr>
          <w:lang w:eastAsia="en-AU"/>
        </w:rPr>
        <w:t>,</w:t>
      </w:r>
      <w:r w:rsidR="006C2435" w:rsidRPr="1F751BE5">
        <w:rPr>
          <w:lang w:eastAsia="en-AU"/>
        </w:rPr>
        <w:t xml:space="preserve"> shown in </w:t>
      </w:r>
      <w:r w:rsidR="00263A7F">
        <w:fldChar w:fldCharType="begin"/>
      </w:r>
      <w:r w:rsidR="00263A7F" w:rsidRPr="1F751BE5">
        <w:rPr>
          <w:lang w:eastAsia="en-AU"/>
        </w:rPr>
        <w:instrText xml:space="preserve"> REF _Ref136422928 \h </w:instrText>
      </w:r>
      <w:r w:rsidR="00263A7F">
        <w:fldChar w:fldCharType="separate"/>
      </w:r>
      <w:r w:rsidR="004E6C3D">
        <w:t xml:space="preserve">Figure </w:t>
      </w:r>
      <w:r w:rsidR="004E6C3D" w:rsidRPr="1F751BE5">
        <w:rPr>
          <w:noProof/>
        </w:rPr>
        <w:t>1</w:t>
      </w:r>
      <w:r w:rsidR="00263A7F">
        <w:fldChar w:fldCharType="end"/>
      </w:r>
      <w:r w:rsidR="009D6803">
        <w:t>,</w:t>
      </w:r>
      <w:r w:rsidR="00263A7F">
        <w:fldChar w:fldCharType="begin"/>
      </w:r>
      <w:r w:rsidR="00263A7F" w:rsidRPr="1F751BE5">
        <w:rPr>
          <w:lang w:eastAsia="en-AU"/>
        </w:rPr>
        <w:instrText xml:space="preserve"> REF _Ref112658922 \h </w:instrText>
      </w:r>
      <w:r w:rsidR="00F31239">
        <w:rPr>
          <w:lang w:eastAsia="en-AU"/>
        </w:rPr>
        <w:fldChar w:fldCharType="separate"/>
      </w:r>
      <w:r w:rsidR="00263A7F">
        <w:fldChar w:fldCharType="end"/>
      </w:r>
      <w:r w:rsidR="00B15871" w:rsidRPr="1F751BE5">
        <w:rPr>
          <w:lang w:eastAsia="en-AU"/>
        </w:rPr>
        <w:t xml:space="preserve"> </w:t>
      </w:r>
      <w:bookmarkStart w:id="0" w:name="_Hlk145400246"/>
      <w:r w:rsidRPr="00E50F6D">
        <w:rPr>
          <w:lang w:eastAsia="en-AU"/>
        </w:rPr>
        <w:t>identifies what we do. The operating frameworks identify how we do this work. Underpinning all that we do is the</w:t>
      </w:r>
      <w:r>
        <w:rPr>
          <w:lang w:eastAsia="en-AU"/>
        </w:rPr>
        <w:t xml:space="preserve"> </w:t>
      </w:r>
      <w:r w:rsidR="00FA5448" w:rsidRPr="00FA5448">
        <w:rPr>
          <w:rStyle w:val="Characteritalic"/>
          <w:lang w:eastAsia="en-AU"/>
        </w:rPr>
        <w:t>2021</w:t>
      </w:r>
      <w:r w:rsidR="00FA5448" w:rsidRPr="00FA5448">
        <w:rPr>
          <w:rStyle w:val="Characteritalic"/>
        </w:rPr>
        <w:t>–</w:t>
      </w:r>
      <w:r w:rsidR="00FA5448" w:rsidRPr="00FA5448">
        <w:rPr>
          <w:rStyle w:val="Characteritalic"/>
          <w:lang w:eastAsia="en-AU"/>
        </w:rPr>
        <w:t>24 Corruption Prevention Strategy</w:t>
      </w:r>
      <w:r w:rsidRPr="00E50F6D">
        <w:rPr>
          <w:lang w:eastAsia="en-AU"/>
        </w:rPr>
        <w:t>, ensuring activities have a corruption prevention consideration</w:t>
      </w:r>
      <w:r w:rsidR="54BA4310" w:rsidRPr="1F751BE5">
        <w:rPr>
          <w:lang w:eastAsia="en-AU"/>
        </w:rPr>
        <w:t>.</w:t>
      </w:r>
      <w:bookmarkEnd w:id="0"/>
    </w:p>
    <w:p w14:paraId="54D63D0A" w14:textId="7A4211C6" w:rsidR="00A87B4D" w:rsidRDefault="00A87B4D" w:rsidP="00834775">
      <w:pPr>
        <w:pStyle w:val="Caption"/>
      </w:pPr>
      <w:bookmarkStart w:id="1" w:name="_Ref136422928"/>
      <w:r>
        <w:t xml:space="preserve">Figure </w:t>
      </w:r>
      <w:r>
        <w:fldChar w:fldCharType="begin"/>
      </w:r>
      <w:r>
        <w:instrText xml:space="preserve"> SEQ Figure \* ARABIC </w:instrText>
      </w:r>
      <w:r>
        <w:fldChar w:fldCharType="separate"/>
      </w:r>
      <w:r w:rsidR="003545E6">
        <w:rPr>
          <w:noProof/>
        </w:rPr>
        <w:t>1</w:t>
      </w:r>
      <w:r>
        <w:rPr>
          <w:noProof/>
        </w:rPr>
        <w:fldChar w:fldCharType="end"/>
      </w:r>
      <w:bookmarkEnd w:id="1"/>
      <w:r>
        <w:t xml:space="preserve">: </w:t>
      </w:r>
      <w:r w:rsidRPr="006E7B32">
        <w:t>IBAC operating model</w:t>
      </w:r>
    </w:p>
    <w:p w14:paraId="39F09B6C" w14:textId="390FE1D3" w:rsidR="00A87B4D" w:rsidRPr="00401B07" w:rsidRDefault="00547DA1" w:rsidP="00A87B4D">
      <w:pPr>
        <w:pStyle w:val="Image"/>
      </w:pPr>
      <w:r>
        <w:rPr>
          <w:noProof/>
        </w:rPr>
        <w:drawing>
          <wp:inline distT="0" distB="0" distL="0" distR="0" wp14:anchorId="31572ED3" wp14:editId="1CE4CFA9">
            <wp:extent cx="5732145" cy="4246245"/>
            <wp:effectExtent l="0" t="0" r="0" b="0"/>
            <wp:docPr id="1299434065" name="Picture 1" descr="Diagram of the IBAC operating model showing the connections between the various components of integrity activities, operating frameworks and corruption preven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34065" name="Picture 1" descr="Diagram of the IBAC operating model showing the connections between the various components of integrity activities, operating frameworks and corruption prevention strateg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4246245"/>
                    </a:xfrm>
                    <a:prstGeom prst="rect">
                      <a:avLst/>
                    </a:prstGeom>
                  </pic:spPr>
                </pic:pic>
              </a:graphicData>
            </a:graphic>
          </wp:inline>
        </w:drawing>
      </w:r>
    </w:p>
    <w:p w14:paraId="78001B50" w14:textId="77777777" w:rsidR="00883501" w:rsidRPr="004032CE" w:rsidRDefault="00883501" w:rsidP="00824577">
      <w:pPr>
        <w:pStyle w:val="Heading2unnumbered"/>
      </w:pPr>
      <w:r w:rsidRPr="002F6765">
        <w:t>Victoria</w:t>
      </w:r>
      <w:r>
        <w:t>’</w:t>
      </w:r>
      <w:r w:rsidRPr="002F6765">
        <w:t>s integrity system</w:t>
      </w:r>
    </w:p>
    <w:p w14:paraId="6132F31A" w14:textId="4A831F75" w:rsidR="0010123E" w:rsidRDefault="00883501" w:rsidP="00883501">
      <w:pPr>
        <w:pStyle w:val="BodyText"/>
      </w:pPr>
      <w:r>
        <w:t>Victoria</w:t>
      </w:r>
      <w:r w:rsidR="00AE7EE6">
        <w:t>’s</w:t>
      </w:r>
      <w:r>
        <w:t xml:space="preserve"> integrity system exists so that </w:t>
      </w:r>
      <w:r w:rsidR="0010123E">
        <w:t xml:space="preserve">the community </w:t>
      </w:r>
      <w:r>
        <w:t>can have confidence in the public sector</w:t>
      </w:r>
      <w:r w:rsidR="00A81773">
        <w:t xml:space="preserve"> and Victoria Police</w:t>
      </w:r>
      <w:r w:rsidR="00AD5040">
        <w:t>.</w:t>
      </w:r>
      <w:r>
        <w:t xml:space="preserve"> </w:t>
      </w:r>
      <w:r w:rsidR="00C04AAA">
        <w:t>P</w:t>
      </w:r>
      <w:r w:rsidR="0010123E">
        <w:t>ublic officers</w:t>
      </w:r>
      <w:r w:rsidR="00A81773">
        <w:t>, including police,</w:t>
      </w:r>
      <w:r w:rsidR="0010123E">
        <w:t xml:space="preserve"> </w:t>
      </w:r>
      <w:r w:rsidR="00C04AAA">
        <w:t xml:space="preserve">are expected </w:t>
      </w:r>
      <w:r w:rsidR="00AD5040">
        <w:t>to perform their duties fairly</w:t>
      </w:r>
      <w:r w:rsidR="0010123E">
        <w:t>,</w:t>
      </w:r>
      <w:r w:rsidR="00AD5040">
        <w:t xml:space="preserve"> honestly </w:t>
      </w:r>
      <w:r w:rsidR="0010123E">
        <w:t xml:space="preserve">and in the public interest. This is </w:t>
      </w:r>
      <w:r>
        <w:t xml:space="preserve">because </w:t>
      </w:r>
      <w:r w:rsidR="0010123E">
        <w:t xml:space="preserve">unidentified and unchecked </w:t>
      </w:r>
      <w:r>
        <w:t>corruption</w:t>
      </w:r>
      <w:r w:rsidR="003F19B2">
        <w:t xml:space="preserve"> and police misconduct</w:t>
      </w:r>
      <w:r w:rsidR="0010123E">
        <w:t>:</w:t>
      </w:r>
    </w:p>
    <w:p w14:paraId="77F9AA50" w14:textId="5534740A" w:rsidR="0010123E" w:rsidRDefault="0010123E" w:rsidP="005C2B12">
      <w:pPr>
        <w:pStyle w:val="ListBullet"/>
      </w:pPr>
      <w:r>
        <w:t>wastes public resources</w:t>
      </w:r>
    </w:p>
    <w:p w14:paraId="3F7FBF63" w14:textId="3CF6B5C6" w:rsidR="0010123E" w:rsidRDefault="0010123E" w:rsidP="005C2B12">
      <w:pPr>
        <w:pStyle w:val="ListBullet"/>
      </w:pPr>
      <w:r>
        <w:t>erodes the public’s trust</w:t>
      </w:r>
    </w:p>
    <w:p w14:paraId="39EFCD61" w14:textId="77777777" w:rsidR="0010123E" w:rsidRDefault="0010123E" w:rsidP="005C2B12">
      <w:pPr>
        <w:pStyle w:val="ListBullet"/>
      </w:pPr>
      <w:r>
        <w:t>damages the reputations of individuals and organisations</w:t>
      </w:r>
    </w:p>
    <w:p w14:paraId="72906428" w14:textId="77ED2767" w:rsidR="00883501" w:rsidRPr="004032CE" w:rsidRDefault="0010123E" w:rsidP="005C2B12">
      <w:pPr>
        <w:pStyle w:val="ListBullet"/>
      </w:pPr>
      <w:r>
        <w:t>undermines our democratic system of government.</w:t>
      </w:r>
    </w:p>
    <w:p w14:paraId="2E6EAE7F" w14:textId="14D2E351" w:rsidR="009D2806" w:rsidRDefault="009D2806" w:rsidP="00883501">
      <w:pPr>
        <w:pStyle w:val="BodyText"/>
      </w:pPr>
      <w:r>
        <w:t xml:space="preserve">The </w:t>
      </w:r>
      <w:r w:rsidRPr="004032CE">
        <w:t xml:space="preserve">three </w:t>
      </w:r>
      <w:r>
        <w:t xml:space="preserve">principal </w:t>
      </w:r>
      <w:r w:rsidRPr="004032CE">
        <w:t>agencies</w:t>
      </w:r>
      <w:r>
        <w:t xml:space="preserve"> in </w:t>
      </w:r>
      <w:r w:rsidR="00883501">
        <w:t>Victoria’s</w:t>
      </w:r>
      <w:r w:rsidR="00883501" w:rsidRPr="004032CE">
        <w:t xml:space="preserve"> integrity system </w:t>
      </w:r>
      <w:r>
        <w:t>are</w:t>
      </w:r>
      <w:r w:rsidR="00883501" w:rsidRPr="004032CE">
        <w:t>:</w:t>
      </w:r>
    </w:p>
    <w:p w14:paraId="078BAF42" w14:textId="500AA2E7" w:rsidR="009D2806" w:rsidRDefault="00883501" w:rsidP="00EA4B4E">
      <w:pPr>
        <w:pStyle w:val="ListBullet"/>
      </w:pPr>
      <w:r w:rsidRPr="004032CE">
        <w:t>IBAC</w:t>
      </w:r>
    </w:p>
    <w:p w14:paraId="0105A7CF" w14:textId="77A010B6" w:rsidR="009D2806" w:rsidRDefault="00883501" w:rsidP="00EA4B4E">
      <w:pPr>
        <w:pStyle w:val="ListBullet"/>
      </w:pPr>
      <w:r w:rsidRPr="004032CE">
        <w:t>the Victorian Ombudsman</w:t>
      </w:r>
    </w:p>
    <w:p w14:paraId="690789DF" w14:textId="07667791" w:rsidR="00883501" w:rsidRDefault="00883501" w:rsidP="00EA4B4E">
      <w:pPr>
        <w:pStyle w:val="ListBullet"/>
      </w:pPr>
      <w:r w:rsidRPr="004032CE">
        <w:t>the Victorian Auditor-General’s Office.</w:t>
      </w:r>
    </w:p>
    <w:p w14:paraId="1B999D45" w14:textId="0D3A89F2" w:rsidR="00AD5040" w:rsidRPr="004032CE" w:rsidRDefault="00AD5040" w:rsidP="00AD5040">
      <w:pPr>
        <w:pStyle w:val="BodyText"/>
      </w:pPr>
      <w:r>
        <w:rPr>
          <w:lang w:eastAsia="en-AU"/>
        </w:rPr>
        <w:lastRenderedPageBreak/>
        <w:t>IBAC’s</w:t>
      </w:r>
      <w:r w:rsidRPr="002F6765">
        <w:rPr>
          <w:lang w:eastAsia="en-AU"/>
        </w:rPr>
        <w:t xml:space="preserve"> jurisdiction covers the entire Victorian public sector</w:t>
      </w:r>
      <w:r>
        <w:rPr>
          <w:lang w:eastAsia="en-AU"/>
        </w:rPr>
        <w:t xml:space="preserve">, including </w:t>
      </w:r>
      <w:r w:rsidR="00B77872">
        <w:rPr>
          <w:lang w:eastAsia="en-AU"/>
        </w:rPr>
        <w:t xml:space="preserve">state and </w:t>
      </w:r>
      <w:r w:rsidR="009D2806">
        <w:rPr>
          <w:lang w:eastAsia="en-AU"/>
        </w:rPr>
        <w:t>l</w:t>
      </w:r>
      <w:r>
        <w:rPr>
          <w:lang w:eastAsia="en-AU"/>
        </w:rPr>
        <w:t xml:space="preserve">ocal </w:t>
      </w:r>
      <w:r w:rsidR="009D2806">
        <w:rPr>
          <w:lang w:eastAsia="en-AU"/>
        </w:rPr>
        <w:t>g</w:t>
      </w:r>
      <w:r>
        <w:rPr>
          <w:lang w:eastAsia="en-AU"/>
        </w:rPr>
        <w:t>overnment</w:t>
      </w:r>
      <w:r w:rsidR="00B77872">
        <w:rPr>
          <w:lang w:eastAsia="en-AU"/>
        </w:rPr>
        <w:t xml:space="preserve"> departments and agencies</w:t>
      </w:r>
      <w:r>
        <w:rPr>
          <w:lang w:eastAsia="en-AU"/>
        </w:rPr>
        <w:t xml:space="preserve">, Victoria Police, </w:t>
      </w:r>
      <w:r w:rsidR="00B77872">
        <w:rPr>
          <w:lang w:eastAsia="en-AU"/>
        </w:rPr>
        <w:t xml:space="preserve">schools, hospitals, </w:t>
      </w:r>
      <w:r w:rsidR="00C53B60">
        <w:rPr>
          <w:lang w:eastAsia="en-AU"/>
        </w:rPr>
        <w:t>Victorian P</w:t>
      </w:r>
      <w:r>
        <w:rPr>
          <w:lang w:eastAsia="en-AU"/>
        </w:rPr>
        <w:t xml:space="preserve">arliament and the </w:t>
      </w:r>
      <w:r w:rsidR="009D2806">
        <w:rPr>
          <w:lang w:eastAsia="en-AU"/>
        </w:rPr>
        <w:t>j</w:t>
      </w:r>
      <w:r>
        <w:rPr>
          <w:lang w:eastAsia="en-AU"/>
        </w:rPr>
        <w:t>udiciary.</w:t>
      </w:r>
    </w:p>
    <w:p w14:paraId="614118C2" w14:textId="221152CA" w:rsidR="00883501" w:rsidRPr="002F6765" w:rsidRDefault="00883501" w:rsidP="00834775">
      <w:pPr>
        <w:pStyle w:val="Caption"/>
      </w:pPr>
      <w:r w:rsidRPr="002F6765">
        <w:t xml:space="preserve">Figure </w:t>
      </w:r>
      <w:r>
        <w:fldChar w:fldCharType="begin"/>
      </w:r>
      <w:r>
        <w:instrText xml:space="preserve"> SEQ Figure \* ARABIC </w:instrText>
      </w:r>
      <w:r>
        <w:fldChar w:fldCharType="separate"/>
      </w:r>
      <w:r w:rsidR="003545E6">
        <w:rPr>
          <w:noProof/>
        </w:rPr>
        <w:t>2</w:t>
      </w:r>
      <w:r>
        <w:rPr>
          <w:noProof/>
        </w:rPr>
        <w:fldChar w:fldCharType="end"/>
      </w:r>
      <w:r w:rsidRPr="002F6765">
        <w:t>: Victoria</w:t>
      </w:r>
      <w:r>
        <w:t>’</w:t>
      </w:r>
      <w:r w:rsidRPr="002F6765">
        <w:t>s integrity system</w:t>
      </w:r>
    </w:p>
    <w:p w14:paraId="195FC822" w14:textId="77777777" w:rsidR="00883501" w:rsidRPr="002F6765" w:rsidRDefault="00883501" w:rsidP="00883501">
      <w:pPr>
        <w:pStyle w:val="Image"/>
      </w:pPr>
      <w:r w:rsidRPr="002F6765">
        <w:rPr>
          <w:noProof/>
        </w:rPr>
        <w:drawing>
          <wp:inline distT="0" distB="0" distL="0" distR="0" wp14:anchorId="73251535" wp14:editId="5CB8B976">
            <wp:extent cx="5739319" cy="3756028"/>
            <wp:effectExtent l="0" t="0" r="1270" b="3175"/>
            <wp:docPr id="1982379125" name="Picture 1982379125" descr="Diagram representing Victoria's integrity system with Victorian parliament and Victorian Inspectorate providing oversight of IBAC, Victorian Ombudsman and VAGO plus a range of other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79125" name="Picture 1982379125" descr="Diagram representing Victoria's integrity system with Victorian parliament and Victorian Inspectorate providing oversight of IBAC, Victorian Ombudsman and VAGO plus a range of other agencies."/>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67361" cy="3774380"/>
                    </a:xfrm>
                    <a:prstGeom prst="rect">
                      <a:avLst/>
                    </a:prstGeom>
                    <a:ln>
                      <a:noFill/>
                    </a:ln>
                    <a:extLst>
                      <a:ext uri="{53640926-AAD7-44D8-BBD7-CCE9431645EC}">
                        <a14:shadowObscured xmlns:a14="http://schemas.microsoft.com/office/drawing/2010/main"/>
                      </a:ext>
                    </a:extLst>
                  </pic:spPr>
                </pic:pic>
              </a:graphicData>
            </a:graphic>
          </wp:inline>
        </w:drawing>
      </w:r>
    </w:p>
    <w:p w14:paraId="00268C38" w14:textId="1B6C23AD" w:rsidR="00883501" w:rsidRDefault="00883501" w:rsidP="00824577">
      <w:pPr>
        <w:pStyle w:val="Heading2unnumbered"/>
      </w:pPr>
      <w:bookmarkStart w:id="2" w:name="_Hlk119421756"/>
      <w:r>
        <w:t>Accountability</w:t>
      </w:r>
    </w:p>
    <w:p w14:paraId="3071E280" w14:textId="7D3790EF" w:rsidR="00AE7E76" w:rsidRPr="00813B8E" w:rsidRDefault="00AE7E76" w:rsidP="00813B8E">
      <w:pPr>
        <w:pStyle w:val="BodyText"/>
      </w:pPr>
      <w:r>
        <w:t xml:space="preserve">IBAC is overseen by </w:t>
      </w:r>
      <w:r w:rsidR="00775DEF">
        <w:t xml:space="preserve">a </w:t>
      </w:r>
      <w:r w:rsidR="004E2B20">
        <w:t xml:space="preserve">Victorian Parliament </w:t>
      </w:r>
      <w:r w:rsidR="00775DEF">
        <w:t>committee, the IOC</w:t>
      </w:r>
      <w:r w:rsidR="004E2B20">
        <w:t>,</w:t>
      </w:r>
      <w:r w:rsidR="00775DEF">
        <w:t xml:space="preserve"> and </w:t>
      </w:r>
      <w:r>
        <w:t xml:space="preserve">the Victorian Inspectorate. The </w:t>
      </w:r>
      <w:r w:rsidR="00DD31DF">
        <w:t>IOC</w:t>
      </w:r>
      <w:r>
        <w:t xml:space="preserve"> monitors and reviews </w:t>
      </w:r>
      <w:r w:rsidR="004D2E5D">
        <w:t xml:space="preserve">our </w:t>
      </w:r>
      <w:r>
        <w:t>performance and examines the reports we publish.</w:t>
      </w:r>
      <w:r w:rsidR="00DD194E">
        <w:t xml:space="preserve"> The Victorian Inspectorate monitors compliance with the IBAC Act and other legislation.</w:t>
      </w:r>
      <w:r w:rsidR="001069D1" w:rsidRPr="001069D1">
        <w:t xml:space="preserve"> </w:t>
      </w:r>
      <w:r w:rsidR="006831DD">
        <w:fldChar w:fldCharType="begin"/>
      </w:r>
      <w:r w:rsidR="006831DD">
        <w:instrText xml:space="preserve"> REF _Ref77689697 \h </w:instrText>
      </w:r>
      <w:r w:rsidR="006831DD">
        <w:fldChar w:fldCharType="separate"/>
      </w:r>
      <w:r w:rsidR="006831DD" w:rsidRPr="00A449EE">
        <w:t xml:space="preserve">Table </w:t>
      </w:r>
      <w:r w:rsidR="006831DD">
        <w:rPr>
          <w:noProof/>
        </w:rPr>
        <w:t>1</w:t>
      </w:r>
      <w:r w:rsidR="006831DD">
        <w:fldChar w:fldCharType="end"/>
      </w:r>
      <w:r w:rsidR="001069D1">
        <w:t xml:space="preserve"> outlines the functions of bodies that have oversight of IBAC</w:t>
      </w:r>
      <w:r w:rsidR="002D07B8">
        <w:t xml:space="preserve">, including the </w:t>
      </w:r>
      <w:r w:rsidR="002D07B8" w:rsidRPr="00813B8E">
        <w:t>Attorney</w:t>
      </w:r>
      <w:r w:rsidR="000108C0">
        <w:t>-</w:t>
      </w:r>
      <w:r w:rsidR="002D07B8" w:rsidRPr="00813B8E">
        <w:t xml:space="preserve">General of Victoria, </w:t>
      </w:r>
      <w:r w:rsidR="000108C0">
        <w:t xml:space="preserve">the </w:t>
      </w:r>
      <w:r w:rsidR="002D07B8" w:rsidRPr="00813B8E">
        <w:t xml:space="preserve">Public Interest Monitor, </w:t>
      </w:r>
      <w:r w:rsidR="00087698" w:rsidRPr="00813B8E">
        <w:t>the Supreme Court of Victoria and Magistrates’ Court of Victoria.</w:t>
      </w:r>
    </w:p>
    <w:p w14:paraId="0E2AF4BD" w14:textId="635C0AB2" w:rsidR="00DF2583" w:rsidRPr="00813B8E" w:rsidRDefault="00330AC1" w:rsidP="00813B8E">
      <w:pPr>
        <w:pStyle w:val="BodyText"/>
      </w:pPr>
      <w:r w:rsidRPr="00813B8E">
        <w:t xml:space="preserve">IBAC’s work is </w:t>
      </w:r>
      <w:r w:rsidR="00AE7E76" w:rsidRPr="00813B8E">
        <w:t>share</w:t>
      </w:r>
      <w:r w:rsidRPr="00813B8E">
        <w:t>d</w:t>
      </w:r>
      <w:r w:rsidR="00AE7E76" w:rsidRPr="00813B8E">
        <w:t xml:space="preserve"> publicly, </w:t>
      </w:r>
      <w:r w:rsidR="00DF2583" w:rsidRPr="00813B8E">
        <w:t xml:space="preserve">when appropriate, </w:t>
      </w:r>
      <w:r w:rsidR="00AE7E76" w:rsidRPr="00813B8E">
        <w:t>including on our website and through other media</w:t>
      </w:r>
      <w:r w:rsidR="00DF2583" w:rsidRPr="00813B8E">
        <w:t>.</w:t>
      </w:r>
    </w:p>
    <w:p w14:paraId="49FE8050" w14:textId="2951B1BA" w:rsidR="00605D4F" w:rsidRPr="00813B8E" w:rsidRDefault="004D2E5D" w:rsidP="00813B8E">
      <w:pPr>
        <w:pStyle w:val="BodyText"/>
      </w:pPr>
      <w:r w:rsidRPr="00813B8E">
        <w:t xml:space="preserve">We </w:t>
      </w:r>
      <w:r w:rsidR="00AE7E76" w:rsidRPr="00813B8E">
        <w:t>aim to be transparent whe</w:t>
      </w:r>
      <w:r w:rsidR="00132A44">
        <w:t>n</w:t>
      </w:r>
      <w:r w:rsidR="00AE7E76" w:rsidRPr="00813B8E">
        <w:t>ever possible</w:t>
      </w:r>
      <w:r w:rsidR="006831DD" w:rsidRPr="00813B8E">
        <w:t>,</w:t>
      </w:r>
      <w:r w:rsidR="001C25AA" w:rsidRPr="00813B8E">
        <w:t xml:space="preserve"> </w:t>
      </w:r>
      <w:r w:rsidR="00466856" w:rsidRPr="00813B8E">
        <w:t xml:space="preserve">and </w:t>
      </w:r>
      <w:r w:rsidR="00153A98" w:rsidRPr="00813B8E">
        <w:t>within the bounds of our legislation</w:t>
      </w:r>
      <w:r w:rsidR="00330AC1" w:rsidRPr="00813B8E">
        <w:t>. R</w:t>
      </w:r>
      <w:r w:rsidR="00AE7E76" w:rsidRPr="00813B8E">
        <w:t>obust reporting practices and external oversight demonstrate our compliance with the law.</w:t>
      </w:r>
    </w:p>
    <w:p w14:paraId="4FCAD45F" w14:textId="0624AC16" w:rsidR="00AE7E76" w:rsidRPr="00A449EE" w:rsidRDefault="00AE7E76" w:rsidP="00834775">
      <w:pPr>
        <w:pStyle w:val="Caption"/>
      </w:pPr>
      <w:bookmarkStart w:id="3" w:name="_Ref77689697"/>
      <w:bookmarkStart w:id="4" w:name="_Ref77689690"/>
      <w:r w:rsidRPr="00A449EE">
        <w:t xml:space="preserve">Table </w:t>
      </w:r>
      <w:r>
        <w:fldChar w:fldCharType="begin"/>
      </w:r>
      <w:r>
        <w:instrText xml:space="preserve"> SEQ Table \* ARABIC </w:instrText>
      </w:r>
      <w:r>
        <w:fldChar w:fldCharType="separate"/>
      </w:r>
      <w:r w:rsidR="00EF6E7F">
        <w:rPr>
          <w:noProof/>
        </w:rPr>
        <w:t>1</w:t>
      </w:r>
      <w:r>
        <w:fldChar w:fldCharType="end"/>
      </w:r>
      <w:bookmarkEnd w:id="3"/>
      <w:r w:rsidRPr="00A449EE">
        <w:t>: Bodies and their roles in overseeing IBAC</w:t>
      </w:r>
      <w:bookmarkEnd w:id="4"/>
    </w:p>
    <w:tbl>
      <w:tblPr>
        <w:tblStyle w:val="CustomTablestandard"/>
        <w:tblW w:w="5000" w:type="pct"/>
        <w:tblLook w:val="04A0" w:firstRow="1" w:lastRow="0" w:firstColumn="1" w:lastColumn="0" w:noHBand="0" w:noVBand="1"/>
      </w:tblPr>
      <w:tblGrid>
        <w:gridCol w:w="3640"/>
        <w:gridCol w:w="5387"/>
      </w:tblGrid>
      <w:tr w:rsidR="00AE7E76" w:rsidRPr="002F6765" w14:paraId="2F58F54C" w14:textId="77777777" w:rsidTr="2DFA6C99">
        <w:trPr>
          <w:cnfStyle w:val="100000000000" w:firstRow="1" w:lastRow="0" w:firstColumn="0" w:lastColumn="0" w:oddVBand="0" w:evenVBand="0" w:oddHBand="0" w:evenHBand="0" w:firstRowFirstColumn="0" w:firstRowLastColumn="0" w:lastRowFirstColumn="0" w:lastRowLastColumn="0"/>
        </w:trPr>
        <w:tc>
          <w:tcPr>
            <w:tcW w:w="2016" w:type="pct"/>
          </w:tcPr>
          <w:p w14:paraId="33422C56" w14:textId="77777777" w:rsidR="00AE7E76" w:rsidRPr="009869C4" w:rsidRDefault="00AE7E76" w:rsidP="009869C4">
            <w:pPr>
              <w:pStyle w:val="TableHeading1"/>
            </w:pPr>
            <w:r w:rsidRPr="0045554A">
              <w:t>Body</w:t>
            </w:r>
          </w:p>
        </w:tc>
        <w:tc>
          <w:tcPr>
            <w:tcW w:w="2984" w:type="pct"/>
          </w:tcPr>
          <w:p w14:paraId="0CABA155" w14:textId="77777777" w:rsidR="00AE7E76" w:rsidRPr="002F6765" w:rsidRDefault="00AE7E76" w:rsidP="009869C4">
            <w:pPr>
              <w:pStyle w:val="TableHeading1"/>
            </w:pPr>
            <w:r w:rsidRPr="002F6765">
              <w:t>Role</w:t>
            </w:r>
          </w:p>
        </w:tc>
      </w:tr>
      <w:tr w:rsidR="00AE7E76" w:rsidRPr="002F6765" w14:paraId="2EE6F71C" w14:textId="77777777" w:rsidTr="2DFA6C99">
        <w:tc>
          <w:tcPr>
            <w:tcW w:w="2016" w:type="pct"/>
          </w:tcPr>
          <w:p w14:paraId="02C74007" w14:textId="7693E518" w:rsidR="00AE7E76" w:rsidRPr="009869C4" w:rsidRDefault="008A3304" w:rsidP="009869C4">
            <w:pPr>
              <w:pStyle w:val="TableBodyText"/>
            </w:pPr>
            <w:r>
              <w:t xml:space="preserve">Victorian </w:t>
            </w:r>
            <w:r w:rsidR="00AE7E76" w:rsidRPr="009869C4">
              <w:t xml:space="preserve">Parliament </w:t>
            </w:r>
            <w:r w:rsidR="009F0A79">
              <w:t>IOC</w:t>
            </w:r>
          </w:p>
        </w:tc>
        <w:tc>
          <w:tcPr>
            <w:tcW w:w="2984" w:type="pct"/>
          </w:tcPr>
          <w:p w14:paraId="30EFF0BC" w14:textId="5B2F2901" w:rsidR="00AE7E76" w:rsidRPr="009869C4" w:rsidRDefault="008C7E50" w:rsidP="009869C4">
            <w:pPr>
              <w:pStyle w:val="TableListBullet"/>
            </w:pPr>
            <w:r>
              <w:t>M</w:t>
            </w:r>
            <w:r w:rsidR="00AE7E76" w:rsidRPr="009869C4">
              <w:t>onitors and reviews the performance of IBAC</w:t>
            </w:r>
          </w:p>
          <w:p w14:paraId="7FF32BDF" w14:textId="3B44FB45" w:rsidR="00AE7E76" w:rsidRPr="009869C4" w:rsidRDefault="008C7E50" w:rsidP="009869C4">
            <w:pPr>
              <w:pStyle w:val="TableListBullet"/>
            </w:pPr>
            <w:r>
              <w:t>E</w:t>
            </w:r>
            <w:r w:rsidR="00AE7E76" w:rsidRPr="009869C4">
              <w:t>xamines published IBAC reports</w:t>
            </w:r>
          </w:p>
        </w:tc>
      </w:tr>
      <w:tr w:rsidR="00AE7E76" w:rsidRPr="002F6765" w14:paraId="1BD2FCB7" w14:textId="77777777" w:rsidTr="2DFA6C99">
        <w:tc>
          <w:tcPr>
            <w:tcW w:w="2016" w:type="pct"/>
          </w:tcPr>
          <w:p w14:paraId="6DA2B2A1" w14:textId="5B5E3A95" w:rsidR="00AE7E76" w:rsidRPr="009869C4" w:rsidRDefault="00AE7E76" w:rsidP="009869C4">
            <w:pPr>
              <w:pStyle w:val="TableBodyText"/>
            </w:pPr>
            <w:r w:rsidRPr="009869C4">
              <w:t>Victorian Inspectorate</w:t>
            </w:r>
          </w:p>
        </w:tc>
        <w:tc>
          <w:tcPr>
            <w:tcW w:w="2984" w:type="pct"/>
          </w:tcPr>
          <w:p w14:paraId="1C857282" w14:textId="77777777" w:rsidR="009D3814" w:rsidRPr="009D3814" w:rsidRDefault="008C7E50" w:rsidP="009D3814">
            <w:pPr>
              <w:pStyle w:val="TableListBullet"/>
            </w:pPr>
            <w:r w:rsidRPr="009D3814">
              <w:t>M</w:t>
            </w:r>
            <w:r w:rsidR="00AE7E76" w:rsidRPr="009D3814">
              <w:t>onitors IBAC compliance with the IBAC Act and other laws</w:t>
            </w:r>
          </w:p>
          <w:p w14:paraId="76FC831E" w14:textId="5A8E349E" w:rsidR="00AE7E76" w:rsidRPr="009D3814" w:rsidRDefault="008C7E50" w:rsidP="009D3814">
            <w:pPr>
              <w:pStyle w:val="TableListBullet"/>
            </w:pPr>
            <w:r w:rsidRPr="009D3814">
              <w:t>O</w:t>
            </w:r>
            <w:r w:rsidR="00AE7E76" w:rsidRPr="009D3814">
              <w:t xml:space="preserve">versees IBAC’s performance </w:t>
            </w:r>
            <w:r w:rsidR="00CC17C3" w:rsidRPr="009D3814">
              <w:t xml:space="preserve">of its functions </w:t>
            </w:r>
            <w:r w:rsidR="00AE7E76" w:rsidRPr="009D3814">
              <w:t>under the PID Act</w:t>
            </w:r>
          </w:p>
          <w:p w14:paraId="503EFF3F" w14:textId="7F996462" w:rsidR="00AE7E76" w:rsidRPr="009869C4" w:rsidRDefault="008C7E50" w:rsidP="009D3814">
            <w:pPr>
              <w:pStyle w:val="TableListBullet"/>
            </w:pPr>
            <w:r w:rsidRPr="009D3814">
              <w:t>R</w:t>
            </w:r>
            <w:r w:rsidR="00AE7E76" w:rsidRPr="009D3814">
              <w:t>eceives and investigates complaints about IBAC</w:t>
            </w:r>
          </w:p>
        </w:tc>
      </w:tr>
      <w:tr w:rsidR="00AE7E76" w:rsidRPr="002F6765" w14:paraId="266B7E4E" w14:textId="77777777" w:rsidTr="2DFA6C99">
        <w:tc>
          <w:tcPr>
            <w:tcW w:w="2016" w:type="pct"/>
          </w:tcPr>
          <w:p w14:paraId="0835B061" w14:textId="20FEBDD6" w:rsidR="00AE7E76" w:rsidRPr="00CF4B08" w:rsidRDefault="00AE7E76">
            <w:pPr>
              <w:pStyle w:val="TableBodyText"/>
            </w:pPr>
            <w:r w:rsidRPr="00CF4B08">
              <w:t>Attorney-General of Victoria</w:t>
            </w:r>
          </w:p>
        </w:tc>
        <w:tc>
          <w:tcPr>
            <w:tcW w:w="2984" w:type="pct"/>
          </w:tcPr>
          <w:p w14:paraId="0EBC400D" w14:textId="3AACF438" w:rsidR="00AE7E76" w:rsidRPr="00CF4B08" w:rsidRDefault="008C7E50">
            <w:pPr>
              <w:pStyle w:val="TableBodyText"/>
            </w:pPr>
            <w:r>
              <w:t>R</w:t>
            </w:r>
            <w:r w:rsidR="00AE7E76" w:rsidRPr="00CF4B08">
              <w:t xml:space="preserve">eceives IBAC reports on: </w:t>
            </w:r>
          </w:p>
          <w:p w14:paraId="66F1D8C9" w14:textId="77777777" w:rsidR="00AE7E76" w:rsidRPr="00CF4B08" w:rsidRDefault="00AE7E76">
            <w:pPr>
              <w:pStyle w:val="TableListBullet"/>
            </w:pPr>
            <w:r w:rsidRPr="00CF4B08">
              <w:t xml:space="preserve">telecommunications interception warrants </w:t>
            </w:r>
          </w:p>
          <w:p w14:paraId="67167B59" w14:textId="77777777" w:rsidR="00AE7E76" w:rsidRPr="00CF4B08" w:rsidRDefault="00AE7E76">
            <w:pPr>
              <w:pStyle w:val="TableListBullet"/>
            </w:pPr>
            <w:r w:rsidRPr="00CF4B08">
              <w:t xml:space="preserve">surveillance device warrants </w:t>
            </w:r>
          </w:p>
          <w:p w14:paraId="6486E77C" w14:textId="7224FE37" w:rsidR="00AE7E76" w:rsidRPr="00CF4B08" w:rsidRDefault="00AE7E76">
            <w:pPr>
              <w:pStyle w:val="TableListBullet"/>
            </w:pPr>
            <w:r w:rsidRPr="00CF4B08">
              <w:t>assumed identities</w:t>
            </w:r>
          </w:p>
        </w:tc>
      </w:tr>
      <w:tr w:rsidR="00AE7E76" w:rsidRPr="002F6765" w14:paraId="71789793" w14:textId="77777777" w:rsidTr="2DFA6C99">
        <w:tc>
          <w:tcPr>
            <w:tcW w:w="2016" w:type="pct"/>
          </w:tcPr>
          <w:p w14:paraId="04D92C4A" w14:textId="33DDBD5C" w:rsidR="00AE7E76" w:rsidRPr="00CF4B08" w:rsidRDefault="008A3304">
            <w:pPr>
              <w:pStyle w:val="TableBodyText"/>
            </w:pPr>
            <w:r>
              <w:lastRenderedPageBreak/>
              <w:t xml:space="preserve">Victorian </w:t>
            </w:r>
            <w:r w:rsidR="00AE7E76" w:rsidRPr="00CF4B08">
              <w:t>Public Interest Monitor</w:t>
            </w:r>
          </w:p>
        </w:tc>
        <w:tc>
          <w:tcPr>
            <w:tcW w:w="2984" w:type="pct"/>
          </w:tcPr>
          <w:p w14:paraId="1A84BDF8" w14:textId="1821E27C" w:rsidR="00AE7E76" w:rsidRPr="00CF4B08" w:rsidRDefault="008C7E50">
            <w:pPr>
              <w:pStyle w:val="TableBodyText"/>
            </w:pPr>
            <w:r>
              <w:t>R</w:t>
            </w:r>
            <w:r w:rsidR="00AE7E76" w:rsidRPr="00CF4B08">
              <w:t>eviews IBAC applications for surveillance device and telecommunications interception warrants</w:t>
            </w:r>
          </w:p>
        </w:tc>
      </w:tr>
      <w:tr w:rsidR="00AE7E76" w:rsidRPr="002F6765" w14:paraId="65ADEA59" w14:textId="77777777" w:rsidTr="2DFA6C99">
        <w:tc>
          <w:tcPr>
            <w:tcW w:w="2016" w:type="pct"/>
          </w:tcPr>
          <w:p w14:paraId="3A5BE35B" w14:textId="61F27660" w:rsidR="00AE7E76" w:rsidRPr="00CF4B08" w:rsidRDefault="00AE7E76">
            <w:pPr>
              <w:pStyle w:val="TableBodyText"/>
            </w:pPr>
            <w:r w:rsidRPr="00CF4B08">
              <w:t>Supreme Court of Victoria</w:t>
            </w:r>
            <w:r w:rsidR="00C024EE">
              <w:t xml:space="preserve"> and</w:t>
            </w:r>
            <w:r w:rsidRPr="00CF4B08">
              <w:t xml:space="preserve"> Magistrates’ Court of Victoria</w:t>
            </w:r>
          </w:p>
        </w:tc>
        <w:tc>
          <w:tcPr>
            <w:tcW w:w="2984" w:type="pct"/>
          </w:tcPr>
          <w:p w14:paraId="722DE4C2" w14:textId="66FA763A" w:rsidR="00AE7E76" w:rsidRPr="00CF4B08" w:rsidRDefault="008C7E50">
            <w:pPr>
              <w:pStyle w:val="TableBodyText"/>
            </w:pPr>
            <w:r>
              <w:t>R</w:t>
            </w:r>
            <w:r w:rsidR="00AE7E76" w:rsidRPr="00CF4B08">
              <w:t>eceive IBAC reports on surveillance device warrants</w:t>
            </w:r>
          </w:p>
        </w:tc>
      </w:tr>
      <w:tr w:rsidR="00AE7E76" w:rsidRPr="002F6765" w14:paraId="19D006F0" w14:textId="77777777" w:rsidTr="2DFA6C99">
        <w:tc>
          <w:tcPr>
            <w:tcW w:w="2016" w:type="pct"/>
            <w:shd w:val="clear" w:color="auto" w:fill="auto"/>
          </w:tcPr>
          <w:p w14:paraId="5C044C8B" w14:textId="36A44EF5" w:rsidR="00AE7E76" w:rsidRPr="00967482" w:rsidRDefault="00AE7E76">
            <w:pPr>
              <w:pStyle w:val="TableBodyText"/>
              <w:rPr>
                <w:highlight w:val="yellow"/>
              </w:rPr>
            </w:pPr>
            <w:bookmarkStart w:id="5" w:name="_Hlk118449109"/>
            <w:r w:rsidRPr="00C71FA9">
              <w:t>Commonwealth Ombudsman</w:t>
            </w:r>
          </w:p>
        </w:tc>
        <w:tc>
          <w:tcPr>
            <w:tcW w:w="2984" w:type="pct"/>
            <w:shd w:val="clear" w:color="auto" w:fill="auto"/>
          </w:tcPr>
          <w:p w14:paraId="2BF96623" w14:textId="31967E57" w:rsidR="00AE7E76" w:rsidRPr="0003235A" w:rsidRDefault="008C7E50">
            <w:pPr>
              <w:pStyle w:val="TableBodyText"/>
            </w:pPr>
            <w:r>
              <w:t>I</w:t>
            </w:r>
            <w:r w:rsidR="00AE7E76" w:rsidRPr="00CA3251">
              <w:t xml:space="preserve">nspects IBAC's use of stored communications </w:t>
            </w:r>
            <w:r w:rsidR="00AE7E76" w:rsidRPr="00805439">
              <w:t>warrants</w:t>
            </w:r>
            <w:r w:rsidR="000E160B" w:rsidRPr="00805439">
              <w:t xml:space="preserve"> and telecommunications data authorisations</w:t>
            </w:r>
          </w:p>
        </w:tc>
      </w:tr>
      <w:tr w:rsidR="00AE7E76" w:rsidRPr="002F6765" w14:paraId="1C0E4AE1" w14:textId="77777777" w:rsidTr="2DFA6C99">
        <w:tc>
          <w:tcPr>
            <w:tcW w:w="2016" w:type="pct"/>
            <w:shd w:val="clear" w:color="auto" w:fill="auto"/>
          </w:tcPr>
          <w:p w14:paraId="5CA6DDD5" w14:textId="148EE78B" w:rsidR="00AE7E76" w:rsidRPr="004032CE" w:rsidRDefault="0009195A">
            <w:pPr>
              <w:pStyle w:val="TableBodyText"/>
            </w:pPr>
            <w:r>
              <w:t xml:space="preserve">Australian Government </w:t>
            </w:r>
            <w:r w:rsidR="00AE7E76" w:rsidRPr="004032CE">
              <w:t>Department of Home Affairs</w:t>
            </w:r>
          </w:p>
        </w:tc>
        <w:tc>
          <w:tcPr>
            <w:tcW w:w="2984" w:type="pct"/>
            <w:shd w:val="clear" w:color="auto" w:fill="auto"/>
          </w:tcPr>
          <w:p w14:paraId="08991A83" w14:textId="75799F54" w:rsidR="00AE7E76" w:rsidRPr="002F6765" w:rsidRDefault="008C7E50">
            <w:pPr>
              <w:pStyle w:val="TableBodyText"/>
            </w:pPr>
            <w:r>
              <w:t>R</w:t>
            </w:r>
            <w:r w:rsidR="00AE7E76" w:rsidRPr="002F6765">
              <w:t xml:space="preserve">eceives IBAC reports </w:t>
            </w:r>
            <w:r w:rsidR="00AE7E76" w:rsidRPr="004032CE">
              <w:t>on</w:t>
            </w:r>
            <w:r w:rsidR="00AE7E76" w:rsidRPr="002F6765">
              <w:t xml:space="preserve">: </w:t>
            </w:r>
          </w:p>
          <w:p w14:paraId="749AB6CE" w14:textId="77777777" w:rsidR="00AE7E76" w:rsidRPr="004032CE" w:rsidRDefault="00AE7E76">
            <w:pPr>
              <w:pStyle w:val="TableListBullet"/>
            </w:pPr>
            <w:r>
              <w:t xml:space="preserve">telecommunications interception warrants </w:t>
            </w:r>
          </w:p>
          <w:p w14:paraId="6E63E4E9" w14:textId="77777777" w:rsidR="00AE7E76" w:rsidRPr="004032CE" w:rsidRDefault="00AE7E76">
            <w:pPr>
              <w:pStyle w:val="TableListBullet"/>
            </w:pPr>
            <w:r>
              <w:t xml:space="preserve">telecommunications data authorisations </w:t>
            </w:r>
          </w:p>
          <w:p w14:paraId="0951A407" w14:textId="2A191642" w:rsidR="00AE7E76" w:rsidRPr="002F6765" w:rsidRDefault="00AE7E76">
            <w:pPr>
              <w:pStyle w:val="TableListBullet"/>
            </w:pPr>
            <w:r>
              <w:t>stored communications warrants</w:t>
            </w:r>
          </w:p>
        </w:tc>
      </w:tr>
    </w:tbl>
    <w:p w14:paraId="55133C78" w14:textId="77777777" w:rsidR="007957B2" w:rsidRDefault="007957B2" w:rsidP="00824577">
      <w:pPr>
        <w:pStyle w:val="Heading2unnumbered"/>
      </w:pPr>
      <w:bookmarkStart w:id="6" w:name="_Ref118809929"/>
      <w:bookmarkEnd w:id="2"/>
      <w:bookmarkEnd w:id="5"/>
      <w:r>
        <w:t>Legislation</w:t>
      </w:r>
    </w:p>
    <w:p w14:paraId="5568265D" w14:textId="14BACD65" w:rsidR="008C7E50" w:rsidRDefault="007957B2" w:rsidP="72087732">
      <w:pPr>
        <w:pStyle w:val="BodyText"/>
      </w:pPr>
      <w:r>
        <w:t xml:space="preserve">IBAC’s governing legislation is the </w:t>
      </w:r>
      <w:r w:rsidRPr="007E78B5">
        <w:t>IBAC Act</w:t>
      </w:r>
      <w:r>
        <w:t xml:space="preserve">. </w:t>
      </w:r>
      <w:r w:rsidR="00A3306C">
        <w:t>We are</w:t>
      </w:r>
      <w:r>
        <w:t xml:space="preserve"> also responsible for the application of the PID Act</w:t>
      </w:r>
      <w:r w:rsidRPr="007211D6">
        <w:t xml:space="preserve"> </w:t>
      </w:r>
      <w:r>
        <w:t xml:space="preserve">and operate in accordance with </w:t>
      </w:r>
      <w:r w:rsidR="009426FD">
        <w:t>legislation on a range of matters</w:t>
      </w:r>
      <w:r w:rsidR="004115CF">
        <w:t xml:space="preserve">, including </w:t>
      </w:r>
      <w:r>
        <w:t xml:space="preserve">the </w:t>
      </w:r>
      <w:r w:rsidRPr="11834A44">
        <w:rPr>
          <w:rStyle w:val="Characteritalic"/>
        </w:rPr>
        <w:t>Charter of Human Rights and Responsibilities Act 2006</w:t>
      </w:r>
      <w:r w:rsidR="00A535B2">
        <w:rPr>
          <w:rStyle w:val="Characteritalic"/>
        </w:rPr>
        <w:t xml:space="preserve"> </w:t>
      </w:r>
      <w:r w:rsidR="00A535B2" w:rsidRPr="00A535B2">
        <w:t>(Vic)</w:t>
      </w:r>
      <w:r w:rsidRPr="11834A44">
        <w:rPr>
          <w:rStyle w:val="Characteritalic"/>
        </w:rPr>
        <w:t xml:space="preserve"> </w:t>
      </w:r>
      <w:r w:rsidRPr="007E78B5">
        <w:t>(Charter of Human Rights)</w:t>
      </w:r>
      <w:r>
        <w:t xml:space="preserve">. </w:t>
      </w:r>
    </w:p>
    <w:p w14:paraId="09C7502E" w14:textId="2B396F1B" w:rsidR="009869C4" w:rsidRDefault="007957B2" w:rsidP="72087732">
      <w:pPr>
        <w:pStyle w:val="BodyText"/>
      </w:pPr>
      <w:r>
        <w:t>Refer to</w:t>
      </w:r>
      <w:r w:rsidR="004200DA">
        <w:t xml:space="preserve"> </w:t>
      </w:r>
      <w:r>
        <w:fldChar w:fldCharType="begin"/>
      </w:r>
      <w:r>
        <w:instrText xml:space="preserve"> REF _Ref135832615 \r \h </w:instrText>
      </w:r>
      <w:r>
        <w:fldChar w:fldCharType="separate"/>
      </w:r>
      <w:r w:rsidR="004200DA">
        <w:t>Appendix D:</w:t>
      </w:r>
      <w:r>
        <w:fldChar w:fldCharType="end"/>
      </w:r>
      <w:r w:rsidR="004200DA">
        <w:t xml:space="preserve"> </w:t>
      </w:r>
      <w:r>
        <w:fldChar w:fldCharType="begin"/>
      </w:r>
      <w:r>
        <w:instrText xml:space="preserve"> REF _Ref135832615 \h </w:instrText>
      </w:r>
      <w:r>
        <w:fldChar w:fldCharType="separate"/>
      </w:r>
      <w:r w:rsidR="004200DA">
        <w:t>Legislation</w:t>
      </w:r>
      <w:r>
        <w:fldChar w:fldCharType="end"/>
      </w:r>
      <w:r>
        <w:t xml:space="preserve"> </w:t>
      </w:r>
      <w:r w:rsidR="001E4298">
        <w:t xml:space="preserve">for </w:t>
      </w:r>
      <w:r w:rsidR="00DC086B">
        <w:t>an i</w:t>
      </w:r>
      <w:r w:rsidR="00B70C9D">
        <w:t>n</w:t>
      </w:r>
      <w:r w:rsidR="00DC086B">
        <w:t xml:space="preserve">dex of legislation referenced in this report. </w:t>
      </w:r>
    </w:p>
    <w:p w14:paraId="62912F74" w14:textId="6C9884C2" w:rsidR="00E65AD0" w:rsidRPr="007211D6" w:rsidRDefault="00E65AD0" w:rsidP="007211D6">
      <w:pPr>
        <w:pStyle w:val="BodyText"/>
      </w:pPr>
      <w:r>
        <w:br w:type="page"/>
      </w:r>
    </w:p>
    <w:bookmarkEnd w:id="6"/>
    <w:p w14:paraId="723DC271" w14:textId="1E2D5A84" w:rsidR="00883501" w:rsidRPr="00883501" w:rsidRDefault="00883501" w:rsidP="00883501">
      <w:pPr>
        <w:pStyle w:val="BodyText"/>
        <w:sectPr w:rsidR="00883501" w:rsidRPr="00883501" w:rsidSect="008A3822">
          <w:headerReference w:type="even" r:id="rId24"/>
          <w:headerReference w:type="default" r:id="rId25"/>
          <w:headerReference w:type="first" r:id="rId26"/>
          <w:pgSz w:w="11907" w:h="16839" w:code="9"/>
          <w:pgMar w:top="1440" w:right="1440" w:bottom="1440" w:left="1440" w:header="720" w:footer="720" w:gutter="0"/>
          <w:pgNumType w:fmt="lowerRoman"/>
          <w:cols w:space="720"/>
          <w:docGrid w:linePitch="360"/>
        </w:sectPr>
      </w:pPr>
    </w:p>
    <w:p w14:paraId="3FA038F5" w14:textId="586D90EC" w:rsidR="00D64427" w:rsidRPr="007748E3" w:rsidRDefault="00D64427">
      <w:pPr>
        <w:pStyle w:val="TOCHeading"/>
      </w:pPr>
      <w:r w:rsidRPr="007748E3">
        <w:t>Contents</w:t>
      </w:r>
    </w:p>
    <w:p w14:paraId="72830B6A" w14:textId="40116550" w:rsidR="00243E38" w:rsidRDefault="00252994">
      <w:pPr>
        <w:pStyle w:val="TOC1"/>
        <w:rPr>
          <w:rFonts w:asciiTheme="minorHAnsi" w:eastAsiaTheme="minorEastAsia" w:hAnsiTheme="minorHAnsi"/>
          <w:kern w:val="2"/>
          <w:sz w:val="24"/>
          <w:szCs w:val="24"/>
          <w:lang w:eastAsia="en-GB"/>
          <w14:ligatures w14:val="standardContextual"/>
        </w:rPr>
      </w:pPr>
      <w:r>
        <w:rPr>
          <w:rFonts w:asciiTheme="minorHAnsi" w:hAnsiTheme="minorHAnsi"/>
          <w:b/>
          <w:sz w:val="20"/>
        </w:rPr>
        <w:fldChar w:fldCharType="begin"/>
      </w:r>
      <w:r>
        <w:rPr>
          <w:rFonts w:asciiTheme="minorHAnsi" w:hAnsiTheme="minorHAnsi"/>
          <w:b/>
          <w:sz w:val="20"/>
        </w:rPr>
        <w:instrText xml:space="preserve"> TOC \h \z \t "Heading 1,1,Heading 1 (ToC included),1" </w:instrText>
      </w:r>
      <w:r>
        <w:rPr>
          <w:rFonts w:asciiTheme="minorHAnsi" w:hAnsiTheme="minorHAnsi"/>
          <w:b/>
          <w:sz w:val="20"/>
        </w:rPr>
        <w:fldChar w:fldCharType="separate"/>
      </w:r>
      <w:hyperlink w:anchor="_Toc149131442" w:history="1">
        <w:r w:rsidR="00243E38" w:rsidRPr="0093320E">
          <w:rPr>
            <w:rStyle w:val="Hyperlink"/>
          </w:rPr>
          <w:t>Commissioner’s message</w:t>
        </w:r>
        <w:r w:rsidR="00243E38">
          <w:rPr>
            <w:webHidden/>
          </w:rPr>
          <w:tab/>
        </w:r>
        <w:r w:rsidR="00243E38">
          <w:rPr>
            <w:webHidden/>
          </w:rPr>
          <w:fldChar w:fldCharType="begin"/>
        </w:r>
        <w:r w:rsidR="00243E38">
          <w:rPr>
            <w:webHidden/>
          </w:rPr>
          <w:instrText xml:space="preserve"> PAGEREF _Toc149131442 \h </w:instrText>
        </w:r>
        <w:r w:rsidR="00243E38">
          <w:rPr>
            <w:webHidden/>
          </w:rPr>
        </w:r>
        <w:r w:rsidR="00243E38">
          <w:rPr>
            <w:webHidden/>
          </w:rPr>
          <w:fldChar w:fldCharType="separate"/>
        </w:r>
        <w:r w:rsidR="00243E38">
          <w:rPr>
            <w:webHidden/>
          </w:rPr>
          <w:t>10</w:t>
        </w:r>
        <w:r w:rsidR="00243E38">
          <w:rPr>
            <w:webHidden/>
          </w:rPr>
          <w:fldChar w:fldCharType="end"/>
        </w:r>
      </w:hyperlink>
    </w:p>
    <w:p w14:paraId="2859D9D8" w14:textId="2115EB0B" w:rsidR="00243E38" w:rsidRDefault="00F31239">
      <w:pPr>
        <w:pStyle w:val="TOC1"/>
        <w:rPr>
          <w:rFonts w:asciiTheme="minorHAnsi" w:eastAsiaTheme="minorEastAsia" w:hAnsiTheme="minorHAnsi"/>
          <w:kern w:val="2"/>
          <w:sz w:val="24"/>
          <w:szCs w:val="24"/>
          <w:lang w:eastAsia="en-GB"/>
          <w14:ligatures w14:val="standardContextual"/>
        </w:rPr>
      </w:pPr>
      <w:hyperlink w:anchor="_Toc149131443" w:history="1">
        <w:r w:rsidR="00243E38" w:rsidRPr="0093320E">
          <w:rPr>
            <w:rStyle w:val="Hyperlink"/>
          </w:rPr>
          <w:t>CEO’s message</w:t>
        </w:r>
        <w:r w:rsidR="00243E38">
          <w:rPr>
            <w:webHidden/>
          </w:rPr>
          <w:tab/>
        </w:r>
        <w:r w:rsidR="00243E38">
          <w:rPr>
            <w:webHidden/>
          </w:rPr>
          <w:fldChar w:fldCharType="begin"/>
        </w:r>
        <w:r w:rsidR="00243E38">
          <w:rPr>
            <w:webHidden/>
          </w:rPr>
          <w:instrText xml:space="preserve"> PAGEREF _Toc149131443 \h </w:instrText>
        </w:r>
        <w:r w:rsidR="00243E38">
          <w:rPr>
            <w:webHidden/>
          </w:rPr>
        </w:r>
        <w:r w:rsidR="00243E38">
          <w:rPr>
            <w:webHidden/>
          </w:rPr>
          <w:fldChar w:fldCharType="separate"/>
        </w:r>
        <w:r w:rsidR="00243E38">
          <w:rPr>
            <w:webHidden/>
          </w:rPr>
          <w:t>13</w:t>
        </w:r>
        <w:r w:rsidR="00243E38">
          <w:rPr>
            <w:webHidden/>
          </w:rPr>
          <w:fldChar w:fldCharType="end"/>
        </w:r>
      </w:hyperlink>
    </w:p>
    <w:p w14:paraId="1A07025F" w14:textId="1C64FB21" w:rsidR="00243E38" w:rsidRDefault="00F31239">
      <w:pPr>
        <w:pStyle w:val="TOC1"/>
        <w:rPr>
          <w:rFonts w:asciiTheme="minorHAnsi" w:eastAsiaTheme="minorEastAsia" w:hAnsiTheme="minorHAnsi"/>
          <w:kern w:val="2"/>
          <w:sz w:val="24"/>
          <w:szCs w:val="24"/>
          <w:lang w:eastAsia="en-GB"/>
          <w14:ligatures w14:val="standardContextual"/>
        </w:rPr>
      </w:pPr>
      <w:hyperlink w:anchor="_Toc149131444" w:history="1">
        <w:r w:rsidR="00243E38" w:rsidRPr="0093320E">
          <w:rPr>
            <w:rStyle w:val="Hyperlink"/>
          </w:rPr>
          <w:t>2022/23 snapshot</w:t>
        </w:r>
        <w:r w:rsidR="00243E38">
          <w:rPr>
            <w:webHidden/>
          </w:rPr>
          <w:tab/>
        </w:r>
        <w:r w:rsidR="00243E38">
          <w:rPr>
            <w:webHidden/>
          </w:rPr>
          <w:fldChar w:fldCharType="begin"/>
        </w:r>
        <w:r w:rsidR="00243E38">
          <w:rPr>
            <w:webHidden/>
          </w:rPr>
          <w:instrText xml:space="preserve"> PAGEREF _Toc149131444 \h </w:instrText>
        </w:r>
        <w:r w:rsidR="00243E38">
          <w:rPr>
            <w:webHidden/>
          </w:rPr>
        </w:r>
        <w:r w:rsidR="00243E38">
          <w:rPr>
            <w:webHidden/>
          </w:rPr>
          <w:fldChar w:fldCharType="separate"/>
        </w:r>
        <w:r w:rsidR="00243E38">
          <w:rPr>
            <w:webHidden/>
          </w:rPr>
          <w:t>16</w:t>
        </w:r>
        <w:r w:rsidR="00243E38">
          <w:rPr>
            <w:webHidden/>
          </w:rPr>
          <w:fldChar w:fldCharType="end"/>
        </w:r>
      </w:hyperlink>
    </w:p>
    <w:p w14:paraId="19F2B441" w14:textId="184B0F6F" w:rsidR="00243E38" w:rsidRDefault="00F31239">
      <w:pPr>
        <w:pStyle w:val="TOC1"/>
        <w:rPr>
          <w:rFonts w:asciiTheme="minorHAnsi" w:eastAsiaTheme="minorEastAsia" w:hAnsiTheme="minorHAnsi"/>
          <w:kern w:val="2"/>
          <w:sz w:val="24"/>
          <w:szCs w:val="24"/>
          <w:lang w:eastAsia="en-GB"/>
          <w14:ligatures w14:val="standardContextual"/>
        </w:rPr>
      </w:pPr>
      <w:hyperlink w:anchor="_Toc149131445" w:history="1">
        <w:r w:rsidR="00243E38" w:rsidRPr="0093320E">
          <w:rPr>
            <w:rStyle w:val="Hyperlink"/>
          </w:rPr>
          <w:t>Section 1:</w:t>
        </w:r>
        <w:r w:rsidR="00243E38">
          <w:rPr>
            <w:rFonts w:asciiTheme="minorHAnsi" w:eastAsiaTheme="minorEastAsia" w:hAnsiTheme="minorHAnsi"/>
            <w:kern w:val="2"/>
            <w:sz w:val="24"/>
            <w:szCs w:val="24"/>
            <w:lang w:eastAsia="en-GB"/>
            <w14:ligatures w14:val="standardContextual"/>
          </w:rPr>
          <w:tab/>
        </w:r>
        <w:r w:rsidR="00243E38" w:rsidRPr="0093320E">
          <w:rPr>
            <w:rStyle w:val="Hyperlink"/>
          </w:rPr>
          <w:t>Year in review</w:t>
        </w:r>
        <w:r w:rsidR="00243E38">
          <w:rPr>
            <w:webHidden/>
          </w:rPr>
          <w:tab/>
        </w:r>
        <w:r w:rsidR="00243E38">
          <w:rPr>
            <w:webHidden/>
          </w:rPr>
          <w:fldChar w:fldCharType="begin"/>
        </w:r>
        <w:r w:rsidR="00243E38">
          <w:rPr>
            <w:webHidden/>
          </w:rPr>
          <w:instrText xml:space="preserve"> PAGEREF _Toc149131445 \h </w:instrText>
        </w:r>
        <w:r w:rsidR="00243E38">
          <w:rPr>
            <w:webHidden/>
          </w:rPr>
        </w:r>
        <w:r w:rsidR="00243E38">
          <w:rPr>
            <w:webHidden/>
          </w:rPr>
          <w:fldChar w:fldCharType="separate"/>
        </w:r>
        <w:r w:rsidR="00243E38">
          <w:rPr>
            <w:webHidden/>
          </w:rPr>
          <w:t>18</w:t>
        </w:r>
        <w:r w:rsidR="00243E38">
          <w:rPr>
            <w:webHidden/>
          </w:rPr>
          <w:fldChar w:fldCharType="end"/>
        </w:r>
      </w:hyperlink>
    </w:p>
    <w:p w14:paraId="0EF9EEDE" w14:textId="72856869" w:rsidR="00243E38" w:rsidRDefault="00F31239">
      <w:pPr>
        <w:pStyle w:val="TOC1"/>
        <w:rPr>
          <w:rFonts w:asciiTheme="minorHAnsi" w:eastAsiaTheme="minorEastAsia" w:hAnsiTheme="minorHAnsi"/>
          <w:kern w:val="2"/>
          <w:sz w:val="24"/>
          <w:szCs w:val="24"/>
          <w:lang w:eastAsia="en-GB"/>
          <w14:ligatures w14:val="standardContextual"/>
        </w:rPr>
      </w:pPr>
      <w:hyperlink w:anchor="_Toc149131446" w:history="1">
        <w:r w:rsidR="00243E38" w:rsidRPr="0093320E">
          <w:rPr>
            <w:rStyle w:val="Hyperlink"/>
          </w:rPr>
          <w:t>Section 2:</w:t>
        </w:r>
        <w:r w:rsidR="00243E38">
          <w:rPr>
            <w:rFonts w:asciiTheme="minorHAnsi" w:eastAsiaTheme="minorEastAsia" w:hAnsiTheme="minorHAnsi"/>
            <w:kern w:val="2"/>
            <w:sz w:val="24"/>
            <w:szCs w:val="24"/>
            <w:lang w:eastAsia="en-GB"/>
            <w14:ligatures w14:val="standardContextual"/>
          </w:rPr>
          <w:tab/>
        </w:r>
        <w:r w:rsidR="00243E38" w:rsidRPr="0093320E">
          <w:rPr>
            <w:rStyle w:val="Hyperlink"/>
          </w:rPr>
          <w:t>Our performance</w:t>
        </w:r>
        <w:r w:rsidR="00243E38">
          <w:rPr>
            <w:webHidden/>
          </w:rPr>
          <w:tab/>
        </w:r>
        <w:r w:rsidR="00243E38">
          <w:rPr>
            <w:webHidden/>
          </w:rPr>
          <w:fldChar w:fldCharType="begin"/>
        </w:r>
        <w:r w:rsidR="00243E38">
          <w:rPr>
            <w:webHidden/>
          </w:rPr>
          <w:instrText xml:space="preserve"> PAGEREF _Toc149131446 \h </w:instrText>
        </w:r>
        <w:r w:rsidR="00243E38">
          <w:rPr>
            <w:webHidden/>
          </w:rPr>
        </w:r>
        <w:r w:rsidR="00243E38">
          <w:rPr>
            <w:webHidden/>
          </w:rPr>
          <w:fldChar w:fldCharType="separate"/>
        </w:r>
        <w:r w:rsidR="00243E38">
          <w:rPr>
            <w:webHidden/>
          </w:rPr>
          <w:t>24</w:t>
        </w:r>
        <w:r w:rsidR="00243E38">
          <w:rPr>
            <w:webHidden/>
          </w:rPr>
          <w:fldChar w:fldCharType="end"/>
        </w:r>
      </w:hyperlink>
    </w:p>
    <w:p w14:paraId="254D788B" w14:textId="4E266675" w:rsidR="00243E38" w:rsidRDefault="00F31239">
      <w:pPr>
        <w:pStyle w:val="TOC1"/>
        <w:rPr>
          <w:rFonts w:asciiTheme="minorHAnsi" w:eastAsiaTheme="minorEastAsia" w:hAnsiTheme="minorHAnsi"/>
          <w:kern w:val="2"/>
          <w:sz w:val="24"/>
          <w:szCs w:val="24"/>
          <w:lang w:eastAsia="en-GB"/>
          <w14:ligatures w14:val="standardContextual"/>
        </w:rPr>
      </w:pPr>
      <w:hyperlink w:anchor="_Toc149131447" w:history="1">
        <w:r w:rsidR="00243E38" w:rsidRPr="0093320E">
          <w:rPr>
            <w:rStyle w:val="Hyperlink"/>
          </w:rPr>
          <w:t>Section 3:</w:t>
        </w:r>
        <w:r w:rsidR="00243E38">
          <w:rPr>
            <w:rFonts w:asciiTheme="minorHAnsi" w:eastAsiaTheme="minorEastAsia" w:hAnsiTheme="minorHAnsi"/>
            <w:kern w:val="2"/>
            <w:sz w:val="24"/>
            <w:szCs w:val="24"/>
            <w:lang w:eastAsia="en-GB"/>
            <w14:ligatures w14:val="standardContextual"/>
          </w:rPr>
          <w:tab/>
        </w:r>
        <w:r w:rsidR="00243E38" w:rsidRPr="0093320E">
          <w:rPr>
            <w:rStyle w:val="Hyperlink"/>
          </w:rPr>
          <w:t>Our people and organisation</w:t>
        </w:r>
        <w:r w:rsidR="00243E38">
          <w:rPr>
            <w:webHidden/>
          </w:rPr>
          <w:tab/>
        </w:r>
        <w:r w:rsidR="00243E38">
          <w:rPr>
            <w:webHidden/>
          </w:rPr>
          <w:fldChar w:fldCharType="begin"/>
        </w:r>
        <w:r w:rsidR="00243E38">
          <w:rPr>
            <w:webHidden/>
          </w:rPr>
          <w:instrText xml:space="preserve"> PAGEREF _Toc149131447 \h </w:instrText>
        </w:r>
        <w:r w:rsidR="00243E38">
          <w:rPr>
            <w:webHidden/>
          </w:rPr>
        </w:r>
        <w:r w:rsidR="00243E38">
          <w:rPr>
            <w:webHidden/>
          </w:rPr>
          <w:fldChar w:fldCharType="separate"/>
        </w:r>
        <w:r w:rsidR="00243E38">
          <w:rPr>
            <w:webHidden/>
          </w:rPr>
          <w:t>54</w:t>
        </w:r>
        <w:r w:rsidR="00243E38">
          <w:rPr>
            <w:webHidden/>
          </w:rPr>
          <w:fldChar w:fldCharType="end"/>
        </w:r>
      </w:hyperlink>
    </w:p>
    <w:p w14:paraId="28162153" w14:textId="4EB8F796" w:rsidR="00243E38" w:rsidRDefault="00F31239">
      <w:pPr>
        <w:pStyle w:val="TOC1"/>
        <w:rPr>
          <w:rFonts w:asciiTheme="minorHAnsi" w:eastAsiaTheme="minorEastAsia" w:hAnsiTheme="minorHAnsi"/>
          <w:kern w:val="2"/>
          <w:sz w:val="24"/>
          <w:szCs w:val="24"/>
          <w:lang w:eastAsia="en-GB"/>
          <w14:ligatures w14:val="standardContextual"/>
        </w:rPr>
      </w:pPr>
      <w:hyperlink w:anchor="_Toc149131448" w:history="1">
        <w:r w:rsidR="00243E38" w:rsidRPr="0093320E">
          <w:rPr>
            <w:rStyle w:val="Hyperlink"/>
          </w:rPr>
          <w:t>Section 4:</w:t>
        </w:r>
        <w:r w:rsidR="00243E38">
          <w:rPr>
            <w:rFonts w:asciiTheme="minorHAnsi" w:eastAsiaTheme="minorEastAsia" w:hAnsiTheme="minorHAnsi"/>
            <w:kern w:val="2"/>
            <w:sz w:val="24"/>
            <w:szCs w:val="24"/>
            <w:lang w:eastAsia="en-GB"/>
            <w14:ligatures w14:val="standardContextual"/>
          </w:rPr>
          <w:tab/>
        </w:r>
        <w:r w:rsidR="00243E38" w:rsidRPr="0093320E">
          <w:rPr>
            <w:rStyle w:val="Hyperlink"/>
          </w:rPr>
          <w:t>Financial report</w:t>
        </w:r>
        <w:r w:rsidR="00243E38">
          <w:rPr>
            <w:webHidden/>
          </w:rPr>
          <w:tab/>
        </w:r>
        <w:r w:rsidR="00243E38">
          <w:rPr>
            <w:webHidden/>
          </w:rPr>
          <w:fldChar w:fldCharType="begin"/>
        </w:r>
        <w:r w:rsidR="00243E38">
          <w:rPr>
            <w:webHidden/>
          </w:rPr>
          <w:instrText xml:space="preserve"> PAGEREF _Toc149131448 \h </w:instrText>
        </w:r>
        <w:r w:rsidR="00243E38">
          <w:rPr>
            <w:webHidden/>
          </w:rPr>
        </w:r>
        <w:r w:rsidR="00243E38">
          <w:rPr>
            <w:webHidden/>
          </w:rPr>
          <w:fldChar w:fldCharType="separate"/>
        </w:r>
        <w:r w:rsidR="00243E38">
          <w:rPr>
            <w:webHidden/>
          </w:rPr>
          <w:t>64</w:t>
        </w:r>
        <w:r w:rsidR="00243E38">
          <w:rPr>
            <w:webHidden/>
          </w:rPr>
          <w:fldChar w:fldCharType="end"/>
        </w:r>
      </w:hyperlink>
    </w:p>
    <w:p w14:paraId="1180D10E" w14:textId="740922CC" w:rsidR="00D64427" w:rsidRPr="007211D6" w:rsidRDefault="00252994" w:rsidP="007211D6">
      <w:pPr>
        <w:pStyle w:val="BodyText"/>
      </w:pPr>
      <w:r>
        <w:rPr>
          <w:b/>
          <w:noProof/>
          <w:sz w:val="20"/>
        </w:rPr>
        <w:fldChar w:fldCharType="end"/>
      </w:r>
    </w:p>
    <w:p w14:paraId="15E0BAEA" w14:textId="77777777" w:rsidR="00D64427" w:rsidRPr="00006828" w:rsidRDefault="00D64427">
      <w:pPr>
        <w:pStyle w:val="TOCHeading"/>
      </w:pPr>
      <w:r w:rsidRPr="00006828">
        <w:t>Appendices</w:t>
      </w:r>
    </w:p>
    <w:p w14:paraId="424FEFA1" w14:textId="0B0D5EBC" w:rsidR="00243E38" w:rsidRDefault="00D64427">
      <w:pPr>
        <w:pStyle w:val="TOC4"/>
        <w:rPr>
          <w:rFonts w:asciiTheme="minorHAnsi" w:eastAsiaTheme="minorEastAsia" w:hAnsiTheme="minorHAnsi"/>
          <w:kern w:val="2"/>
          <w:sz w:val="24"/>
          <w:szCs w:val="24"/>
          <w:lang w:eastAsia="en-GB"/>
          <w14:ligatures w14:val="standardContextual"/>
        </w:rPr>
      </w:pPr>
      <w:r w:rsidRPr="002F6765">
        <w:rPr>
          <w:rStyle w:val="Hyperlink"/>
          <w:rFonts w:asciiTheme="minorHAnsi" w:hAnsiTheme="minorHAnsi" w:cstheme="minorHAnsi"/>
          <w:sz w:val="20"/>
        </w:rPr>
        <w:fldChar w:fldCharType="begin"/>
      </w:r>
      <w:r w:rsidRPr="002F6765">
        <w:rPr>
          <w:rStyle w:val="Hyperlink"/>
          <w:rFonts w:asciiTheme="minorHAnsi" w:hAnsiTheme="minorHAnsi" w:cstheme="minorHAnsi"/>
          <w:sz w:val="20"/>
        </w:rPr>
        <w:instrText xml:space="preserve"> TOC \h \z \t "Appendix Heading 1,4" </w:instrText>
      </w:r>
      <w:r w:rsidRPr="002F6765">
        <w:rPr>
          <w:rStyle w:val="Hyperlink"/>
          <w:rFonts w:asciiTheme="minorHAnsi" w:hAnsiTheme="minorHAnsi" w:cstheme="minorHAnsi"/>
          <w:sz w:val="20"/>
        </w:rPr>
        <w:fldChar w:fldCharType="separate"/>
      </w:r>
      <w:hyperlink w:anchor="_Toc149131461" w:history="1">
        <w:r w:rsidR="00243E38" w:rsidRPr="00956E04">
          <w:rPr>
            <w:rStyle w:val="Hyperlink"/>
          </w:rPr>
          <w:t>Appendix A:</w:t>
        </w:r>
        <w:r w:rsidR="00243E38">
          <w:rPr>
            <w:rFonts w:asciiTheme="minorHAnsi" w:eastAsiaTheme="minorEastAsia" w:hAnsiTheme="minorHAnsi"/>
            <w:kern w:val="2"/>
            <w:sz w:val="24"/>
            <w:szCs w:val="24"/>
            <w:lang w:eastAsia="en-GB"/>
            <w14:ligatures w14:val="standardContextual"/>
          </w:rPr>
          <w:tab/>
        </w:r>
        <w:r w:rsidR="00243E38" w:rsidRPr="00956E04">
          <w:rPr>
            <w:rStyle w:val="Hyperlink"/>
          </w:rPr>
          <w:t>Workforce data</w:t>
        </w:r>
        <w:r w:rsidR="00243E38">
          <w:rPr>
            <w:webHidden/>
          </w:rPr>
          <w:tab/>
        </w:r>
        <w:r w:rsidR="00243E38">
          <w:rPr>
            <w:webHidden/>
          </w:rPr>
          <w:fldChar w:fldCharType="begin"/>
        </w:r>
        <w:r w:rsidR="00243E38">
          <w:rPr>
            <w:webHidden/>
          </w:rPr>
          <w:instrText xml:space="preserve"> PAGEREF _Toc149131461 \h </w:instrText>
        </w:r>
        <w:r w:rsidR="00243E38">
          <w:rPr>
            <w:webHidden/>
          </w:rPr>
        </w:r>
        <w:r w:rsidR="00243E38">
          <w:rPr>
            <w:webHidden/>
          </w:rPr>
          <w:fldChar w:fldCharType="separate"/>
        </w:r>
        <w:r w:rsidR="00243E38">
          <w:rPr>
            <w:webHidden/>
          </w:rPr>
          <w:t>111</w:t>
        </w:r>
        <w:r w:rsidR="00243E38">
          <w:rPr>
            <w:webHidden/>
          </w:rPr>
          <w:fldChar w:fldCharType="end"/>
        </w:r>
      </w:hyperlink>
    </w:p>
    <w:p w14:paraId="0FA8C803" w14:textId="6172F8E4" w:rsidR="00243E38" w:rsidRDefault="00F31239">
      <w:pPr>
        <w:pStyle w:val="TOC4"/>
        <w:rPr>
          <w:rFonts w:asciiTheme="minorHAnsi" w:eastAsiaTheme="minorEastAsia" w:hAnsiTheme="minorHAnsi"/>
          <w:kern w:val="2"/>
          <w:sz w:val="24"/>
          <w:szCs w:val="24"/>
          <w:lang w:eastAsia="en-GB"/>
          <w14:ligatures w14:val="standardContextual"/>
        </w:rPr>
      </w:pPr>
      <w:hyperlink w:anchor="_Toc149131462" w:history="1">
        <w:r w:rsidR="00243E38" w:rsidRPr="00956E04">
          <w:rPr>
            <w:rStyle w:val="Hyperlink"/>
          </w:rPr>
          <w:t>Appendix B:</w:t>
        </w:r>
        <w:r w:rsidR="00243E38">
          <w:rPr>
            <w:rFonts w:asciiTheme="minorHAnsi" w:eastAsiaTheme="minorEastAsia" w:hAnsiTheme="minorHAnsi"/>
            <w:kern w:val="2"/>
            <w:sz w:val="24"/>
            <w:szCs w:val="24"/>
            <w:lang w:eastAsia="en-GB"/>
            <w14:ligatures w14:val="standardContextual"/>
          </w:rPr>
          <w:tab/>
        </w:r>
        <w:r w:rsidR="00243E38" w:rsidRPr="00956E04">
          <w:rPr>
            <w:rStyle w:val="Hyperlink"/>
          </w:rPr>
          <w:t>Disclosure index</w:t>
        </w:r>
        <w:r w:rsidR="00243E38">
          <w:rPr>
            <w:webHidden/>
          </w:rPr>
          <w:tab/>
        </w:r>
        <w:r w:rsidR="00243E38">
          <w:rPr>
            <w:webHidden/>
          </w:rPr>
          <w:fldChar w:fldCharType="begin"/>
        </w:r>
        <w:r w:rsidR="00243E38">
          <w:rPr>
            <w:webHidden/>
          </w:rPr>
          <w:instrText xml:space="preserve"> PAGEREF _Toc149131462 \h </w:instrText>
        </w:r>
        <w:r w:rsidR="00243E38">
          <w:rPr>
            <w:webHidden/>
          </w:rPr>
        </w:r>
        <w:r w:rsidR="00243E38">
          <w:rPr>
            <w:webHidden/>
          </w:rPr>
          <w:fldChar w:fldCharType="separate"/>
        </w:r>
        <w:r w:rsidR="00243E38">
          <w:rPr>
            <w:webHidden/>
          </w:rPr>
          <w:t>116</w:t>
        </w:r>
        <w:r w:rsidR="00243E38">
          <w:rPr>
            <w:webHidden/>
          </w:rPr>
          <w:fldChar w:fldCharType="end"/>
        </w:r>
      </w:hyperlink>
    </w:p>
    <w:p w14:paraId="590DCA5E" w14:textId="1A424CEA" w:rsidR="00243E38" w:rsidRDefault="00F31239">
      <w:pPr>
        <w:pStyle w:val="TOC4"/>
        <w:rPr>
          <w:rFonts w:asciiTheme="minorHAnsi" w:eastAsiaTheme="minorEastAsia" w:hAnsiTheme="minorHAnsi"/>
          <w:kern w:val="2"/>
          <w:sz w:val="24"/>
          <w:szCs w:val="24"/>
          <w:lang w:eastAsia="en-GB"/>
          <w14:ligatures w14:val="standardContextual"/>
        </w:rPr>
      </w:pPr>
      <w:hyperlink w:anchor="_Toc149131463" w:history="1">
        <w:r w:rsidR="00243E38" w:rsidRPr="00956E04">
          <w:rPr>
            <w:rStyle w:val="Hyperlink"/>
          </w:rPr>
          <w:t>Appendix C:</w:t>
        </w:r>
        <w:r w:rsidR="00243E38">
          <w:rPr>
            <w:rFonts w:asciiTheme="minorHAnsi" w:eastAsiaTheme="minorEastAsia" w:hAnsiTheme="minorHAnsi"/>
            <w:kern w:val="2"/>
            <w:sz w:val="24"/>
            <w:szCs w:val="24"/>
            <w:lang w:eastAsia="en-GB"/>
            <w14:ligatures w14:val="standardContextual"/>
          </w:rPr>
          <w:tab/>
        </w:r>
        <w:r w:rsidR="00243E38" w:rsidRPr="00956E04">
          <w:rPr>
            <w:rStyle w:val="Hyperlink"/>
          </w:rPr>
          <w:t>Other disclosures</w:t>
        </w:r>
        <w:r w:rsidR="00243E38">
          <w:rPr>
            <w:webHidden/>
          </w:rPr>
          <w:tab/>
        </w:r>
        <w:r w:rsidR="00243E38">
          <w:rPr>
            <w:webHidden/>
          </w:rPr>
          <w:fldChar w:fldCharType="begin"/>
        </w:r>
        <w:r w:rsidR="00243E38">
          <w:rPr>
            <w:webHidden/>
          </w:rPr>
          <w:instrText xml:space="preserve"> PAGEREF _Toc149131463 \h </w:instrText>
        </w:r>
        <w:r w:rsidR="00243E38">
          <w:rPr>
            <w:webHidden/>
          </w:rPr>
        </w:r>
        <w:r w:rsidR="00243E38">
          <w:rPr>
            <w:webHidden/>
          </w:rPr>
          <w:fldChar w:fldCharType="separate"/>
        </w:r>
        <w:r w:rsidR="00243E38">
          <w:rPr>
            <w:webHidden/>
          </w:rPr>
          <w:t>118</w:t>
        </w:r>
        <w:r w:rsidR="00243E38">
          <w:rPr>
            <w:webHidden/>
          </w:rPr>
          <w:fldChar w:fldCharType="end"/>
        </w:r>
      </w:hyperlink>
    </w:p>
    <w:p w14:paraId="01196998" w14:textId="57BC2704" w:rsidR="00243E38" w:rsidRDefault="00F31239">
      <w:pPr>
        <w:pStyle w:val="TOC4"/>
        <w:rPr>
          <w:rFonts w:asciiTheme="minorHAnsi" w:eastAsiaTheme="minorEastAsia" w:hAnsiTheme="minorHAnsi"/>
          <w:kern w:val="2"/>
          <w:sz w:val="24"/>
          <w:szCs w:val="24"/>
          <w:lang w:eastAsia="en-GB"/>
          <w14:ligatures w14:val="standardContextual"/>
        </w:rPr>
      </w:pPr>
      <w:hyperlink w:anchor="_Toc149131464" w:history="1">
        <w:r w:rsidR="00243E38" w:rsidRPr="00956E04">
          <w:rPr>
            <w:rStyle w:val="Hyperlink"/>
          </w:rPr>
          <w:t>Appendix D:</w:t>
        </w:r>
        <w:r w:rsidR="00243E38">
          <w:rPr>
            <w:rFonts w:asciiTheme="minorHAnsi" w:eastAsiaTheme="minorEastAsia" w:hAnsiTheme="minorHAnsi"/>
            <w:kern w:val="2"/>
            <w:sz w:val="24"/>
            <w:szCs w:val="24"/>
            <w:lang w:eastAsia="en-GB"/>
            <w14:ligatures w14:val="standardContextual"/>
          </w:rPr>
          <w:tab/>
        </w:r>
        <w:r w:rsidR="00243E38" w:rsidRPr="00956E04">
          <w:rPr>
            <w:rStyle w:val="Hyperlink"/>
          </w:rPr>
          <w:t>Legislation</w:t>
        </w:r>
        <w:r w:rsidR="00243E38">
          <w:rPr>
            <w:webHidden/>
          </w:rPr>
          <w:tab/>
        </w:r>
        <w:r w:rsidR="00243E38">
          <w:rPr>
            <w:webHidden/>
          </w:rPr>
          <w:fldChar w:fldCharType="begin"/>
        </w:r>
        <w:r w:rsidR="00243E38">
          <w:rPr>
            <w:webHidden/>
          </w:rPr>
          <w:instrText xml:space="preserve"> PAGEREF _Toc149131464 \h </w:instrText>
        </w:r>
        <w:r w:rsidR="00243E38">
          <w:rPr>
            <w:webHidden/>
          </w:rPr>
        </w:r>
        <w:r w:rsidR="00243E38">
          <w:rPr>
            <w:webHidden/>
          </w:rPr>
          <w:fldChar w:fldCharType="separate"/>
        </w:r>
        <w:r w:rsidR="00243E38">
          <w:rPr>
            <w:webHidden/>
          </w:rPr>
          <w:t>133</w:t>
        </w:r>
        <w:r w:rsidR="00243E38">
          <w:rPr>
            <w:webHidden/>
          </w:rPr>
          <w:fldChar w:fldCharType="end"/>
        </w:r>
      </w:hyperlink>
    </w:p>
    <w:p w14:paraId="46F49FD8" w14:textId="6FC3D27F" w:rsidR="00243E38" w:rsidRDefault="00F31239">
      <w:pPr>
        <w:pStyle w:val="TOC4"/>
        <w:rPr>
          <w:rFonts w:asciiTheme="minorHAnsi" w:eastAsiaTheme="minorEastAsia" w:hAnsiTheme="minorHAnsi"/>
          <w:kern w:val="2"/>
          <w:sz w:val="24"/>
          <w:szCs w:val="24"/>
          <w:lang w:eastAsia="en-GB"/>
          <w14:ligatures w14:val="standardContextual"/>
        </w:rPr>
      </w:pPr>
      <w:hyperlink w:anchor="_Toc149131465" w:history="1">
        <w:r w:rsidR="00243E38" w:rsidRPr="00956E04">
          <w:rPr>
            <w:rStyle w:val="Hyperlink"/>
          </w:rPr>
          <w:t>Appendix E:</w:t>
        </w:r>
        <w:r w:rsidR="0060611D">
          <w:t xml:space="preserve"> </w:t>
        </w:r>
        <w:r w:rsidR="00243E38" w:rsidRPr="00956E04">
          <w:rPr>
            <w:rStyle w:val="Hyperlink"/>
          </w:rPr>
          <w:t>Abbreviations</w:t>
        </w:r>
        <w:r w:rsidR="00243E38">
          <w:rPr>
            <w:webHidden/>
          </w:rPr>
          <w:tab/>
        </w:r>
        <w:r w:rsidR="00243E38">
          <w:rPr>
            <w:webHidden/>
          </w:rPr>
          <w:fldChar w:fldCharType="begin"/>
        </w:r>
        <w:r w:rsidR="00243E38">
          <w:rPr>
            <w:webHidden/>
          </w:rPr>
          <w:instrText xml:space="preserve"> PAGEREF _Toc149131465 \h </w:instrText>
        </w:r>
        <w:r w:rsidR="00243E38">
          <w:rPr>
            <w:webHidden/>
          </w:rPr>
        </w:r>
        <w:r w:rsidR="00243E38">
          <w:rPr>
            <w:webHidden/>
          </w:rPr>
          <w:fldChar w:fldCharType="separate"/>
        </w:r>
        <w:r w:rsidR="00243E38">
          <w:rPr>
            <w:webHidden/>
          </w:rPr>
          <w:t>134</w:t>
        </w:r>
        <w:r w:rsidR="00243E38">
          <w:rPr>
            <w:webHidden/>
          </w:rPr>
          <w:fldChar w:fldCharType="end"/>
        </w:r>
      </w:hyperlink>
    </w:p>
    <w:p w14:paraId="0CF01C8D" w14:textId="3700F5A4" w:rsidR="00C651E6" w:rsidRPr="001541AB" w:rsidRDefault="00D64427" w:rsidP="001541AB">
      <w:pPr>
        <w:pStyle w:val="BodyText"/>
      </w:pPr>
      <w:r w:rsidRPr="002F6765">
        <w:rPr>
          <w:rStyle w:val="Hyperlink"/>
          <w:rFonts w:asciiTheme="minorHAnsi" w:hAnsiTheme="minorHAnsi" w:cstheme="minorHAnsi"/>
          <w:sz w:val="20"/>
        </w:rPr>
        <w:fldChar w:fldCharType="end"/>
      </w:r>
      <w:r w:rsidR="00C651E6" w:rsidRPr="001541AB">
        <w:br w:type="page"/>
      </w:r>
    </w:p>
    <w:p w14:paraId="14650A6A" w14:textId="6B468F30" w:rsidR="00AE05FB" w:rsidRDefault="00AE05FB">
      <w:pPr>
        <w:pStyle w:val="Heading1ToCincluded"/>
      </w:pPr>
      <w:bookmarkStart w:id="7" w:name="_Toc149131442"/>
      <w:r w:rsidRPr="002F6765">
        <w:t>Commissioner’s message</w:t>
      </w:r>
      <w:bookmarkEnd w:id="7"/>
    </w:p>
    <w:p w14:paraId="0D2812D8" w14:textId="77777777" w:rsidR="000D4413" w:rsidRPr="000E132B" w:rsidRDefault="00991EDD" w:rsidP="000E132B">
      <w:pPr>
        <w:pStyle w:val="BodyText"/>
        <w:rPr>
          <w:rStyle w:val="Characterbold"/>
        </w:rPr>
      </w:pPr>
      <w:r w:rsidRPr="000E132B">
        <w:rPr>
          <w:rStyle w:val="Characterbold"/>
        </w:rPr>
        <w:t>2022/23 marked the 10th anniversary since IBAC commenced operations. Building on the experience developed during our first decade, IBAC has continued to identify, expose and investigate corrupt conduct and police misconduct and to fulfil our prevention and education functions.</w:t>
      </w:r>
    </w:p>
    <w:p w14:paraId="100FD3CB" w14:textId="77777777" w:rsidR="00147420" w:rsidRDefault="00991EDD" w:rsidP="000E132B">
      <w:pPr>
        <w:pStyle w:val="BodyText"/>
      </w:pPr>
      <w:r w:rsidRPr="00991EDD">
        <w:t>The establishment of the National Anti-Corruption Commission contributed to public awareness and debate on issues of corruption and misconduct in law enforcement agencies. We look forward to working collaboratively with our new colleagues at the national level, as we do with our state and territory counterparts, to share expertise in dealing with our common challenges.</w:t>
      </w:r>
    </w:p>
    <w:p w14:paraId="132ADBE9" w14:textId="77777777" w:rsidR="00147420" w:rsidRDefault="00991EDD" w:rsidP="00927408">
      <w:pPr>
        <w:pStyle w:val="Heading2"/>
      </w:pPr>
      <w:r w:rsidRPr="00991EDD">
        <w:t>Police oversight</w:t>
      </w:r>
    </w:p>
    <w:p w14:paraId="7A98714D" w14:textId="77777777" w:rsidR="00927408" w:rsidRDefault="00991EDD" w:rsidP="000E132B">
      <w:pPr>
        <w:pStyle w:val="BodyText"/>
      </w:pPr>
      <w:r w:rsidRPr="00991EDD">
        <w:t>Victoria’s police oversight system is a ‘mixed civilian review model’ used throughout Australia. It provides a balance between Victoria Police’s responsibility to manage and discipline its own workforce, combined with external, independent oversight by IBAC.</w:t>
      </w:r>
    </w:p>
    <w:p w14:paraId="43A2A61A" w14:textId="419B36F7" w:rsidR="00EE4233" w:rsidRDefault="00991EDD" w:rsidP="000E132B">
      <w:pPr>
        <w:pStyle w:val="BodyText"/>
      </w:pPr>
      <w:r w:rsidRPr="00991EDD">
        <w:t>A significant part of our police oversight role involves actively reviewing the outcomes of Victoria Police’s internal investigations to ensure they are completed thoroughly and fairly.</w:t>
      </w:r>
    </w:p>
    <w:p w14:paraId="7B191242" w14:textId="77777777" w:rsidR="00EE4233" w:rsidRDefault="00991EDD" w:rsidP="000E132B">
      <w:pPr>
        <w:pStyle w:val="BodyText"/>
      </w:pPr>
      <w:r w:rsidRPr="00991EDD">
        <w:t>Reviews of individual police investigations may result in recommendations such as disciplinary action against individual police officers. Our reviews may also result in recommendations for Victoria Police to strengthen its policies and procedures, address systemic issues and improve the conduct of internal investigations. During this reporting period we conducted 192 reviews of Victoria Police investigations, including oversight of incidents that involved deaths or serious injuries after police contact.</w:t>
      </w:r>
    </w:p>
    <w:p w14:paraId="32015236" w14:textId="77777777" w:rsidR="00EE4233" w:rsidRDefault="00991EDD" w:rsidP="000E132B">
      <w:pPr>
        <w:pStyle w:val="BodyText"/>
      </w:pPr>
      <w:r w:rsidRPr="00991EDD">
        <w:t>When we identify systemic issues, we may review police investigations relating to a particular theme or topic and produce a thematic report identifying systemic and emerging issues. For example, in 2022/23 we completed a thematic review of Victoria Police investigations into the use of oleoresin capsicum spray.</w:t>
      </w:r>
    </w:p>
    <w:p w14:paraId="33006475" w14:textId="132F7803" w:rsidR="009073F7" w:rsidRDefault="00991EDD" w:rsidP="000E132B">
      <w:pPr>
        <w:pStyle w:val="BodyText"/>
      </w:pPr>
      <w:r w:rsidRPr="00991EDD">
        <w:t xml:space="preserve">We also make recommendations to address issues identified through our own investigations into police misconduct. In 2022/23, we tabled a special report about the misconduct risks in Victoria Police’s Critical Incident Response Team (CIRT) based on a review and two previous IBAC investigations. This report identified ongoing issues with CIRT’s processes and actions – including reporting </w:t>
      </w:r>
      <w:r w:rsidR="001226D6">
        <w:t xml:space="preserve">on </w:t>
      </w:r>
      <w:r w:rsidR="001226D6" w:rsidRPr="00991EDD">
        <w:t>use</w:t>
      </w:r>
      <w:r w:rsidR="001226D6">
        <w:t xml:space="preserve"> </w:t>
      </w:r>
      <w:r w:rsidR="001226D6" w:rsidRPr="00991EDD">
        <w:t>of</w:t>
      </w:r>
      <w:r w:rsidR="001226D6">
        <w:t xml:space="preserve"> </w:t>
      </w:r>
      <w:r w:rsidR="001226D6" w:rsidRPr="00991EDD">
        <w:t xml:space="preserve">force </w:t>
      </w:r>
      <w:r w:rsidRPr="00991EDD">
        <w:t>– and made six recommendations to address these risks.</w:t>
      </w:r>
    </w:p>
    <w:p w14:paraId="26FB0868" w14:textId="77777777" w:rsidR="009073F7" w:rsidRDefault="00991EDD" w:rsidP="000E132B">
      <w:pPr>
        <w:pStyle w:val="BodyText"/>
      </w:pPr>
      <w:r w:rsidRPr="00991EDD">
        <w:t>IBAC works with Victoria Police to assist them to build a strong integrity culture. During 2022/23, we continued to deliver presentations to police on integrity issues. These included presentations to each police recruit squad before they graduated from the Victoria Police Academy. We also delivered sessions as part of the Police Managers Qualifying Program, and inspector and superintendent development programs.</w:t>
      </w:r>
    </w:p>
    <w:p w14:paraId="173658DA" w14:textId="77777777" w:rsidR="009073F7" w:rsidRDefault="00991EDD" w:rsidP="00927408">
      <w:pPr>
        <w:pStyle w:val="Heading2"/>
      </w:pPr>
      <w:r w:rsidRPr="00991EDD">
        <w:t>Public sector investigations and reforms</w:t>
      </w:r>
    </w:p>
    <w:p w14:paraId="04D61A95" w14:textId="77777777" w:rsidR="009073F7" w:rsidRDefault="00991EDD" w:rsidP="000E132B">
      <w:pPr>
        <w:pStyle w:val="BodyText"/>
      </w:pPr>
      <w:r w:rsidRPr="00991EDD">
        <w:t>During 2022/23, we published a series of reports on public sector corruption risks.</w:t>
      </w:r>
    </w:p>
    <w:p w14:paraId="4C2D15C8" w14:textId="78A97DD5" w:rsidR="000B725C" w:rsidRDefault="00991EDD" w:rsidP="000E132B">
      <w:pPr>
        <w:pStyle w:val="BodyText"/>
      </w:pPr>
      <w:r w:rsidRPr="00991EDD">
        <w:t>In July 2022, we tabled a special report on Operation Watts jointly with the Victorian Ombudsman. This was a coordinated operation by both agencies to investigate a range of allegations of misuse of electorate offices, ministerial staff, and resources for branch stacking and other party-related activities. The operation uncovered a catalogue of unethical and inappropriate behaviour – known as ‘grey corruption’ – in which decisions are made and rules broken or bent for the benefit of a personal, organisational or political interest. The report made a series of recommendations on matters that include standards of conduct for members of Parliament and ministers, employment arrangements for their staff, and accountability arrangements for community grants</w:t>
      </w:r>
      <w:r w:rsidR="000B725C">
        <w:t>.</w:t>
      </w:r>
    </w:p>
    <w:p w14:paraId="0087F111" w14:textId="77777777" w:rsidR="000B725C" w:rsidRDefault="00991EDD" w:rsidP="000E132B">
      <w:pPr>
        <w:pStyle w:val="BodyText"/>
      </w:pPr>
      <w:r w:rsidRPr="00991EDD">
        <w:t xml:space="preserve">In October 2022, we tabled a special report </w:t>
      </w:r>
      <w:r w:rsidRPr="004D2896">
        <w:rPr>
          <w:rStyle w:val="Characteritalic"/>
        </w:rPr>
        <w:t>Corruption risks associated with donations and lobbying</w:t>
      </w:r>
      <w:r w:rsidRPr="00991EDD">
        <w:t>, which contains a detailed analysis of these important issues and a package of recommended reforms.</w:t>
      </w:r>
    </w:p>
    <w:p w14:paraId="6D2109E9" w14:textId="77777777" w:rsidR="003709FD" w:rsidRDefault="00991EDD" w:rsidP="000E132B">
      <w:pPr>
        <w:pStyle w:val="BodyText"/>
      </w:pPr>
      <w:r w:rsidRPr="00991EDD">
        <w:t xml:space="preserve">In February 2023, we tabled a special report on Operation Clara. This was an investigation into lobbying relating to a $31 billion development proposal. The investigation found that a former Victorian Government minister improperly lobbied in favour of the proposal on behalf of the development consortium, including by misusing his position as a member of the board of the planning authority. The conduct that this operation exposed highlighted the need for the reforms set out in our special report </w:t>
      </w:r>
      <w:r w:rsidRPr="004D2896">
        <w:rPr>
          <w:rStyle w:val="Characteritalic"/>
        </w:rPr>
        <w:t>Corruption risks associated with donations and lobbying</w:t>
      </w:r>
      <w:r w:rsidRPr="00991EDD">
        <w:t>.</w:t>
      </w:r>
    </w:p>
    <w:p w14:paraId="6B6F3D2B" w14:textId="77777777" w:rsidR="003709FD" w:rsidRDefault="00991EDD" w:rsidP="000E132B">
      <w:pPr>
        <w:pStyle w:val="BodyText"/>
      </w:pPr>
      <w:r w:rsidRPr="00991EDD">
        <w:t>Two months later, in April 2023, we tabled a special report on Operation Daintree. This report, on our investigation into the procurement of a contract to train healthcare workers, highlighted how improper influence compromised the procurement process. The investigation found that a ministerial adviser improperly intervened in the procurement process, and that senior officers within the relevant department failed to ensure a competitive procurement process. The report identified a range of systemic corruption risks and recommended a package of reforms, some of which built upon recommendations made in the Operation Watts special report.</w:t>
      </w:r>
    </w:p>
    <w:p w14:paraId="4AAFFFF8" w14:textId="77777777" w:rsidR="003709FD" w:rsidRDefault="00991EDD" w:rsidP="00927408">
      <w:pPr>
        <w:pStyle w:val="Heading2"/>
      </w:pPr>
      <w:r w:rsidRPr="00991EDD">
        <w:t>Legislative compliance</w:t>
      </w:r>
    </w:p>
    <w:p w14:paraId="1251F34E" w14:textId="77777777" w:rsidR="003709FD" w:rsidRDefault="00991EDD" w:rsidP="000E132B">
      <w:pPr>
        <w:pStyle w:val="BodyText"/>
      </w:pPr>
      <w:r w:rsidRPr="00991EDD">
        <w:t>IBAC also has an important role to ensure that Victoria Police complies with its legislative obligations relating to the sex offenders register, firearm prohibition orders, destroying or disposing of illicit drugs, record keeping for the witness protection program, and authorising, taking and destroying DNA profile samples.</w:t>
      </w:r>
    </w:p>
    <w:p w14:paraId="75BDAD61" w14:textId="77777777" w:rsidR="00A14AF5" w:rsidRDefault="00991EDD" w:rsidP="000E132B">
      <w:pPr>
        <w:pStyle w:val="BodyText"/>
      </w:pPr>
      <w:r w:rsidRPr="00991EDD">
        <w:t>While it may not have the public profile of some of IBAC’s other activities, this important work includes conducting reviews and inspections, and making reports and recommendations. For example, in May 2023, IBAC made three recommendations to Victoria Police to update its systems, policies, procedures, and templates in relation to the destruction of DNA profile samples.</w:t>
      </w:r>
    </w:p>
    <w:p w14:paraId="2CE41B36" w14:textId="77777777" w:rsidR="00A14AF5" w:rsidRDefault="00991EDD" w:rsidP="00927408">
      <w:pPr>
        <w:pStyle w:val="Heading2"/>
      </w:pPr>
      <w:r w:rsidRPr="00991EDD">
        <w:t>Thank you</w:t>
      </w:r>
    </w:p>
    <w:p w14:paraId="7B378E72" w14:textId="77777777" w:rsidR="00A14AF5" w:rsidRDefault="00991EDD" w:rsidP="000E132B">
      <w:pPr>
        <w:pStyle w:val="BodyText"/>
      </w:pPr>
      <w:r w:rsidRPr="00991EDD">
        <w:t>In December 2022, we farewelled our previous Commissioner, The Honourable Robert Redlich AM, KC. Commissioner Redlich has been a dedicated advocate for integrity in the public sector and Victoria Police, and a thought leader on public sector vulnerability to corruption, including grey corruption. I acknowledge his service and accomplishments throughout his five-year term as Commissioner.</w:t>
      </w:r>
    </w:p>
    <w:p w14:paraId="7886FC76" w14:textId="77777777" w:rsidR="00A14AF5" w:rsidRDefault="00991EDD" w:rsidP="000E132B">
      <w:pPr>
        <w:pStyle w:val="BodyText"/>
      </w:pPr>
      <w:r w:rsidRPr="00991EDD">
        <w:t>It has been a privilege to lead the organisation in the months since his departure. Our work can be complex and challenging. I would like to acknowledge the leadership and dedication of deputy commissioners David Wolf and Kylie Kilgour, Chief Executive Officer (CEO) Marlo Baragwanath and our executive team, and our skilled and committed staff.</w:t>
      </w:r>
    </w:p>
    <w:p w14:paraId="010787A6" w14:textId="77777777" w:rsidR="00A14AF5" w:rsidRDefault="00991EDD" w:rsidP="000E132B">
      <w:pPr>
        <w:pStyle w:val="BodyText"/>
      </w:pPr>
      <w:r w:rsidRPr="00991EDD">
        <w:t>Our role in preventing and exposing corruption and police misconduct is a shared responsibility, which we could not do without the support of other leaders and agencies across the public sector, Victoria Police and our other stakeholders. We are grateful for your collaboration in the pursuit of building a public sector that acts with integrity.</w:t>
      </w:r>
    </w:p>
    <w:p w14:paraId="5559643C" w14:textId="52116975" w:rsidR="00991EDD" w:rsidRPr="00991EDD" w:rsidRDefault="00991EDD" w:rsidP="000E132B">
      <w:pPr>
        <w:pStyle w:val="BodyText"/>
      </w:pPr>
      <w:r w:rsidRPr="00991EDD">
        <w:t>Finally, much of the work that we do and many of the outcomes we achieve would not be possible without the courage of those who come forward to provide information or to make a complaint about corruption or police misconduct. Whether it results in an investigation, or review or contributes towards our intelligence holdings, your trust in coming forward plays a crucial role in building our integrity system.</w:t>
      </w:r>
    </w:p>
    <w:p w14:paraId="0A575621" w14:textId="77777777" w:rsidR="00497F82" w:rsidRPr="007211D6" w:rsidRDefault="00497F82" w:rsidP="007211D6">
      <w:pPr>
        <w:pStyle w:val="BodyText"/>
      </w:pPr>
    </w:p>
    <w:p w14:paraId="67A315B6" w14:textId="3AE30B5A" w:rsidR="00734033" w:rsidRPr="007E78B5" w:rsidRDefault="00A20EC2" w:rsidP="00734033">
      <w:pPr>
        <w:pStyle w:val="ImprintText"/>
        <w:rPr>
          <w:rStyle w:val="BodyTextChar"/>
        </w:rPr>
      </w:pPr>
      <w:r w:rsidRPr="00A20EC2">
        <w:rPr>
          <w:noProof/>
        </w:rPr>
        <w:drawing>
          <wp:inline distT="0" distB="0" distL="0" distR="0" wp14:anchorId="333751F0" wp14:editId="6C4F40A6">
            <wp:extent cx="952560" cy="278640"/>
            <wp:effectExtent l="0" t="0" r="0" b="7620"/>
            <wp:docPr id="1516309068" name="Picture 1516309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61320" name="Picture 126326132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52560" cy="278640"/>
                    </a:xfrm>
                    <a:prstGeom prst="rect">
                      <a:avLst/>
                    </a:prstGeom>
                    <a:noFill/>
                    <a:ln>
                      <a:noFill/>
                    </a:ln>
                  </pic:spPr>
                </pic:pic>
              </a:graphicData>
            </a:graphic>
          </wp:inline>
        </w:drawing>
      </w:r>
    </w:p>
    <w:p w14:paraId="00B5F284" w14:textId="56B8AC58" w:rsidR="00F14070" w:rsidRDefault="00B115AB" w:rsidP="00734033">
      <w:pPr>
        <w:pStyle w:val="ImprintText"/>
        <w:rPr>
          <w:lang w:eastAsia="en-AU"/>
        </w:rPr>
      </w:pPr>
      <w:r w:rsidRPr="00B115AB">
        <w:rPr>
          <w:rStyle w:val="Characterbold"/>
        </w:rPr>
        <w:t>Stephen Farrow</w:t>
      </w:r>
    </w:p>
    <w:p w14:paraId="20929361" w14:textId="148527F5" w:rsidR="00AE05FB" w:rsidRPr="00734033" w:rsidRDefault="00B115AB" w:rsidP="00734033">
      <w:pPr>
        <w:pStyle w:val="ImprintText"/>
        <w:rPr>
          <w:lang w:eastAsia="en-AU"/>
        </w:rPr>
      </w:pPr>
      <w:r>
        <w:rPr>
          <w:lang w:eastAsia="en-AU"/>
        </w:rPr>
        <w:t xml:space="preserve">Acting </w:t>
      </w:r>
      <w:r w:rsidR="007F06C7" w:rsidRPr="002F6765">
        <w:rPr>
          <w:lang w:eastAsia="en-AU"/>
        </w:rPr>
        <w:t>Commissioner</w:t>
      </w:r>
      <w:r w:rsidR="00AE05FB">
        <w:br w:type="page"/>
      </w:r>
    </w:p>
    <w:p w14:paraId="7586D7D0" w14:textId="363A4FAF" w:rsidR="00AE05FB" w:rsidRPr="002F6765" w:rsidRDefault="00AE05FB">
      <w:pPr>
        <w:pStyle w:val="Heading1ToCincluded"/>
      </w:pPr>
      <w:bookmarkStart w:id="8" w:name="_Toc133920495"/>
      <w:bookmarkStart w:id="9" w:name="_Toc149131443"/>
      <w:r w:rsidRPr="002F6765">
        <w:t>CEO</w:t>
      </w:r>
      <w:r>
        <w:t>’</w:t>
      </w:r>
      <w:r w:rsidRPr="002F6765">
        <w:t>s message</w:t>
      </w:r>
      <w:bookmarkEnd w:id="8"/>
      <w:bookmarkEnd w:id="9"/>
    </w:p>
    <w:p w14:paraId="47E691D5" w14:textId="77777777" w:rsidR="00197067" w:rsidRPr="00197067" w:rsidRDefault="000E132B" w:rsidP="000E132B">
      <w:pPr>
        <w:pStyle w:val="BodyText"/>
        <w:rPr>
          <w:rStyle w:val="Characterbold"/>
        </w:rPr>
      </w:pPr>
      <w:r w:rsidRPr="00197067">
        <w:rPr>
          <w:rStyle w:val="Characterbold"/>
        </w:rPr>
        <w:t>Integrity continued to be a topic that generated significant discussion and interest this year, demonstrating the ongoing importance of IBAC’s work. Against this backdrop, IBAC continued its work of exposing corruption and misconduct.</w:t>
      </w:r>
    </w:p>
    <w:p w14:paraId="647F2CDC" w14:textId="13BD1419" w:rsidR="00197067" w:rsidRDefault="000E132B" w:rsidP="000E132B">
      <w:pPr>
        <w:pStyle w:val="BodyText"/>
      </w:pPr>
      <w:r w:rsidRPr="000E132B">
        <w:t>In the 2022/23 financial year we published several high</w:t>
      </w:r>
      <w:r w:rsidR="00A739CB">
        <w:t>-</w:t>
      </w:r>
      <w:r w:rsidRPr="000E132B">
        <w:t xml:space="preserve">profile special reports, delivered year two of </w:t>
      </w:r>
      <w:r w:rsidRPr="00D51549">
        <w:rPr>
          <w:rStyle w:val="Characteritalic"/>
        </w:rPr>
        <w:t>The IBAC Plan 2021–25</w:t>
      </w:r>
      <w:r w:rsidRPr="000E132B">
        <w:t xml:space="preserve"> (the IBAC Plan), made enhancements to our support for witnesses, and continued to actively engage with our stakeholders from across the public sector, Victoria Police and the community.</w:t>
      </w:r>
    </w:p>
    <w:p w14:paraId="352EA486" w14:textId="77777777" w:rsidR="00197067" w:rsidRDefault="000E132B" w:rsidP="00197067">
      <w:pPr>
        <w:pStyle w:val="Heading2"/>
      </w:pPr>
      <w:r w:rsidRPr="000E132B">
        <w:t>Our 2022/23 performance</w:t>
      </w:r>
    </w:p>
    <w:p w14:paraId="3363A8C5" w14:textId="3A3EBBF2" w:rsidR="00197067" w:rsidRDefault="000E132B" w:rsidP="000E132B">
      <w:pPr>
        <w:pStyle w:val="BodyText"/>
      </w:pPr>
      <w:r w:rsidRPr="000E132B">
        <w:t xml:space="preserve">A key priority for IBAC is supporting the public sector and police to increase their capability in preventing corruption and police misconduct. </w:t>
      </w:r>
      <w:r w:rsidRPr="00977FC1">
        <w:rPr>
          <w:rStyle w:val="Characteritalic"/>
        </w:rPr>
        <w:t>Our Corruption Prevention Strategy 2021</w:t>
      </w:r>
      <w:r w:rsidR="00A739CB" w:rsidRPr="00977FC1">
        <w:rPr>
          <w:rStyle w:val="Characteritalic"/>
        </w:rPr>
        <w:t>–</w:t>
      </w:r>
      <w:r w:rsidRPr="00977FC1">
        <w:rPr>
          <w:rStyle w:val="Characteritalic"/>
        </w:rPr>
        <w:t>24</w:t>
      </w:r>
      <w:r w:rsidRPr="000E132B">
        <w:t xml:space="preserve"> guides this work and supports an approach that is proactive, collaborative, and intelligence led.</w:t>
      </w:r>
    </w:p>
    <w:p w14:paraId="59F9988D" w14:textId="77777777" w:rsidR="00783130" w:rsidRDefault="000E132B" w:rsidP="000E132B">
      <w:pPr>
        <w:pStyle w:val="BodyText"/>
      </w:pPr>
      <w:r w:rsidRPr="000E132B">
        <w:t>Looking back over the financial year, I am pleased that we were able to deliver 157 prevention initiatives, which included many engagements and external forums, as well as special reports and research reports, resources and campaigns. This period saw us increase our emphasis on producing prevention resources for the public sector and community, because we all have a role to play in strengthening integrity in Victoria.</w:t>
      </w:r>
    </w:p>
    <w:p w14:paraId="47579E42" w14:textId="77777777" w:rsidR="00783130" w:rsidRDefault="000E132B" w:rsidP="000E132B">
      <w:pPr>
        <w:pStyle w:val="BodyText"/>
      </w:pPr>
      <w:r w:rsidRPr="000E132B">
        <w:t>We commenced 11 investigations and 18 preliminary inquiries into public sector corruption and police misconduct. We also completed 14 investigations and 12 preliminary inquiries, with 18 investigations and preliminary inquiries still in progress at the end of the year.</w:t>
      </w:r>
    </w:p>
    <w:p w14:paraId="40311CFF" w14:textId="77777777" w:rsidR="00783130" w:rsidRDefault="000E132B" w:rsidP="000E132B">
      <w:pPr>
        <w:pStyle w:val="BodyText"/>
      </w:pPr>
      <w:r w:rsidRPr="000E132B">
        <w:t>We continued to focus on enhancing the experience of those who come forward to report corruption and misconduct to us, particularly through the redesign of our website and a review of the way we correspond with complainants.</w:t>
      </w:r>
    </w:p>
    <w:p w14:paraId="70B18A40" w14:textId="7B6926A5" w:rsidR="00783130" w:rsidRDefault="000E132B" w:rsidP="000E132B">
      <w:pPr>
        <w:pStyle w:val="BodyText"/>
      </w:pPr>
      <w:r w:rsidRPr="000E132B">
        <w:t xml:space="preserve">The total number of complaints and notifications we </w:t>
      </w:r>
      <w:r w:rsidR="002107BB">
        <w:t>received</w:t>
      </w:r>
      <w:r w:rsidRPr="000E132B">
        <w:t xml:space="preserve"> in 2022/23 decreased by five per cent compared to 2021/22. However, it is a 26 per cent increase compared to 2020/21. The number of complaints </w:t>
      </w:r>
      <w:r w:rsidR="002107BB">
        <w:t>assessed</w:t>
      </w:r>
      <w:r w:rsidRPr="000E132B">
        <w:t xml:space="preserve"> in 2022/23 was </w:t>
      </w:r>
      <w:r w:rsidR="002107BB">
        <w:t>23</w:t>
      </w:r>
      <w:r w:rsidRPr="000E132B">
        <w:t xml:space="preserve"> per cent higher than the number </w:t>
      </w:r>
      <w:r w:rsidR="002107BB">
        <w:t>assessed</w:t>
      </w:r>
      <w:r w:rsidRPr="000E132B">
        <w:t xml:space="preserve"> in 2020/21. As a result, the timeliness targets for complaint and notification assessments were not met in 2022/23.</w:t>
      </w:r>
    </w:p>
    <w:p w14:paraId="7E446AF5" w14:textId="77777777" w:rsidR="00783130" w:rsidRDefault="000E132B" w:rsidP="00783130">
      <w:pPr>
        <w:pStyle w:val="Heading2"/>
      </w:pPr>
      <w:r w:rsidRPr="000E132B">
        <w:t>Year two of the IBAC Plan</w:t>
      </w:r>
    </w:p>
    <w:p w14:paraId="5BA65AD7" w14:textId="77777777" w:rsidR="001D33D0" w:rsidRDefault="000E132B" w:rsidP="000E132B">
      <w:pPr>
        <w:pStyle w:val="BodyText"/>
      </w:pPr>
      <w:r w:rsidRPr="000E132B">
        <w:t>The 2022/23 financial year marked our second year implementing the IBAC Plan, which sets out our strategic direction and priorities to 2025. We began planning and delivery of several multi-year strategic initiatives that aim to strengthen trust in the public sector and police, embed a strong integrity culture across Victoria, and support our collective ownership of preventing corruption and misconduct.</w:t>
      </w:r>
    </w:p>
    <w:p w14:paraId="37282804" w14:textId="77777777" w:rsidR="001D33D0" w:rsidRDefault="000E132B" w:rsidP="000E132B">
      <w:pPr>
        <w:pStyle w:val="BodyText"/>
      </w:pPr>
      <w:r w:rsidRPr="000E132B">
        <w:t>These initiatives include:</w:t>
      </w:r>
    </w:p>
    <w:p w14:paraId="301681A9" w14:textId="44CBE858" w:rsidR="001D33D0" w:rsidRDefault="000E132B" w:rsidP="00B4573C">
      <w:pPr>
        <w:pStyle w:val="ListBullet"/>
      </w:pPr>
      <w:r w:rsidRPr="000E132B">
        <w:t>a multi-year initiative to improve the experience of complainants through clearer communication, a better understanding of IBAC’s processes and training for staff</w:t>
      </w:r>
    </w:p>
    <w:p w14:paraId="4E98C325" w14:textId="769D1282" w:rsidR="001D33D0" w:rsidRDefault="000E132B" w:rsidP="00B4573C">
      <w:pPr>
        <w:pStyle w:val="ListBullet"/>
      </w:pPr>
      <w:r w:rsidRPr="000E132B">
        <w:t>preparing for our new monitoring and reporting function – overseeing Victoria Police’s human source management framework</w:t>
      </w:r>
      <w:r w:rsidR="001D33D0">
        <w:t xml:space="preserve">, </w:t>
      </w:r>
      <w:r w:rsidRPr="000E132B">
        <w:t>which commences in September 2024</w:t>
      </w:r>
    </w:p>
    <w:p w14:paraId="70ECA7D1" w14:textId="77777777" w:rsidR="00F514FE" w:rsidRDefault="000E132B" w:rsidP="00B4573C">
      <w:pPr>
        <w:pStyle w:val="ListBullet"/>
      </w:pPr>
      <w:r w:rsidRPr="000E132B">
        <w:t>implementation of our investigations framework, to ensure investigations are robust and defensible, with a focus on timeliness and resourcing</w:t>
      </w:r>
    </w:p>
    <w:p w14:paraId="386E815D" w14:textId="195F1D1D" w:rsidR="00F514FE" w:rsidRDefault="000E132B" w:rsidP="00B4573C">
      <w:pPr>
        <w:pStyle w:val="ListBullet"/>
      </w:pPr>
      <w:r w:rsidRPr="000E132B">
        <w:t>delivery of ICT and data infrastructure strategies to modernise and enhance our systems, setting the foundation for continuous improvement.</w:t>
      </w:r>
    </w:p>
    <w:p w14:paraId="252B9DC3" w14:textId="359BE35F" w:rsidR="00F514FE" w:rsidRDefault="000E132B" w:rsidP="00F514FE">
      <w:pPr>
        <w:pStyle w:val="Heading2"/>
      </w:pPr>
      <w:r w:rsidRPr="000E132B">
        <w:t>Strengthening witness wellbeing</w:t>
      </w:r>
    </w:p>
    <w:p w14:paraId="7AAFB7DF" w14:textId="77777777" w:rsidR="00B4573C" w:rsidRDefault="000E132B" w:rsidP="000E132B">
      <w:pPr>
        <w:pStyle w:val="BodyText"/>
      </w:pPr>
      <w:r w:rsidRPr="000E132B">
        <w:t>Enhancing our capability to support the wellbeing of witnesses was a critical area of focus for IBAC in 2022/23. A central change to improve our approach was establishing a dedicated witness liaison team. The team collaborates across the organisation to ensure that we maintain regular communication with witnesses throughout the lifecycle of an operation. They work to ensure that witnesses understand the potential pathways and processes they may be subject to, and are aware of the supports available to them and how to access them.</w:t>
      </w:r>
    </w:p>
    <w:p w14:paraId="5FDB22C8" w14:textId="77777777" w:rsidR="00B4573C" w:rsidRDefault="000E132B" w:rsidP="00B4573C">
      <w:pPr>
        <w:pStyle w:val="Heading2"/>
      </w:pPr>
      <w:r w:rsidRPr="000E132B">
        <w:t>Funding and oversight</w:t>
      </w:r>
    </w:p>
    <w:p w14:paraId="68C95674" w14:textId="77777777" w:rsidR="00A779A1" w:rsidRDefault="000E132B" w:rsidP="000E132B">
      <w:pPr>
        <w:pStyle w:val="BodyText"/>
      </w:pPr>
      <w:r w:rsidRPr="000E132B">
        <w:t>IBAC devoted considerable resources in responding to requests from government relating to our funding and the inaugural Integrity &amp; Oversight Committee (IOC) performance audit of IBAC.</w:t>
      </w:r>
    </w:p>
    <w:p w14:paraId="6499E0BC" w14:textId="77777777" w:rsidR="00A779A1" w:rsidRDefault="000E132B" w:rsidP="000E132B">
      <w:pPr>
        <w:pStyle w:val="BodyText"/>
      </w:pPr>
      <w:r w:rsidRPr="000E132B">
        <w:t>At the request of government, IBAC conducted a base review to better assess and determine its future funding requirements. The base review resulted in an increase in funding in the 2022/23 financial year. More importantly, it has provided IBAC with greater certainty in relation to our future funding base.</w:t>
      </w:r>
    </w:p>
    <w:p w14:paraId="23E29084" w14:textId="77777777" w:rsidR="000946E1" w:rsidRDefault="000E132B" w:rsidP="000E132B">
      <w:pPr>
        <w:pStyle w:val="BodyText"/>
      </w:pPr>
      <w:r w:rsidRPr="000E132B">
        <w:t>In 2022, the first performance audit of IBAC was conducted, by a consultant engaged by the IOC. It is pleasing that the independent auditors recognised IBAC’s growth in maturity in recent years and our focus on continuous improvement.</w:t>
      </w:r>
    </w:p>
    <w:p w14:paraId="7439812E" w14:textId="11988993" w:rsidR="00B4573C" w:rsidRDefault="000E132B" w:rsidP="000E132B">
      <w:pPr>
        <w:pStyle w:val="BodyText"/>
      </w:pPr>
      <w:r w:rsidRPr="000E132B">
        <w:t>IBAC also devoted a significant amount of time in considering and responding to Victorian Inspectorate enquiries and a special report. The special report detailed a file review the Victorian Inspectorate conducted into our handling of a police complaint we received several years ago. IBAC had already made extensive improvements to the way we assess and handle complaints since we received that complaint, and we will continue to improve, to ensure complainants feel safe to come forward</w:t>
      </w:r>
      <w:r w:rsidR="00B4573C">
        <w:t>.</w:t>
      </w:r>
    </w:p>
    <w:p w14:paraId="7C028E6D" w14:textId="77777777" w:rsidR="00B4573C" w:rsidRDefault="000E132B" w:rsidP="00B4573C">
      <w:pPr>
        <w:pStyle w:val="Heading2"/>
      </w:pPr>
      <w:r w:rsidRPr="000E132B">
        <w:t>Our values</w:t>
      </w:r>
    </w:p>
    <w:p w14:paraId="7279709C" w14:textId="77777777" w:rsidR="00B4573C" w:rsidRDefault="000E132B" w:rsidP="000E132B">
      <w:pPr>
        <w:pStyle w:val="BodyText"/>
      </w:pPr>
      <w:r w:rsidRPr="000E132B">
        <w:t>It has been 10 years since IBAC was established. In recognition of how IBAC has evolved, we refreshed our values to ensure they reflect our current culture, vision and strategic direction.</w:t>
      </w:r>
    </w:p>
    <w:p w14:paraId="2B7325AD" w14:textId="0FBD768B" w:rsidR="00B4573C" w:rsidRDefault="000E132B" w:rsidP="000E132B">
      <w:pPr>
        <w:pStyle w:val="BodyText"/>
      </w:pPr>
      <w:r w:rsidRPr="000E132B">
        <w:t>Importantly, these values hold us all accountable in our interactions with stakeholders and members of the Victorian community. The goal is to have our IBAC values truly ingrained in the way we work and make every decision.</w:t>
      </w:r>
    </w:p>
    <w:p w14:paraId="1F39440F" w14:textId="77777777" w:rsidR="00B4573C" w:rsidRDefault="000E132B" w:rsidP="00B4573C">
      <w:pPr>
        <w:pStyle w:val="Heading2"/>
      </w:pPr>
      <w:r w:rsidRPr="000E132B">
        <w:t>Our people</w:t>
      </w:r>
    </w:p>
    <w:p w14:paraId="199A75FA" w14:textId="5A7C0C28" w:rsidR="00A779A1" w:rsidRDefault="000E132B" w:rsidP="000E132B">
      <w:pPr>
        <w:pStyle w:val="BodyText"/>
      </w:pPr>
      <w:r w:rsidRPr="000E132B">
        <w:t>In December 202</w:t>
      </w:r>
      <w:r w:rsidR="002107BB">
        <w:t>2</w:t>
      </w:r>
      <w:r w:rsidRPr="000E132B">
        <w:t>, the Honourable Robert Redlich AM, KC concluded his term as IBAC Commissioner, and Deputy Commissioner Stephen Farrow was appointed as Acting Commissioner. I thank both the former Commissioner and current Acting Commissioner for their leadership, service, and commitment to upholding integrity in Victoria.</w:t>
      </w:r>
    </w:p>
    <w:p w14:paraId="00628BB5" w14:textId="77777777" w:rsidR="00A779A1" w:rsidRDefault="000E132B" w:rsidP="000E132B">
      <w:pPr>
        <w:pStyle w:val="BodyText"/>
      </w:pPr>
      <w:r w:rsidRPr="000E132B">
        <w:t>I am especially proud of the tenacity and commitment demonstrated by IBAC’s people during this period.</w:t>
      </w:r>
    </w:p>
    <w:p w14:paraId="7259F1C9" w14:textId="4833A58A" w:rsidR="00E90B89" w:rsidRPr="000E132B" w:rsidRDefault="000E132B" w:rsidP="000E132B">
      <w:pPr>
        <w:pStyle w:val="BodyText"/>
      </w:pPr>
      <w:r w:rsidRPr="000E132B">
        <w:t>The work we do can be challenging at times, but it is always a pleasure to work alongside people who are highly skilled and dedicated to the pursuit of preventing and exposing corruption and misconduct in Victoria’s public sector and police.</w:t>
      </w:r>
    </w:p>
    <w:p w14:paraId="53FCCC0B" w14:textId="77777777" w:rsidR="00497F82" w:rsidRPr="00BB2097" w:rsidRDefault="00497F82" w:rsidP="00184E0A">
      <w:pPr>
        <w:pStyle w:val="BodyText"/>
      </w:pPr>
    </w:p>
    <w:p w14:paraId="393ED16A" w14:textId="1147CDC5" w:rsidR="00353B0F" w:rsidRDefault="00141507" w:rsidP="00B65754">
      <w:pPr>
        <w:pStyle w:val="BodyText"/>
      </w:pPr>
      <w:r w:rsidRPr="00141507">
        <w:rPr>
          <w:noProof/>
        </w:rPr>
        <w:drawing>
          <wp:inline distT="0" distB="0" distL="0" distR="0" wp14:anchorId="0AADA6BC" wp14:editId="42E220B3">
            <wp:extent cx="1819529" cy="409632"/>
            <wp:effectExtent l="0" t="0" r="9525" b="9525"/>
            <wp:docPr id="1222845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45275" name=""/>
                    <pic:cNvPicPr/>
                  </pic:nvPicPr>
                  <pic:blipFill>
                    <a:blip r:embed="rId27"/>
                    <a:stretch>
                      <a:fillRect/>
                    </a:stretch>
                  </pic:blipFill>
                  <pic:spPr>
                    <a:xfrm>
                      <a:off x="0" y="0"/>
                      <a:ext cx="1819529" cy="409632"/>
                    </a:xfrm>
                    <a:prstGeom prst="rect">
                      <a:avLst/>
                    </a:prstGeom>
                  </pic:spPr>
                </pic:pic>
              </a:graphicData>
            </a:graphic>
          </wp:inline>
        </w:drawing>
      </w:r>
    </w:p>
    <w:p w14:paraId="240EAAD6" w14:textId="77777777" w:rsidR="00F14070" w:rsidRDefault="00AE05FB" w:rsidP="00EC5FC9">
      <w:pPr>
        <w:pStyle w:val="ImprintText"/>
        <w:rPr>
          <w:rStyle w:val="Characterbold"/>
        </w:rPr>
      </w:pPr>
      <w:r w:rsidRPr="00184E0A">
        <w:rPr>
          <w:rStyle w:val="Characterbold"/>
        </w:rPr>
        <w:t>Marlo Baragwanath</w:t>
      </w:r>
    </w:p>
    <w:p w14:paraId="3CAE4649" w14:textId="77777777" w:rsidR="00C52B63" w:rsidRDefault="00FC403D" w:rsidP="00C52B63">
      <w:pPr>
        <w:pStyle w:val="ImprintText"/>
        <w:sectPr w:rsidR="00C52B63" w:rsidSect="007A5EFC">
          <w:headerReference w:type="even" r:id="rId28"/>
          <w:headerReference w:type="default" r:id="rId29"/>
          <w:headerReference w:type="first" r:id="rId30"/>
          <w:pgSz w:w="11907" w:h="16839" w:code="9"/>
          <w:pgMar w:top="1440" w:right="1440" w:bottom="1440" w:left="1440" w:header="720" w:footer="720" w:gutter="0"/>
          <w:cols w:space="720"/>
          <w:docGrid w:linePitch="360"/>
        </w:sectPr>
      </w:pPr>
      <w:r>
        <w:t>Chief Executive Officer</w:t>
      </w:r>
      <w:r>
        <w:br/>
        <w:t>Independent Broad-based Anti-corruption Commission</w:t>
      </w:r>
    </w:p>
    <w:p w14:paraId="302AFFEC" w14:textId="64F4488C" w:rsidR="00717737" w:rsidRPr="00922665" w:rsidRDefault="00717737" w:rsidP="00717737">
      <w:pPr>
        <w:pStyle w:val="Heading1ToCincluded"/>
      </w:pPr>
      <w:bookmarkStart w:id="10" w:name="_Toc149131444"/>
      <w:r>
        <w:t>2022/23 snapshot</w:t>
      </w:r>
      <w:bookmarkEnd w:id="10"/>
    </w:p>
    <w:tbl>
      <w:tblPr>
        <w:tblStyle w:val="CustomTableplaceholder"/>
        <w:tblW w:w="5000" w:type="pct"/>
        <w:shd w:val="clear" w:color="auto" w:fill="F2F2F2" w:themeFill="background1" w:themeFillShade="F2"/>
        <w:tblLayout w:type="fixed"/>
        <w:tblLook w:val="04A0" w:firstRow="1" w:lastRow="0" w:firstColumn="1" w:lastColumn="0" w:noHBand="0" w:noVBand="1"/>
      </w:tblPr>
      <w:tblGrid>
        <w:gridCol w:w="4395"/>
        <w:gridCol w:w="301"/>
        <w:gridCol w:w="4331"/>
      </w:tblGrid>
      <w:tr w:rsidR="00717737" w14:paraId="64B26F06" w14:textId="77777777" w:rsidTr="00BC1ADC">
        <w:tc>
          <w:tcPr>
            <w:tcW w:w="2434" w:type="pct"/>
            <w:shd w:val="clear" w:color="auto" w:fill="F2F2F2" w:themeFill="background1" w:themeFillShade="F2"/>
            <w:tcMar>
              <w:top w:w="0" w:type="dxa"/>
              <w:bottom w:w="0" w:type="dxa"/>
            </w:tcMar>
          </w:tcPr>
          <w:p w14:paraId="7CA8D9F8" w14:textId="77777777" w:rsidR="00717737" w:rsidRPr="00922665" w:rsidRDefault="00717737" w:rsidP="00BC1ADC">
            <w:pPr>
              <w:pStyle w:val="TableHeading1"/>
              <w:rPr>
                <w:lang w:val="en-US" w:eastAsia="en-US"/>
              </w:rPr>
            </w:pPr>
            <w:r w:rsidRPr="00922665">
              <w:t>Complaints/notifications and public interest disclosures</w:t>
            </w:r>
          </w:p>
          <w:p w14:paraId="74BF0C1B" w14:textId="77777777" w:rsidR="00717737" w:rsidRPr="00F32BB1" w:rsidRDefault="00717737" w:rsidP="00BC1ADC">
            <w:pPr>
              <w:pStyle w:val="TableBodyText"/>
              <w:rPr>
                <w:rStyle w:val="Characterbold"/>
              </w:rPr>
            </w:pPr>
            <w:r w:rsidRPr="000C0DE5">
              <w:rPr>
                <w:rStyle w:val="Characterbold"/>
              </w:rPr>
              <w:t>3</w:t>
            </w:r>
            <w:r>
              <w:rPr>
                <w:rStyle w:val="Characterbold"/>
              </w:rPr>
              <w:t>,</w:t>
            </w:r>
            <w:r w:rsidRPr="000C0DE5">
              <w:rPr>
                <w:rStyle w:val="Characterbold"/>
              </w:rPr>
              <w:t>558</w:t>
            </w:r>
          </w:p>
          <w:p w14:paraId="6040622A" w14:textId="77777777" w:rsidR="00717737" w:rsidRPr="00F32BB1" w:rsidRDefault="00717737" w:rsidP="00BC1ADC">
            <w:pPr>
              <w:pStyle w:val="TableBodyText"/>
            </w:pPr>
            <w:r w:rsidRPr="00F32BB1">
              <w:t>Complaints/notifications received</w:t>
            </w:r>
          </w:p>
          <w:p w14:paraId="2102D6ED" w14:textId="77777777" w:rsidR="00717737" w:rsidRPr="00F32BB1" w:rsidRDefault="00717737" w:rsidP="00BC1ADC">
            <w:pPr>
              <w:pStyle w:val="TableBodyText"/>
              <w:rPr>
                <w:lang w:val="en-US"/>
              </w:rPr>
            </w:pPr>
            <w:r w:rsidRPr="00F32BB1">
              <w:t xml:space="preserve"> </w:t>
            </w:r>
          </w:p>
          <w:p w14:paraId="04FC0AA2" w14:textId="77777777" w:rsidR="00717737" w:rsidRPr="00F32BB1" w:rsidRDefault="00717737" w:rsidP="00BC1ADC">
            <w:pPr>
              <w:pStyle w:val="TableBodyText"/>
              <w:rPr>
                <w:rStyle w:val="Characterbold"/>
              </w:rPr>
            </w:pPr>
            <w:r w:rsidRPr="000C0DE5">
              <w:rPr>
                <w:rStyle w:val="Characterbold"/>
              </w:rPr>
              <w:t>3</w:t>
            </w:r>
            <w:r>
              <w:rPr>
                <w:rStyle w:val="Characterbold"/>
              </w:rPr>
              <w:t>,</w:t>
            </w:r>
            <w:r w:rsidRPr="000C0DE5">
              <w:rPr>
                <w:rStyle w:val="Characterbold"/>
              </w:rPr>
              <w:t>501</w:t>
            </w:r>
          </w:p>
          <w:p w14:paraId="543095BC" w14:textId="77777777" w:rsidR="00717737" w:rsidRPr="00F32BB1" w:rsidRDefault="00717737" w:rsidP="00BC1ADC">
            <w:pPr>
              <w:pStyle w:val="TableBodyText"/>
            </w:pPr>
            <w:r w:rsidRPr="00F32BB1">
              <w:t>Complaints/notifications assessed</w:t>
            </w:r>
          </w:p>
          <w:p w14:paraId="66ED1F91" w14:textId="77777777" w:rsidR="00717737" w:rsidRPr="00F32BB1" w:rsidRDefault="00717737" w:rsidP="00BC1ADC">
            <w:pPr>
              <w:pStyle w:val="TableBodyText"/>
            </w:pPr>
          </w:p>
          <w:p w14:paraId="31E0E873" w14:textId="77777777" w:rsidR="00717737" w:rsidRPr="004200DA" w:rsidRDefault="00717737" w:rsidP="00BC1ADC">
            <w:pPr>
              <w:pStyle w:val="TableBodyText"/>
              <w:rPr>
                <w:rStyle w:val="Characterbold"/>
              </w:rPr>
            </w:pPr>
            <w:r w:rsidRPr="000C0DE5">
              <w:rPr>
                <w:rStyle w:val="Characterbold"/>
              </w:rPr>
              <w:t>506</w:t>
            </w:r>
          </w:p>
          <w:p w14:paraId="1C425766" w14:textId="77777777" w:rsidR="00717737" w:rsidRPr="00922665" w:rsidRDefault="00717737" w:rsidP="00BC1ADC">
            <w:pPr>
              <w:pStyle w:val="TableBodyText"/>
            </w:pPr>
            <w:r>
              <w:t>Complaints/notifications</w:t>
            </w:r>
            <w:r w:rsidRPr="00922665">
              <w:t xml:space="preserve"> </w:t>
            </w:r>
            <w:r>
              <w:t>received</w:t>
            </w:r>
            <w:r w:rsidRPr="00922665">
              <w:t xml:space="preserve"> as public interest </w:t>
            </w:r>
            <w:r>
              <w:t xml:space="preserve">disclosures and </w:t>
            </w:r>
            <w:r w:rsidRPr="00922665">
              <w:t xml:space="preserve">public interest </w:t>
            </w:r>
            <w:r>
              <w:t>disclosure notifications</w:t>
            </w:r>
          </w:p>
          <w:p w14:paraId="381FB2CE" w14:textId="77777777" w:rsidR="00717737" w:rsidRDefault="00717737" w:rsidP="00BC1ADC">
            <w:pPr>
              <w:pStyle w:val="TableBodyText"/>
            </w:pPr>
            <w:r>
              <w:t>(</w:t>
            </w:r>
            <w:r w:rsidRPr="00922665">
              <w:t xml:space="preserve">Detailed information on </w:t>
            </w:r>
            <w:r>
              <w:t>c</w:t>
            </w:r>
            <w:r w:rsidRPr="00922665">
              <w:t xml:space="preserve">omplaints and </w:t>
            </w:r>
            <w:r>
              <w:t>n</w:t>
            </w:r>
            <w:r w:rsidRPr="00922665">
              <w:t>otifications is</w:t>
            </w:r>
            <w:r>
              <w:t xml:space="preserve"> provided</w:t>
            </w:r>
            <w:r w:rsidRPr="00922665">
              <w:t xml:space="preserve"> in</w:t>
            </w:r>
            <w:r>
              <w:t xml:space="preserve"> </w:t>
            </w:r>
            <w:r>
              <w:fldChar w:fldCharType="begin"/>
            </w:r>
            <w:r>
              <w:instrText xml:space="preserve"> REF _Ref142647007 \r \h  \* MERGEFORMAT </w:instrText>
            </w:r>
            <w:r>
              <w:fldChar w:fldCharType="separate"/>
            </w:r>
            <w:r>
              <w:t>Section 2:</w:t>
            </w:r>
            <w:r>
              <w:fldChar w:fldCharType="end"/>
            </w:r>
            <w:r>
              <w:t xml:space="preserve"> </w:t>
            </w:r>
            <w:r>
              <w:fldChar w:fldCharType="begin"/>
            </w:r>
            <w:r>
              <w:instrText xml:space="preserve"> REF _Ref142647012 \h </w:instrText>
            </w:r>
            <w:r>
              <w:fldChar w:fldCharType="separate"/>
            </w:r>
            <w:r>
              <w:t>Our performance</w:t>
            </w:r>
            <w:r>
              <w:fldChar w:fldCharType="end"/>
            </w:r>
            <w:r w:rsidRPr="00922665">
              <w:t>.</w:t>
            </w:r>
            <w:r>
              <w:t>)</w:t>
            </w:r>
          </w:p>
          <w:p w14:paraId="331B5F01" w14:textId="77777777" w:rsidR="00717737" w:rsidRPr="00922665" w:rsidRDefault="00717737" w:rsidP="00BC1ADC">
            <w:pPr>
              <w:pStyle w:val="TableBodyText"/>
            </w:pPr>
            <w:r>
              <w:br/>
            </w:r>
          </w:p>
          <w:p w14:paraId="3C187EDB" w14:textId="77777777" w:rsidR="00717737" w:rsidRPr="00922665" w:rsidRDefault="00717737" w:rsidP="00BC1ADC">
            <w:pPr>
              <w:pStyle w:val="TableBodyText"/>
              <w:rPr>
                <w:rStyle w:val="Characterbold"/>
              </w:rPr>
            </w:pPr>
            <w:r w:rsidRPr="00755385">
              <w:rPr>
                <w:rStyle w:val="Characterbold"/>
              </w:rPr>
              <w:t xml:space="preserve">Complaints/notifications </w:t>
            </w:r>
            <w:r w:rsidRPr="00F32BB1">
              <w:rPr>
                <w:rStyle w:val="Characterbold"/>
              </w:rPr>
              <w:t>received</w:t>
            </w:r>
            <w:r w:rsidRPr="000C0DE5">
              <w:rPr>
                <w:rStyle w:val="Characterbold"/>
              </w:rPr>
              <w:t xml:space="preserve"> by sector</w:t>
            </w:r>
          </w:p>
          <w:p w14:paraId="12C77B11" w14:textId="77777777" w:rsidR="00717737" w:rsidRPr="00922665" w:rsidRDefault="00717737" w:rsidP="00BC1ADC">
            <w:pPr>
              <w:pStyle w:val="BodyText"/>
              <w:rPr>
                <w:lang w:val="en-US" w:eastAsia="en-GB"/>
              </w:rPr>
            </w:pPr>
            <w:r w:rsidRPr="00922665">
              <w:rPr>
                <w:noProof/>
              </w:rPr>
              <w:drawing>
                <wp:inline distT="0" distB="0" distL="0" distR="0" wp14:anchorId="5781D8F6" wp14:editId="2B6D4024">
                  <wp:extent cx="3011805" cy="3553593"/>
                  <wp:effectExtent l="0" t="0" r="17145" b="8890"/>
                  <wp:docPr id="299763930" name="Chart 299763930" descr="Chart of allegations by sector during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922665">
              <w:t xml:space="preserve"> </w:t>
            </w:r>
          </w:p>
          <w:p w14:paraId="09C8F70C" w14:textId="77777777" w:rsidR="00717737" w:rsidRPr="00922665" w:rsidRDefault="00717737" w:rsidP="00BC1ADC">
            <w:pPr>
              <w:pStyle w:val="NoSpacing"/>
            </w:pPr>
          </w:p>
        </w:tc>
        <w:tc>
          <w:tcPr>
            <w:tcW w:w="166" w:type="pct"/>
            <w:shd w:val="clear" w:color="auto" w:fill="F2F2F2" w:themeFill="background1" w:themeFillShade="F2"/>
            <w:tcMar>
              <w:top w:w="0" w:type="dxa"/>
              <w:bottom w:w="0" w:type="dxa"/>
            </w:tcMar>
          </w:tcPr>
          <w:p w14:paraId="7DBA3FDA" w14:textId="77777777" w:rsidR="00717737" w:rsidRPr="00922665" w:rsidRDefault="00717737" w:rsidP="00BC1ADC">
            <w:pPr>
              <w:pStyle w:val="TableHeading1"/>
            </w:pPr>
          </w:p>
        </w:tc>
        <w:tc>
          <w:tcPr>
            <w:tcW w:w="2399" w:type="pct"/>
            <w:shd w:val="clear" w:color="auto" w:fill="F2F2F2" w:themeFill="background1" w:themeFillShade="F2"/>
            <w:tcMar>
              <w:top w:w="0" w:type="dxa"/>
              <w:bottom w:w="0" w:type="dxa"/>
            </w:tcMar>
          </w:tcPr>
          <w:p w14:paraId="6D308CBF" w14:textId="77777777" w:rsidR="00717737" w:rsidRPr="00922665" w:rsidRDefault="00717737" w:rsidP="00BC1ADC">
            <w:pPr>
              <w:pStyle w:val="TableHeading1"/>
            </w:pPr>
            <w:r w:rsidRPr="00922665">
              <w:t>Investigations and outcomes</w:t>
            </w:r>
          </w:p>
          <w:p w14:paraId="7A9473A5" w14:textId="77777777" w:rsidR="00717737" w:rsidRPr="00F32BB1" w:rsidRDefault="00717737" w:rsidP="00BC1ADC">
            <w:pPr>
              <w:pStyle w:val="TableBodyText"/>
              <w:rPr>
                <w:rStyle w:val="Characterbold"/>
              </w:rPr>
            </w:pPr>
            <w:r w:rsidRPr="000C0DE5">
              <w:rPr>
                <w:rStyle w:val="Characterbold"/>
              </w:rPr>
              <w:t>2</w:t>
            </w:r>
            <w:r>
              <w:rPr>
                <w:rStyle w:val="Characterbold"/>
              </w:rPr>
              <w:t>9</w:t>
            </w:r>
          </w:p>
          <w:p w14:paraId="2C256F50" w14:textId="77777777" w:rsidR="00717737" w:rsidRPr="00F32BB1" w:rsidRDefault="00717737" w:rsidP="00BC1ADC">
            <w:pPr>
              <w:pStyle w:val="TableBodyText"/>
              <w:rPr>
                <w:lang w:val="en-US"/>
              </w:rPr>
            </w:pPr>
            <w:r w:rsidRPr="00F32BB1">
              <w:t>Investigations and preliminary inquiries into alleged serious public sector corruption and police misconduct commenced</w:t>
            </w:r>
          </w:p>
          <w:p w14:paraId="332C18F8" w14:textId="77777777" w:rsidR="00717737" w:rsidRPr="00F32BB1" w:rsidRDefault="00717737" w:rsidP="00BC1ADC">
            <w:pPr>
              <w:pStyle w:val="TableBodyText"/>
              <w:rPr>
                <w:rStyle w:val="Characterbold"/>
              </w:rPr>
            </w:pPr>
            <w:r w:rsidRPr="000C0DE5">
              <w:rPr>
                <w:rStyle w:val="Characterbold"/>
              </w:rPr>
              <w:t>2</w:t>
            </w:r>
            <w:r>
              <w:rPr>
                <w:rStyle w:val="Characterbold"/>
              </w:rPr>
              <w:t>6</w:t>
            </w:r>
          </w:p>
          <w:p w14:paraId="3DC6B1D1" w14:textId="77777777" w:rsidR="00717737" w:rsidRPr="00F32BB1" w:rsidRDefault="00717737" w:rsidP="00BC1ADC">
            <w:pPr>
              <w:pStyle w:val="TableBodyText"/>
            </w:pPr>
            <w:r w:rsidRPr="00F32BB1">
              <w:t>Investigations and preliminary inquiries completed*</w:t>
            </w:r>
          </w:p>
          <w:p w14:paraId="0AA082F5" w14:textId="77777777" w:rsidR="00717737" w:rsidRPr="00F32BB1" w:rsidRDefault="00717737" w:rsidP="00BC1ADC">
            <w:pPr>
              <w:pStyle w:val="TableBodyText"/>
              <w:rPr>
                <w:lang w:val="en-US"/>
              </w:rPr>
            </w:pPr>
          </w:p>
          <w:p w14:paraId="4ACCB749" w14:textId="77777777" w:rsidR="00717737" w:rsidRPr="00F32BB1" w:rsidRDefault="00717737" w:rsidP="00BC1ADC">
            <w:pPr>
              <w:pStyle w:val="TableBodyText"/>
              <w:rPr>
                <w:rStyle w:val="Characterbold"/>
              </w:rPr>
            </w:pPr>
            <w:r w:rsidRPr="000C0DE5">
              <w:rPr>
                <w:rStyle w:val="Characterbold"/>
              </w:rPr>
              <w:t>68</w:t>
            </w:r>
            <w:r w:rsidRPr="00F32BB1">
              <w:rPr>
                <w:rStyle w:val="Characterbold"/>
              </w:rPr>
              <w:t xml:space="preserve"> </w:t>
            </w:r>
          </w:p>
          <w:p w14:paraId="2AA053E5" w14:textId="77777777" w:rsidR="00717737" w:rsidRPr="00F32BB1" w:rsidRDefault="00717737" w:rsidP="00BC1ADC">
            <w:pPr>
              <w:pStyle w:val="TableBodyText"/>
              <w:rPr>
                <w:lang w:val="en-US"/>
              </w:rPr>
            </w:pPr>
            <w:r w:rsidRPr="00F32BB1">
              <w:t xml:space="preserve">Formal recommendations made (under the IBAC Act) for public sector agencies, including Victoria Police and </w:t>
            </w:r>
            <w:r>
              <w:t>l</w:t>
            </w:r>
            <w:r w:rsidRPr="00F32BB1">
              <w:t>ocal government, to improve their systems, practices and controls</w:t>
            </w:r>
          </w:p>
          <w:p w14:paraId="63BF5301" w14:textId="77777777" w:rsidR="00717737" w:rsidRPr="00F32BB1" w:rsidRDefault="00717737" w:rsidP="00BC1ADC">
            <w:pPr>
              <w:pStyle w:val="TableBodyText"/>
            </w:pPr>
          </w:p>
          <w:p w14:paraId="3DE02CE6" w14:textId="77777777" w:rsidR="00717737" w:rsidRPr="00922665" w:rsidRDefault="00717737" w:rsidP="00BC1ADC">
            <w:pPr>
              <w:pStyle w:val="TableBodyText"/>
              <w:rPr>
                <w:rStyle w:val="Characterbold"/>
              </w:rPr>
            </w:pPr>
            <w:r w:rsidRPr="000C0DE5">
              <w:rPr>
                <w:rStyle w:val="Characterbold"/>
              </w:rPr>
              <w:t xml:space="preserve">Source of IBAC investigations and preliminary inquiries commenced in </w:t>
            </w:r>
            <w:r>
              <w:rPr>
                <w:rStyle w:val="Characterbold"/>
              </w:rPr>
              <w:t>2022/23</w:t>
            </w:r>
          </w:p>
          <w:p w14:paraId="5C273DBB" w14:textId="77777777" w:rsidR="00717737" w:rsidRDefault="00717737" w:rsidP="00BC1ADC">
            <w:pPr>
              <w:pStyle w:val="TableBodyText"/>
              <w:rPr>
                <w:lang w:val="en-US"/>
              </w:rPr>
            </w:pPr>
            <w:r w:rsidRPr="00922665">
              <w:rPr>
                <w:noProof/>
              </w:rPr>
              <w:drawing>
                <wp:inline distT="0" distB="0" distL="0" distR="0" wp14:anchorId="194278B3" wp14:editId="261D39C7">
                  <wp:extent cx="2781935" cy="3531870"/>
                  <wp:effectExtent l="0" t="0" r="12065" b="11430"/>
                  <wp:docPr id="1971698502" name="Chart 1971698502" descr="Chart of allegations by sector during 20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782864" w14:textId="77777777" w:rsidR="00717737" w:rsidRPr="00922665" w:rsidRDefault="00717737" w:rsidP="00BC1ADC">
            <w:pPr>
              <w:pStyle w:val="TableBodyText"/>
              <w:rPr>
                <w:lang w:val="en-US"/>
              </w:rPr>
            </w:pPr>
            <w:r w:rsidRPr="00922665">
              <w:t>*</w:t>
            </w:r>
            <w:r>
              <w:t xml:space="preserve"> </w:t>
            </w:r>
            <w:r w:rsidRPr="00926D89">
              <w:t>‘</w:t>
            </w:r>
            <w:r>
              <w:t>C</w:t>
            </w:r>
            <w:r w:rsidRPr="00926D89">
              <w:t xml:space="preserve">ompleted’ </w:t>
            </w:r>
            <w:r>
              <w:t xml:space="preserve">is defined </w:t>
            </w:r>
            <w:r w:rsidRPr="00926D89">
              <w:t>as when all planned investigation activities have been completed. It does not signal the end of an operation, which may include subsequent activity such as public reporting</w:t>
            </w:r>
            <w:r>
              <w:t xml:space="preserve"> or prosecution</w:t>
            </w:r>
            <w:r w:rsidRPr="00926D89">
              <w:t xml:space="preserve">. </w:t>
            </w:r>
            <w:r>
              <w:br/>
            </w:r>
            <w:r w:rsidRPr="00922665">
              <w:t>** IBAC can be advised of corruption and police misconduct matters in different ways. If IBAC decides to investigate on its own motion – that is, without a complaint from an individual or a notification from a public sector body – this investigation is referred to as an ‘own</w:t>
            </w:r>
            <w:r>
              <w:noBreakHyphen/>
            </w:r>
            <w:r w:rsidRPr="00922665">
              <w:t>motion’ investigation.</w:t>
            </w:r>
          </w:p>
        </w:tc>
      </w:tr>
    </w:tbl>
    <w:p w14:paraId="2C5A2C32" w14:textId="54D30803" w:rsidR="00717737" w:rsidRPr="00922665" w:rsidRDefault="00717737" w:rsidP="00717737"/>
    <w:tbl>
      <w:tblPr>
        <w:tblStyle w:val="CustomTableplaceholder"/>
        <w:tblW w:w="0" w:type="auto"/>
        <w:tblLook w:val="04A0" w:firstRow="1" w:lastRow="0" w:firstColumn="1" w:lastColumn="0" w:noHBand="0" w:noVBand="1"/>
      </w:tblPr>
      <w:tblGrid>
        <w:gridCol w:w="4536"/>
        <w:gridCol w:w="284"/>
        <w:gridCol w:w="4207"/>
      </w:tblGrid>
      <w:tr w:rsidR="00717737" w14:paraId="27573465" w14:textId="77777777" w:rsidTr="00BC1ADC">
        <w:tc>
          <w:tcPr>
            <w:tcW w:w="4536" w:type="dxa"/>
            <w:shd w:val="clear" w:color="auto" w:fill="F2F2F2" w:themeFill="background1" w:themeFillShade="F2"/>
            <w:tcMar>
              <w:top w:w="0" w:type="dxa"/>
              <w:bottom w:w="0" w:type="dxa"/>
            </w:tcMar>
            <w:hideMark/>
          </w:tcPr>
          <w:p w14:paraId="1A5E4D0A" w14:textId="77777777" w:rsidR="00717737" w:rsidRPr="00922665" w:rsidRDefault="00717737" w:rsidP="00BC1ADC">
            <w:pPr>
              <w:pStyle w:val="TableHeading1"/>
              <w:rPr>
                <w:lang w:val="en-US" w:eastAsia="en-US"/>
              </w:rPr>
            </w:pPr>
            <w:r w:rsidRPr="00922665">
              <w:t>Reviews</w:t>
            </w:r>
          </w:p>
          <w:p w14:paraId="2EBE2810" w14:textId="77777777" w:rsidR="00717737" w:rsidRPr="00D572B8" w:rsidRDefault="00717737" w:rsidP="00BC1ADC">
            <w:pPr>
              <w:pStyle w:val="TableBodyText"/>
              <w:rPr>
                <w:rStyle w:val="Characterbold"/>
              </w:rPr>
            </w:pPr>
            <w:r w:rsidRPr="000C0DE5">
              <w:rPr>
                <w:rStyle w:val="Characterbold"/>
              </w:rPr>
              <w:t>230</w:t>
            </w:r>
            <w:r w:rsidRPr="00D572B8">
              <w:rPr>
                <w:rStyle w:val="Characterbold"/>
              </w:rPr>
              <w:t xml:space="preserve"> </w:t>
            </w:r>
          </w:p>
          <w:p w14:paraId="5013C6D4" w14:textId="77777777" w:rsidR="00717737" w:rsidRPr="00D572B8" w:rsidRDefault="00717737" w:rsidP="00BC1ADC">
            <w:pPr>
              <w:pStyle w:val="TableBodyText"/>
            </w:pPr>
            <w:r w:rsidRPr="00D572B8">
              <w:t xml:space="preserve">Reviews of police and public sector investigations, including 42 reviews of serious police incidents </w:t>
            </w:r>
          </w:p>
          <w:p w14:paraId="21BF84C4" w14:textId="77777777" w:rsidR="00717737" w:rsidRPr="00D572B8" w:rsidRDefault="00717737" w:rsidP="00BC1ADC">
            <w:pPr>
              <w:pStyle w:val="TableBodyText"/>
            </w:pPr>
          </w:p>
          <w:p w14:paraId="4B550D32" w14:textId="77777777" w:rsidR="00717737" w:rsidRPr="00D572B8" w:rsidRDefault="00717737" w:rsidP="00BC1ADC">
            <w:pPr>
              <w:pStyle w:val="TableHeading1"/>
            </w:pPr>
            <w:r w:rsidRPr="00D572B8">
              <w:t>Prevention initiatives</w:t>
            </w:r>
          </w:p>
          <w:p w14:paraId="18E827A2" w14:textId="77777777" w:rsidR="00717737" w:rsidRPr="00D572B8" w:rsidRDefault="00717737" w:rsidP="00BC1ADC">
            <w:pPr>
              <w:pStyle w:val="TableBodyText"/>
              <w:rPr>
                <w:rStyle w:val="Characterbold"/>
              </w:rPr>
            </w:pPr>
            <w:r w:rsidRPr="000C0DE5">
              <w:rPr>
                <w:rStyle w:val="Characterbold"/>
              </w:rPr>
              <w:t>157</w:t>
            </w:r>
          </w:p>
          <w:p w14:paraId="1D453DFB" w14:textId="77777777" w:rsidR="00717737" w:rsidRPr="00D572B8" w:rsidRDefault="00717737" w:rsidP="00BC1ADC">
            <w:pPr>
              <w:pStyle w:val="TableBodyText"/>
            </w:pPr>
            <w:r w:rsidRPr="00D572B8">
              <w:t xml:space="preserve">Corruption </w:t>
            </w:r>
            <w:r>
              <w:t xml:space="preserve">and police misconduct </w:t>
            </w:r>
            <w:r w:rsidRPr="00D572B8">
              <w:t>prevention initiatives delivered</w:t>
            </w:r>
          </w:p>
          <w:p w14:paraId="04678EA5" w14:textId="77777777" w:rsidR="00717737" w:rsidRPr="00D572B8" w:rsidRDefault="00717737" w:rsidP="00BC1ADC">
            <w:pPr>
              <w:pStyle w:val="TableBodyText"/>
              <w:rPr>
                <w:lang w:val="en-US"/>
              </w:rPr>
            </w:pPr>
          </w:p>
          <w:p w14:paraId="13D7F5DC" w14:textId="77777777" w:rsidR="00717737" w:rsidRPr="00922665" w:rsidRDefault="00717737" w:rsidP="00BC1ADC">
            <w:pPr>
              <w:pStyle w:val="TableBodyText"/>
              <w:rPr>
                <w:rStyle w:val="Characterbold"/>
              </w:rPr>
            </w:pPr>
            <w:r>
              <w:rPr>
                <w:rStyle w:val="Characterbold"/>
              </w:rPr>
              <w:t>11</w:t>
            </w:r>
          </w:p>
          <w:p w14:paraId="5EFFA8F3" w14:textId="77777777" w:rsidR="00717737" w:rsidRPr="00922665" w:rsidRDefault="00717737" w:rsidP="00BC1ADC">
            <w:pPr>
              <w:pStyle w:val="TableBodyText"/>
              <w:rPr>
                <w:lang w:val="en-US"/>
              </w:rPr>
            </w:pPr>
            <w:r w:rsidRPr="00922665">
              <w:t>Special and research reports published exposing corruption and</w:t>
            </w:r>
            <w:r>
              <w:t xml:space="preserve"> police</w:t>
            </w:r>
            <w:r w:rsidRPr="00922665">
              <w:t xml:space="preserve"> misconduct, and ways they can be prevented</w:t>
            </w:r>
          </w:p>
        </w:tc>
        <w:tc>
          <w:tcPr>
            <w:tcW w:w="284" w:type="dxa"/>
            <w:shd w:val="clear" w:color="auto" w:fill="F2F2F2" w:themeFill="background1" w:themeFillShade="F2"/>
            <w:tcMar>
              <w:top w:w="0" w:type="dxa"/>
              <w:bottom w:w="0" w:type="dxa"/>
            </w:tcMar>
          </w:tcPr>
          <w:p w14:paraId="11015CAE" w14:textId="77777777" w:rsidR="00717737" w:rsidRPr="00922665" w:rsidRDefault="00717737" w:rsidP="00BC1ADC">
            <w:pPr>
              <w:pStyle w:val="TableHeading1"/>
            </w:pPr>
          </w:p>
        </w:tc>
        <w:tc>
          <w:tcPr>
            <w:tcW w:w="4207" w:type="dxa"/>
            <w:shd w:val="clear" w:color="auto" w:fill="F2F2F2" w:themeFill="background1" w:themeFillShade="F2"/>
            <w:tcMar>
              <w:top w:w="0" w:type="dxa"/>
              <w:bottom w:w="0" w:type="dxa"/>
            </w:tcMar>
            <w:hideMark/>
          </w:tcPr>
          <w:p w14:paraId="7C4D2FFC" w14:textId="77777777" w:rsidR="00717737" w:rsidRPr="00922665" w:rsidRDefault="00717737" w:rsidP="00BC1ADC">
            <w:pPr>
              <w:pStyle w:val="TableHeading1"/>
            </w:pPr>
            <w:r>
              <w:t>Digit</w:t>
            </w:r>
            <w:r w:rsidRPr="00922665">
              <w:t>al reach</w:t>
            </w:r>
          </w:p>
          <w:p w14:paraId="3836E044" w14:textId="77777777" w:rsidR="00717737" w:rsidRPr="00922665" w:rsidRDefault="00717737" w:rsidP="00BC1ADC">
            <w:pPr>
              <w:pStyle w:val="TableBodyText"/>
            </w:pPr>
            <w:r>
              <w:rPr>
                <w:rStyle w:val="Characterbold"/>
              </w:rPr>
              <w:t>390,000</w:t>
            </w:r>
            <w:r w:rsidRPr="008C7E50">
              <w:t>*</w:t>
            </w:r>
            <w:r w:rsidRPr="00922665">
              <w:t xml:space="preserve"> </w:t>
            </w:r>
          </w:p>
          <w:p w14:paraId="2C466500" w14:textId="77777777" w:rsidR="00717737" w:rsidRDefault="00717737" w:rsidP="00BC1ADC">
            <w:pPr>
              <w:pStyle w:val="TableBodyText"/>
            </w:pPr>
            <w:r w:rsidRPr="00922665">
              <w:t xml:space="preserve">Unique visits to </w:t>
            </w:r>
            <w:r>
              <w:t xml:space="preserve">the </w:t>
            </w:r>
            <w:r w:rsidRPr="00922665">
              <w:t>IBAC website</w:t>
            </w:r>
          </w:p>
          <w:p w14:paraId="239D71BD" w14:textId="77777777" w:rsidR="00717737" w:rsidRPr="00922665" w:rsidRDefault="00717737" w:rsidP="00BC1ADC">
            <w:pPr>
              <w:pStyle w:val="TableBodyText"/>
            </w:pPr>
          </w:p>
          <w:p w14:paraId="6A213719" w14:textId="77777777" w:rsidR="00717737" w:rsidRPr="00922665" w:rsidRDefault="00717737" w:rsidP="00BC1ADC">
            <w:pPr>
              <w:pStyle w:val="TableBodyText"/>
              <w:rPr>
                <w:rStyle w:val="Characterbold"/>
              </w:rPr>
            </w:pPr>
            <w:r>
              <w:rPr>
                <w:rStyle w:val="Characterbold"/>
              </w:rPr>
              <w:t>4,000</w:t>
            </w:r>
          </w:p>
          <w:p w14:paraId="174BB950" w14:textId="77777777" w:rsidR="00717737" w:rsidRDefault="00717737" w:rsidP="00BC1ADC">
            <w:pPr>
              <w:pStyle w:val="TableBodyText"/>
            </w:pPr>
            <w:r w:rsidRPr="00922665">
              <w:t xml:space="preserve">Subscribers to </w:t>
            </w:r>
            <w:r w:rsidRPr="00922665">
              <w:rPr>
                <w:rStyle w:val="Characteritalic"/>
              </w:rPr>
              <w:t xml:space="preserve">IBAC Insights </w:t>
            </w:r>
            <w:r w:rsidRPr="00922665">
              <w:t>(at 30 June</w:t>
            </w:r>
            <w:r>
              <w:t>)</w:t>
            </w:r>
          </w:p>
          <w:p w14:paraId="4F10F5DF" w14:textId="77777777" w:rsidR="00717737" w:rsidRPr="00922665" w:rsidRDefault="00717737" w:rsidP="00BC1ADC">
            <w:pPr>
              <w:pStyle w:val="TableBodyText"/>
              <w:rPr>
                <w:lang w:val="en-US"/>
              </w:rPr>
            </w:pPr>
          </w:p>
          <w:p w14:paraId="58B5549C" w14:textId="77777777" w:rsidR="00717737" w:rsidRPr="00922665" w:rsidRDefault="00717737" w:rsidP="00BC1ADC">
            <w:pPr>
              <w:pStyle w:val="TableBodyText"/>
            </w:pPr>
            <w:r>
              <w:rPr>
                <w:rStyle w:val="Characterbold"/>
              </w:rPr>
              <w:t>12,900</w:t>
            </w:r>
            <w:r w:rsidRPr="00922665">
              <w:t xml:space="preserve"> </w:t>
            </w:r>
          </w:p>
          <w:p w14:paraId="3F7BD464" w14:textId="77777777" w:rsidR="00717737" w:rsidRDefault="00717737" w:rsidP="00BC1ADC">
            <w:pPr>
              <w:pStyle w:val="TableBodyText"/>
            </w:pPr>
            <w:r w:rsidRPr="00922665">
              <w:t>Followers on social media</w:t>
            </w:r>
          </w:p>
          <w:p w14:paraId="0C8FD381" w14:textId="77777777" w:rsidR="00717737" w:rsidRDefault="00717737" w:rsidP="00BC1ADC">
            <w:pPr>
              <w:pStyle w:val="TableBodyText"/>
            </w:pPr>
          </w:p>
          <w:p w14:paraId="04B1A0CF" w14:textId="77777777" w:rsidR="00717737" w:rsidRDefault="00717737" w:rsidP="009D3814">
            <w:pPr>
              <w:pStyle w:val="TableBodyText"/>
              <w:rPr>
                <w:lang w:val="en-US"/>
              </w:rPr>
            </w:pPr>
            <w:r>
              <w:t>*</w:t>
            </w:r>
            <w:r>
              <w:rPr>
                <w:rStyle w:val="BalloonTextChar"/>
                <w:lang w:val="en-US"/>
              </w:rPr>
              <w:t xml:space="preserve"> </w:t>
            </w:r>
            <w:r>
              <w:rPr>
                <w:lang w:val="en-US"/>
              </w:rPr>
              <w:t>Estimate based on data for 10 of 12 months in the reporting period (data was not collected for two months following the launch of IBAC’s new website in April 2023).</w:t>
            </w:r>
          </w:p>
          <w:p w14:paraId="2D72C75E" w14:textId="77777777" w:rsidR="00717737" w:rsidRPr="00922665" w:rsidRDefault="00717737" w:rsidP="00BC1ADC">
            <w:pPr>
              <w:pStyle w:val="TableBodyText"/>
            </w:pPr>
          </w:p>
        </w:tc>
      </w:tr>
    </w:tbl>
    <w:p w14:paraId="6AF5B928" w14:textId="77777777" w:rsidR="00B75142" w:rsidRDefault="00B75142" w:rsidP="00EC5FC9">
      <w:pPr>
        <w:pStyle w:val="ImprintText"/>
      </w:pPr>
    </w:p>
    <w:p w14:paraId="6D438EC8" w14:textId="5A02A972" w:rsidR="00FC403D" w:rsidRDefault="00FC403D" w:rsidP="00EC5FC9">
      <w:pPr>
        <w:pStyle w:val="ImprintText"/>
        <w:sectPr w:rsidR="00FC403D" w:rsidSect="007A5EFC">
          <w:headerReference w:type="even" r:id="rId33"/>
          <w:headerReference w:type="default" r:id="rId34"/>
          <w:headerReference w:type="first" r:id="rId35"/>
          <w:pgSz w:w="11907" w:h="16839" w:code="9"/>
          <w:pgMar w:top="1440" w:right="1440" w:bottom="1440" w:left="1440" w:header="720" w:footer="720" w:gutter="0"/>
          <w:cols w:space="720"/>
          <w:docGrid w:linePitch="360"/>
        </w:sectPr>
      </w:pPr>
    </w:p>
    <w:p w14:paraId="6A9D0F44" w14:textId="153BC057" w:rsidR="00734033" w:rsidRDefault="00734033" w:rsidP="00734033">
      <w:pPr>
        <w:pStyle w:val="Heading1"/>
      </w:pPr>
      <w:bookmarkStart w:id="11" w:name="_Year_in_review"/>
      <w:bookmarkStart w:id="12" w:name="_Toc133920496"/>
      <w:bookmarkStart w:id="13" w:name="_Ref140832510"/>
      <w:bookmarkStart w:id="14" w:name="_Ref140832516"/>
      <w:bookmarkStart w:id="15" w:name="_Toc149131445"/>
      <w:bookmarkEnd w:id="11"/>
      <w:r w:rsidRPr="002F6765">
        <w:t>Year in review</w:t>
      </w:r>
      <w:bookmarkEnd w:id="12"/>
      <w:bookmarkEnd w:id="13"/>
      <w:bookmarkEnd w:id="14"/>
      <w:bookmarkEnd w:id="15"/>
    </w:p>
    <w:p w14:paraId="2A547766" w14:textId="32DD3C46" w:rsidR="00DF5EE0" w:rsidRDefault="00146378">
      <w:pPr>
        <w:pStyle w:val="TOC2"/>
        <w:rPr>
          <w:rFonts w:asciiTheme="minorHAnsi" w:eastAsiaTheme="minorEastAsia" w:hAnsiTheme="minorHAnsi"/>
          <w:noProof/>
          <w:kern w:val="2"/>
          <w:sz w:val="24"/>
          <w:szCs w:val="24"/>
          <w:lang w:eastAsia="en-GB"/>
          <w14:ligatures w14:val="standardContextual"/>
        </w:rPr>
      </w:pPr>
      <w:r>
        <w:rPr>
          <w:lang w:eastAsia="en-AU"/>
        </w:rPr>
        <w:fldChar w:fldCharType="begin"/>
      </w:r>
      <w:r>
        <w:rPr>
          <w:lang w:eastAsia="en-AU"/>
        </w:rPr>
        <w:instrText xml:space="preserve"> TOC \b S1 \* MERGEFORMAT </w:instrText>
      </w:r>
      <w:r>
        <w:rPr>
          <w:lang w:eastAsia="en-AU"/>
        </w:rPr>
        <w:fldChar w:fldCharType="separate"/>
      </w:r>
      <w:r w:rsidR="00DF5EE0">
        <w:rPr>
          <w:noProof/>
        </w:rPr>
        <w:t>Performance overview</w:t>
      </w:r>
      <w:r w:rsidR="00DF5EE0">
        <w:rPr>
          <w:noProof/>
        </w:rPr>
        <w:tab/>
      </w:r>
      <w:r w:rsidR="00DF5EE0">
        <w:rPr>
          <w:noProof/>
        </w:rPr>
        <w:fldChar w:fldCharType="begin"/>
      </w:r>
      <w:r w:rsidR="00DF5EE0">
        <w:rPr>
          <w:noProof/>
        </w:rPr>
        <w:instrText xml:space="preserve"> PAGEREF _Toc149131675 \h </w:instrText>
      </w:r>
      <w:r w:rsidR="00DF5EE0">
        <w:rPr>
          <w:noProof/>
        </w:rPr>
      </w:r>
      <w:r w:rsidR="00DF5EE0">
        <w:rPr>
          <w:noProof/>
        </w:rPr>
        <w:fldChar w:fldCharType="separate"/>
      </w:r>
      <w:r w:rsidR="00DF5EE0">
        <w:rPr>
          <w:noProof/>
        </w:rPr>
        <w:t>19</w:t>
      </w:r>
      <w:r w:rsidR="00DF5EE0">
        <w:rPr>
          <w:noProof/>
        </w:rPr>
        <w:fldChar w:fldCharType="end"/>
      </w:r>
    </w:p>
    <w:p w14:paraId="057543E6" w14:textId="50A11212"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Strategic focus areas scorecard</w:t>
      </w:r>
      <w:r>
        <w:rPr>
          <w:noProof/>
        </w:rPr>
        <w:tab/>
      </w:r>
      <w:r>
        <w:rPr>
          <w:noProof/>
        </w:rPr>
        <w:fldChar w:fldCharType="begin"/>
      </w:r>
      <w:r>
        <w:rPr>
          <w:noProof/>
        </w:rPr>
        <w:instrText xml:space="preserve"> PAGEREF _Toc149131676 \h </w:instrText>
      </w:r>
      <w:r>
        <w:rPr>
          <w:noProof/>
        </w:rPr>
      </w:r>
      <w:r>
        <w:rPr>
          <w:noProof/>
        </w:rPr>
        <w:fldChar w:fldCharType="separate"/>
      </w:r>
      <w:r>
        <w:rPr>
          <w:noProof/>
        </w:rPr>
        <w:t>19</w:t>
      </w:r>
      <w:r>
        <w:rPr>
          <w:noProof/>
        </w:rPr>
        <w:fldChar w:fldCharType="end"/>
      </w:r>
    </w:p>
    <w:p w14:paraId="7EBA78BC" w14:textId="6BF77F7A"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Strategic initiatives scorecard</w:t>
      </w:r>
      <w:r>
        <w:rPr>
          <w:noProof/>
        </w:rPr>
        <w:tab/>
      </w:r>
      <w:r>
        <w:rPr>
          <w:noProof/>
        </w:rPr>
        <w:fldChar w:fldCharType="begin"/>
      </w:r>
      <w:r>
        <w:rPr>
          <w:noProof/>
        </w:rPr>
        <w:instrText xml:space="preserve"> PAGEREF _Toc149131677 \h </w:instrText>
      </w:r>
      <w:r>
        <w:rPr>
          <w:noProof/>
        </w:rPr>
      </w:r>
      <w:r>
        <w:rPr>
          <w:noProof/>
        </w:rPr>
        <w:fldChar w:fldCharType="separate"/>
      </w:r>
      <w:r>
        <w:rPr>
          <w:noProof/>
        </w:rPr>
        <w:t>19</w:t>
      </w:r>
      <w:r>
        <w:rPr>
          <w:noProof/>
        </w:rPr>
        <w:fldChar w:fldCharType="end"/>
      </w:r>
    </w:p>
    <w:p w14:paraId="52B6CE9D" w14:textId="243A0B38"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Annual plan performance scorecard</w:t>
      </w:r>
      <w:r>
        <w:rPr>
          <w:noProof/>
        </w:rPr>
        <w:tab/>
      </w:r>
      <w:r>
        <w:rPr>
          <w:noProof/>
        </w:rPr>
        <w:fldChar w:fldCharType="begin"/>
      </w:r>
      <w:r>
        <w:rPr>
          <w:noProof/>
        </w:rPr>
        <w:instrText xml:space="preserve"> PAGEREF _Toc149131678 \h </w:instrText>
      </w:r>
      <w:r>
        <w:rPr>
          <w:noProof/>
        </w:rPr>
      </w:r>
      <w:r>
        <w:rPr>
          <w:noProof/>
        </w:rPr>
        <w:fldChar w:fldCharType="separate"/>
      </w:r>
      <w:r>
        <w:rPr>
          <w:noProof/>
        </w:rPr>
        <w:t>20</w:t>
      </w:r>
      <w:r>
        <w:rPr>
          <w:noProof/>
        </w:rPr>
        <w:fldChar w:fldCharType="end"/>
      </w:r>
    </w:p>
    <w:p w14:paraId="4A2142B6" w14:textId="498B716B"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Prevention and education impact</w:t>
      </w:r>
      <w:r>
        <w:rPr>
          <w:noProof/>
        </w:rPr>
        <w:tab/>
      </w:r>
      <w:r>
        <w:rPr>
          <w:noProof/>
        </w:rPr>
        <w:fldChar w:fldCharType="begin"/>
      </w:r>
      <w:r>
        <w:rPr>
          <w:noProof/>
        </w:rPr>
        <w:instrText xml:space="preserve"> PAGEREF _Toc149131679 \h </w:instrText>
      </w:r>
      <w:r>
        <w:rPr>
          <w:noProof/>
        </w:rPr>
      </w:r>
      <w:r>
        <w:rPr>
          <w:noProof/>
        </w:rPr>
        <w:fldChar w:fldCharType="separate"/>
      </w:r>
      <w:r>
        <w:rPr>
          <w:noProof/>
        </w:rPr>
        <w:t>21</w:t>
      </w:r>
      <w:r>
        <w:rPr>
          <w:noProof/>
        </w:rPr>
        <w:fldChar w:fldCharType="end"/>
      </w:r>
    </w:p>
    <w:p w14:paraId="79092C9C" w14:textId="7404EA04" w:rsidR="00DF5EE0" w:rsidRDefault="00DF5EE0">
      <w:pPr>
        <w:pStyle w:val="TOC2"/>
        <w:rPr>
          <w:rFonts w:asciiTheme="minorHAnsi" w:eastAsiaTheme="minorEastAsia" w:hAnsiTheme="minorHAnsi"/>
          <w:noProof/>
          <w:kern w:val="2"/>
          <w:sz w:val="24"/>
          <w:szCs w:val="24"/>
          <w:lang w:eastAsia="en-GB"/>
          <w14:ligatures w14:val="standardContextual"/>
        </w:rPr>
      </w:pPr>
      <w:r>
        <w:rPr>
          <w:noProof/>
        </w:rPr>
        <w:t>Financial overview</w:t>
      </w:r>
      <w:r>
        <w:rPr>
          <w:noProof/>
        </w:rPr>
        <w:tab/>
      </w:r>
      <w:r>
        <w:rPr>
          <w:noProof/>
        </w:rPr>
        <w:fldChar w:fldCharType="begin"/>
      </w:r>
      <w:r>
        <w:rPr>
          <w:noProof/>
        </w:rPr>
        <w:instrText xml:space="preserve"> PAGEREF _Toc149131680 \h </w:instrText>
      </w:r>
      <w:r>
        <w:rPr>
          <w:noProof/>
        </w:rPr>
      </w:r>
      <w:r>
        <w:rPr>
          <w:noProof/>
        </w:rPr>
        <w:fldChar w:fldCharType="separate"/>
      </w:r>
      <w:r>
        <w:rPr>
          <w:noProof/>
        </w:rPr>
        <w:t>22</w:t>
      </w:r>
      <w:r>
        <w:rPr>
          <w:noProof/>
        </w:rPr>
        <w:fldChar w:fldCharType="end"/>
      </w:r>
    </w:p>
    <w:p w14:paraId="70015D79" w14:textId="0BCB24D7"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Direct costs attributable to machinery of government changes</w:t>
      </w:r>
      <w:r>
        <w:rPr>
          <w:noProof/>
        </w:rPr>
        <w:tab/>
      </w:r>
      <w:r>
        <w:rPr>
          <w:noProof/>
        </w:rPr>
        <w:fldChar w:fldCharType="begin"/>
      </w:r>
      <w:r>
        <w:rPr>
          <w:noProof/>
        </w:rPr>
        <w:instrText xml:space="preserve"> PAGEREF _Toc149131681 \h </w:instrText>
      </w:r>
      <w:r>
        <w:rPr>
          <w:noProof/>
        </w:rPr>
      </w:r>
      <w:r>
        <w:rPr>
          <w:noProof/>
        </w:rPr>
        <w:fldChar w:fldCharType="separate"/>
      </w:r>
      <w:r>
        <w:rPr>
          <w:noProof/>
        </w:rPr>
        <w:t>22</w:t>
      </w:r>
      <w:r>
        <w:rPr>
          <w:noProof/>
        </w:rPr>
        <w:fldChar w:fldCharType="end"/>
      </w:r>
    </w:p>
    <w:p w14:paraId="7F6BCE15" w14:textId="1650524A"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Financial performance</w:t>
      </w:r>
      <w:r>
        <w:rPr>
          <w:noProof/>
        </w:rPr>
        <w:tab/>
      </w:r>
      <w:r>
        <w:rPr>
          <w:noProof/>
        </w:rPr>
        <w:fldChar w:fldCharType="begin"/>
      </w:r>
      <w:r>
        <w:rPr>
          <w:noProof/>
        </w:rPr>
        <w:instrText xml:space="preserve"> PAGEREF _Toc149131682 \h </w:instrText>
      </w:r>
      <w:r>
        <w:rPr>
          <w:noProof/>
        </w:rPr>
      </w:r>
      <w:r>
        <w:rPr>
          <w:noProof/>
        </w:rPr>
        <w:fldChar w:fldCharType="separate"/>
      </w:r>
      <w:r>
        <w:rPr>
          <w:noProof/>
        </w:rPr>
        <w:t>22</w:t>
      </w:r>
      <w:r>
        <w:rPr>
          <w:noProof/>
        </w:rPr>
        <w:fldChar w:fldCharType="end"/>
      </w:r>
    </w:p>
    <w:p w14:paraId="65CE07D1" w14:textId="4BAF522D"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Income</w:t>
      </w:r>
      <w:r>
        <w:rPr>
          <w:noProof/>
        </w:rPr>
        <w:tab/>
      </w:r>
      <w:r>
        <w:rPr>
          <w:noProof/>
        </w:rPr>
        <w:fldChar w:fldCharType="begin"/>
      </w:r>
      <w:r>
        <w:rPr>
          <w:noProof/>
        </w:rPr>
        <w:instrText xml:space="preserve"> PAGEREF _Toc149131683 \h </w:instrText>
      </w:r>
      <w:r>
        <w:rPr>
          <w:noProof/>
        </w:rPr>
      </w:r>
      <w:r>
        <w:rPr>
          <w:noProof/>
        </w:rPr>
        <w:fldChar w:fldCharType="separate"/>
      </w:r>
      <w:r>
        <w:rPr>
          <w:noProof/>
        </w:rPr>
        <w:t>23</w:t>
      </w:r>
      <w:r>
        <w:rPr>
          <w:noProof/>
        </w:rPr>
        <w:fldChar w:fldCharType="end"/>
      </w:r>
    </w:p>
    <w:p w14:paraId="2C0ED76F" w14:textId="12366AB7"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Expenditure</w:t>
      </w:r>
      <w:r>
        <w:rPr>
          <w:noProof/>
        </w:rPr>
        <w:tab/>
      </w:r>
      <w:r>
        <w:rPr>
          <w:noProof/>
        </w:rPr>
        <w:fldChar w:fldCharType="begin"/>
      </w:r>
      <w:r>
        <w:rPr>
          <w:noProof/>
        </w:rPr>
        <w:instrText xml:space="preserve"> PAGEREF _Toc149131684 \h </w:instrText>
      </w:r>
      <w:r>
        <w:rPr>
          <w:noProof/>
        </w:rPr>
      </w:r>
      <w:r>
        <w:rPr>
          <w:noProof/>
        </w:rPr>
        <w:fldChar w:fldCharType="separate"/>
      </w:r>
      <w:r>
        <w:rPr>
          <w:noProof/>
        </w:rPr>
        <w:t>23</w:t>
      </w:r>
      <w:r>
        <w:rPr>
          <w:noProof/>
        </w:rPr>
        <w:fldChar w:fldCharType="end"/>
      </w:r>
    </w:p>
    <w:p w14:paraId="506B967D" w14:textId="7152B8F8"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Current financial position</w:t>
      </w:r>
      <w:r>
        <w:rPr>
          <w:noProof/>
        </w:rPr>
        <w:tab/>
      </w:r>
      <w:r>
        <w:rPr>
          <w:noProof/>
        </w:rPr>
        <w:fldChar w:fldCharType="begin"/>
      </w:r>
      <w:r>
        <w:rPr>
          <w:noProof/>
        </w:rPr>
        <w:instrText xml:space="preserve"> PAGEREF _Toc149131685 \h </w:instrText>
      </w:r>
      <w:r>
        <w:rPr>
          <w:noProof/>
        </w:rPr>
      </w:r>
      <w:r>
        <w:rPr>
          <w:noProof/>
        </w:rPr>
        <w:fldChar w:fldCharType="separate"/>
      </w:r>
      <w:r>
        <w:rPr>
          <w:noProof/>
        </w:rPr>
        <w:t>23</w:t>
      </w:r>
      <w:r>
        <w:rPr>
          <w:noProof/>
        </w:rPr>
        <w:fldChar w:fldCharType="end"/>
      </w:r>
    </w:p>
    <w:p w14:paraId="4A791918" w14:textId="7D86E20A" w:rsidR="00DF5EE0" w:rsidRDefault="00DF5EE0">
      <w:pPr>
        <w:pStyle w:val="TOC3"/>
        <w:rPr>
          <w:rFonts w:asciiTheme="minorHAnsi" w:eastAsiaTheme="minorEastAsia" w:hAnsiTheme="minorHAnsi"/>
          <w:noProof/>
          <w:kern w:val="2"/>
          <w:sz w:val="24"/>
          <w:szCs w:val="24"/>
          <w:lang w:eastAsia="en-GB"/>
          <w14:ligatures w14:val="standardContextual"/>
        </w:rPr>
      </w:pPr>
      <w:r>
        <w:rPr>
          <w:noProof/>
        </w:rPr>
        <w:t>Looking forward</w:t>
      </w:r>
      <w:r>
        <w:rPr>
          <w:noProof/>
        </w:rPr>
        <w:tab/>
      </w:r>
      <w:r>
        <w:rPr>
          <w:noProof/>
        </w:rPr>
        <w:fldChar w:fldCharType="begin"/>
      </w:r>
      <w:r>
        <w:rPr>
          <w:noProof/>
        </w:rPr>
        <w:instrText xml:space="preserve"> PAGEREF _Toc149131686 \h </w:instrText>
      </w:r>
      <w:r>
        <w:rPr>
          <w:noProof/>
        </w:rPr>
      </w:r>
      <w:r>
        <w:rPr>
          <w:noProof/>
        </w:rPr>
        <w:fldChar w:fldCharType="separate"/>
      </w:r>
      <w:r>
        <w:rPr>
          <w:noProof/>
        </w:rPr>
        <w:t>23</w:t>
      </w:r>
      <w:r>
        <w:rPr>
          <w:noProof/>
        </w:rPr>
        <w:fldChar w:fldCharType="end"/>
      </w:r>
    </w:p>
    <w:p w14:paraId="33C14948" w14:textId="22C485D6" w:rsidR="00734033" w:rsidRPr="007211D6" w:rsidRDefault="00146378" w:rsidP="007211D6">
      <w:pPr>
        <w:pStyle w:val="BodyText"/>
      </w:pPr>
      <w:r>
        <w:rPr>
          <w:lang w:eastAsia="en-AU"/>
        </w:rPr>
        <w:fldChar w:fldCharType="end"/>
      </w:r>
      <w:bookmarkStart w:id="16" w:name="_Toc133585225"/>
      <w:r w:rsidR="00734033">
        <w:br w:type="page"/>
      </w:r>
    </w:p>
    <w:p w14:paraId="06321A75" w14:textId="5D6D0E9D" w:rsidR="00A25CCE" w:rsidRDefault="00A25CCE" w:rsidP="00A25CCE">
      <w:pPr>
        <w:pStyle w:val="Heading2"/>
      </w:pPr>
      <w:bookmarkStart w:id="17" w:name="_Toc149131675"/>
      <w:bookmarkStart w:id="18" w:name="_Ref149134501"/>
      <w:bookmarkStart w:id="19" w:name="_Ref112665239"/>
      <w:bookmarkStart w:id="20" w:name="S1"/>
      <w:bookmarkEnd w:id="16"/>
      <w:r>
        <w:t>Performance overview</w:t>
      </w:r>
      <w:bookmarkEnd w:id="17"/>
      <w:bookmarkEnd w:id="18"/>
    </w:p>
    <w:p w14:paraId="3319CF4D" w14:textId="72857DA5" w:rsidR="00172CA2" w:rsidRDefault="00172CA2">
      <w:pPr>
        <w:pStyle w:val="Heading3"/>
      </w:pPr>
      <w:bookmarkStart w:id="21" w:name="_Toc149131676"/>
      <w:bookmarkStart w:id="22" w:name="_Ref149135107"/>
      <w:r>
        <w:t>Strategic focus area</w:t>
      </w:r>
      <w:r w:rsidR="00FE3C47">
        <w:t>s</w:t>
      </w:r>
      <w:r>
        <w:t xml:space="preserve"> scorecard</w:t>
      </w:r>
      <w:bookmarkEnd w:id="21"/>
      <w:bookmarkEnd w:id="22"/>
    </w:p>
    <w:p w14:paraId="3A26A79F" w14:textId="01F6D671" w:rsidR="00FE3C47" w:rsidRPr="001A1B0E" w:rsidRDefault="00FE2BBC" w:rsidP="001A1B0E">
      <w:pPr>
        <w:pStyle w:val="BodyText"/>
      </w:pPr>
      <w:r w:rsidRPr="001A1B0E">
        <w:t xml:space="preserve">IBAC had </w:t>
      </w:r>
      <w:r w:rsidR="003B17BF">
        <w:t>six</w:t>
      </w:r>
      <w:r w:rsidRPr="001A1B0E">
        <w:t xml:space="preserve"> strategic focus areas to guide operational activity in </w:t>
      </w:r>
      <w:r w:rsidR="000A1691">
        <w:t>2022/23</w:t>
      </w:r>
      <w:r w:rsidRPr="001A1B0E">
        <w:t xml:space="preserve">. Delivery of core work </w:t>
      </w:r>
      <w:r w:rsidR="003C4C52" w:rsidRPr="001A1B0E">
        <w:t>i</w:t>
      </w:r>
      <w:r w:rsidRPr="001A1B0E">
        <w:t xml:space="preserve">n these areas </w:t>
      </w:r>
      <w:r w:rsidR="003C4C52" w:rsidRPr="001A1B0E">
        <w:t>wa</w:t>
      </w:r>
      <w:r w:rsidRPr="001A1B0E">
        <w:t xml:space="preserve">s rated against </w:t>
      </w:r>
      <w:r w:rsidR="001859E3" w:rsidRPr="001859E3">
        <w:t xml:space="preserve">the </w:t>
      </w:r>
      <w:r w:rsidR="001859E3" w:rsidRPr="001859E3">
        <w:rPr>
          <w:rStyle w:val="Characteritalic"/>
        </w:rPr>
        <w:t>IBAC Annual Plan 2022/23</w:t>
      </w:r>
      <w:r w:rsidR="001859E3" w:rsidRPr="001859E3">
        <w:t xml:space="preserve"> </w:t>
      </w:r>
      <w:r w:rsidR="003C4C52" w:rsidRPr="001A1B0E">
        <w:t xml:space="preserve">and is shown in </w:t>
      </w:r>
      <w:r w:rsidR="00321E68">
        <w:fldChar w:fldCharType="begin"/>
      </w:r>
      <w:r w:rsidR="00321E68">
        <w:instrText xml:space="preserve"> REF _Ref140753968 \h </w:instrText>
      </w:r>
      <w:r w:rsidR="00321E68">
        <w:fldChar w:fldCharType="separate"/>
      </w:r>
      <w:r w:rsidR="00591B9F">
        <w:t xml:space="preserve">Table </w:t>
      </w:r>
      <w:r w:rsidR="00591B9F">
        <w:rPr>
          <w:noProof/>
        </w:rPr>
        <w:t>2</w:t>
      </w:r>
      <w:r w:rsidR="00321E68">
        <w:fldChar w:fldCharType="end"/>
      </w:r>
      <w:r w:rsidR="003C4C52" w:rsidRPr="001A1B0E">
        <w:t xml:space="preserve">. These activities are discussed in </w:t>
      </w:r>
      <w:hyperlink w:anchor="_Our_performance" w:history="1">
        <w:r w:rsidR="00321E68">
          <w:rPr>
            <w:rStyle w:val="Hyperlink"/>
          </w:rPr>
          <w:fldChar w:fldCharType="begin"/>
        </w:r>
        <w:r w:rsidR="00321E68">
          <w:instrText xml:space="preserve"> REF _Ref140754098 \w \h </w:instrText>
        </w:r>
        <w:r w:rsidR="00321E68">
          <w:rPr>
            <w:rStyle w:val="Hyperlink"/>
          </w:rPr>
        </w:r>
        <w:r w:rsidR="00321E68">
          <w:rPr>
            <w:rStyle w:val="Hyperlink"/>
          </w:rPr>
          <w:fldChar w:fldCharType="separate"/>
        </w:r>
        <w:r w:rsidR="00321E68">
          <w:t>Section 2:</w:t>
        </w:r>
        <w:r w:rsidR="00321E68">
          <w:rPr>
            <w:rStyle w:val="Hyperlink"/>
          </w:rPr>
          <w:fldChar w:fldCharType="end"/>
        </w:r>
      </w:hyperlink>
      <w:r w:rsidR="00321E68">
        <w:t xml:space="preserve"> </w:t>
      </w:r>
      <w:r w:rsidR="00321E68">
        <w:fldChar w:fldCharType="begin"/>
      </w:r>
      <w:r w:rsidR="00321E68">
        <w:instrText xml:space="preserve"> REF _Ref140754107 \h </w:instrText>
      </w:r>
      <w:r w:rsidR="00321E68">
        <w:fldChar w:fldCharType="separate"/>
      </w:r>
      <w:r w:rsidR="00321E68">
        <w:t>Our performance</w:t>
      </w:r>
      <w:r w:rsidR="00321E68">
        <w:fldChar w:fldCharType="end"/>
      </w:r>
      <w:r w:rsidR="00E62D72">
        <w:t>.</w:t>
      </w:r>
    </w:p>
    <w:p w14:paraId="77F94651" w14:textId="1A3CBEDF" w:rsidR="00FE3C47" w:rsidRDefault="00FE3C47" w:rsidP="00834775">
      <w:pPr>
        <w:pStyle w:val="Caption"/>
      </w:pPr>
      <w:bookmarkStart w:id="23" w:name="_Ref140753968"/>
      <w:r>
        <w:t xml:space="preserve">Table </w:t>
      </w:r>
      <w:r>
        <w:fldChar w:fldCharType="begin"/>
      </w:r>
      <w:r>
        <w:instrText xml:space="preserve"> SEQ Table \* ARABIC </w:instrText>
      </w:r>
      <w:r>
        <w:fldChar w:fldCharType="separate"/>
      </w:r>
      <w:r w:rsidR="00EF6E7F">
        <w:rPr>
          <w:noProof/>
        </w:rPr>
        <w:t>2</w:t>
      </w:r>
      <w:r>
        <w:rPr>
          <w:noProof/>
        </w:rPr>
        <w:fldChar w:fldCharType="end"/>
      </w:r>
      <w:bookmarkEnd w:id="23"/>
      <w:r>
        <w:t xml:space="preserve">: Strategic focus area delivery to plan </w:t>
      </w:r>
      <w:r w:rsidR="000A1691">
        <w:t>2022/23</w:t>
      </w:r>
    </w:p>
    <w:tbl>
      <w:tblPr>
        <w:tblStyle w:val="CustomTablestandard"/>
        <w:tblW w:w="3750" w:type="pct"/>
        <w:tblLook w:val="04A0" w:firstRow="1" w:lastRow="0" w:firstColumn="1" w:lastColumn="0" w:noHBand="0" w:noVBand="1"/>
      </w:tblPr>
      <w:tblGrid>
        <w:gridCol w:w="3837"/>
        <w:gridCol w:w="2933"/>
      </w:tblGrid>
      <w:tr w:rsidR="00FE3C47" w14:paraId="157B94E1" w14:textId="77777777" w:rsidTr="00E6375A">
        <w:trPr>
          <w:cnfStyle w:val="100000000000" w:firstRow="1" w:lastRow="0" w:firstColumn="0" w:lastColumn="0" w:oddVBand="0" w:evenVBand="0" w:oddHBand="0" w:evenHBand="0" w:firstRowFirstColumn="0" w:firstRowLastColumn="0" w:lastRowFirstColumn="0" w:lastRowLastColumn="0"/>
          <w:trHeight w:val="251"/>
        </w:trPr>
        <w:tc>
          <w:tcPr>
            <w:tcW w:w="0" w:type="pct"/>
            <w:hideMark/>
          </w:tcPr>
          <w:p w14:paraId="310B7D2D" w14:textId="77777777" w:rsidR="00FE3C47" w:rsidRPr="00254C0B" w:rsidRDefault="00FE3C47" w:rsidP="00254C0B">
            <w:pPr>
              <w:pStyle w:val="TableHeading1"/>
            </w:pPr>
            <w:r w:rsidRPr="00254C0B">
              <w:t>Strategic focus area</w:t>
            </w:r>
          </w:p>
        </w:tc>
        <w:tc>
          <w:tcPr>
            <w:tcW w:w="0" w:type="pct"/>
            <w:hideMark/>
          </w:tcPr>
          <w:p w14:paraId="20CDE29E" w14:textId="77777777" w:rsidR="00FE3C47" w:rsidRPr="00E6375A" w:rsidRDefault="00FE3C47" w:rsidP="00E6375A">
            <w:pPr>
              <w:pStyle w:val="TableHeading2centrealign"/>
            </w:pPr>
            <w:r w:rsidRPr="0045554A">
              <w:t>Status</w:t>
            </w:r>
          </w:p>
        </w:tc>
      </w:tr>
      <w:tr w:rsidR="00FE3C47" w14:paraId="78A65855" w14:textId="77777777" w:rsidTr="00127365">
        <w:trPr>
          <w:trHeight w:val="97"/>
        </w:trPr>
        <w:tc>
          <w:tcPr>
            <w:tcW w:w="0" w:type="pct"/>
            <w:hideMark/>
          </w:tcPr>
          <w:p w14:paraId="410B282C" w14:textId="77777777" w:rsidR="00FE3C47" w:rsidRDefault="00FE3C47" w:rsidP="00457A51">
            <w:pPr>
              <w:pStyle w:val="TableListNumber"/>
              <w:rPr>
                <w:lang w:eastAsia="en-US"/>
              </w:rPr>
            </w:pPr>
            <w:r>
              <w:rPr>
                <w:lang w:eastAsia="en-US"/>
              </w:rPr>
              <w:t>High-risk police units, divisions and regions</w:t>
            </w:r>
          </w:p>
        </w:tc>
        <w:tc>
          <w:tcPr>
            <w:tcW w:w="0" w:type="pct"/>
          </w:tcPr>
          <w:p w14:paraId="6410EECF" w14:textId="65512BD2" w:rsidR="009A6DA2" w:rsidRDefault="003607DF" w:rsidP="003607DF">
            <w:pPr>
              <w:pStyle w:val="TableBodyTextcentrealign"/>
              <w:rPr>
                <w:lang w:eastAsia="en-US"/>
              </w:rPr>
            </w:pPr>
            <w:r>
              <w:t>○</w:t>
            </w:r>
          </w:p>
        </w:tc>
      </w:tr>
      <w:tr w:rsidR="00FE3C47" w14:paraId="443E3D75" w14:textId="77777777" w:rsidTr="00127365">
        <w:trPr>
          <w:trHeight w:val="97"/>
        </w:trPr>
        <w:tc>
          <w:tcPr>
            <w:tcW w:w="0" w:type="pct"/>
            <w:hideMark/>
          </w:tcPr>
          <w:p w14:paraId="2097AC9E" w14:textId="77777777" w:rsidR="00FE3C47" w:rsidRDefault="00FE3C47" w:rsidP="00457A51">
            <w:pPr>
              <w:pStyle w:val="TableListNumber"/>
              <w:rPr>
                <w:lang w:eastAsia="en-US"/>
              </w:rPr>
            </w:pPr>
            <w:r>
              <w:rPr>
                <w:lang w:eastAsia="en-US"/>
              </w:rPr>
              <w:t>High-risk public sector agencies</w:t>
            </w:r>
          </w:p>
        </w:tc>
        <w:tc>
          <w:tcPr>
            <w:tcW w:w="0" w:type="pct"/>
          </w:tcPr>
          <w:p w14:paraId="75C5E710" w14:textId="206DD1CE" w:rsidR="00FE3C47" w:rsidRDefault="009A6DA2">
            <w:pPr>
              <w:pStyle w:val="TableBodyTextcentrealign"/>
              <w:rPr>
                <w:lang w:eastAsia="en-US"/>
              </w:rPr>
            </w:pPr>
            <w:r>
              <w:t>○</w:t>
            </w:r>
          </w:p>
        </w:tc>
      </w:tr>
      <w:tr w:rsidR="00FE3C47" w14:paraId="50BAFF89" w14:textId="77777777" w:rsidTr="00127365">
        <w:trPr>
          <w:trHeight w:val="97"/>
        </w:trPr>
        <w:tc>
          <w:tcPr>
            <w:tcW w:w="0" w:type="pct"/>
            <w:hideMark/>
          </w:tcPr>
          <w:p w14:paraId="22C89A08" w14:textId="77777777" w:rsidR="00FE3C47" w:rsidRDefault="00FE3C47" w:rsidP="00457A51">
            <w:pPr>
              <w:pStyle w:val="TableListNumber"/>
              <w:rPr>
                <w:lang w:eastAsia="en-US"/>
              </w:rPr>
            </w:pPr>
            <w:r>
              <w:rPr>
                <w:lang w:eastAsia="en-US"/>
              </w:rPr>
              <w:t>Major infrastructure projects</w:t>
            </w:r>
          </w:p>
        </w:tc>
        <w:tc>
          <w:tcPr>
            <w:tcW w:w="0" w:type="pct"/>
          </w:tcPr>
          <w:p w14:paraId="04C9E74C" w14:textId="3C33BA8F" w:rsidR="00FE3C47" w:rsidRPr="007E78B5" w:rsidRDefault="00A535B2" w:rsidP="007E78B5">
            <w:pPr>
              <w:pStyle w:val="TableBodyTextcentrealign"/>
            </w:pPr>
            <w:r w:rsidRPr="007E78B5">
              <w:rPr>
                <w:rFonts w:ascii="Segoe UI Symbol" w:hAnsi="Segoe UI Symbol" w:cs="Segoe UI Symbol"/>
              </w:rPr>
              <w:t>✓</w:t>
            </w:r>
          </w:p>
        </w:tc>
      </w:tr>
      <w:tr w:rsidR="00FE3C47" w14:paraId="5374CF23" w14:textId="77777777" w:rsidTr="00127365">
        <w:trPr>
          <w:trHeight w:val="97"/>
        </w:trPr>
        <w:tc>
          <w:tcPr>
            <w:tcW w:w="0" w:type="pct"/>
            <w:hideMark/>
          </w:tcPr>
          <w:p w14:paraId="30EA1C10" w14:textId="77777777" w:rsidR="00FE3C47" w:rsidRDefault="00FE3C47" w:rsidP="00457A51">
            <w:pPr>
              <w:pStyle w:val="TableListNumber"/>
              <w:rPr>
                <w:lang w:eastAsia="en-US"/>
              </w:rPr>
            </w:pPr>
            <w:r>
              <w:rPr>
                <w:lang w:eastAsia="en-US"/>
              </w:rPr>
              <w:t>Undue influence</w:t>
            </w:r>
          </w:p>
        </w:tc>
        <w:tc>
          <w:tcPr>
            <w:tcW w:w="0" w:type="pct"/>
          </w:tcPr>
          <w:p w14:paraId="20435DDE" w14:textId="3E304E4C" w:rsidR="00FE3C47" w:rsidRPr="007E78B5" w:rsidRDefault="00A535B2" w:rsidP="007E78B5">
            <w:pPr>
              <w:pStyle w:val="TableBodyTextcentrealign"/>
            </w:pPr>
            <w:r w:rsidRPr="007E78B5">
              <w:rPr>
                <w:rFonts w:ascii="Segoe UI Symbol" w:hAnsi="Segoe UI Symbol" w:cs="Segoe UI Symbol"/>
              </w:rPr>
              <w:t>✓</w:t>
            </w:r>
          </w:p>
        </w:tc>
      </w:tr>
      <w:tr w:rsidR="00FE3C47" w14:paraId="44749724" w14:textId="77777777" w:rsidTr="00127365">
        <w:trPr>
          <w:trHeight w:val="97"/>
        </w:trPr>
        <w:tc>
          <w:tcPr>
            <w:tcW w:w="0" w:type="pct"/>
            <w:hideMark/>
          </w:tcPr>
          <w:p w14:paraId="433B421D" w14:textId="77777777" w:rsidR="00FE3C47" w:rsidRDefault="00FE3C47" w:rsidP="00457A51">
            <w:pPr>
              <w:pStyle w:val="TableListNumber"/>
              <w:rPr>
                <w:lang w:eastAsia="en-US"/>
              </w:rPr>
            </w:pPr>
            <w:r>
              <w:rPr>
                <w:lang w:eastAsia="en-US"/>
              </w:rPr>
              <w:t>Use of force on people at risk</w:t>
            </w:r>
          </w:p>
        </w:tc>
        <w:tc>
          <w:tcPr>
            <w:tcW w:w="0" w:type="pct"/>
          </w:tcPr>
          <w:p w14:paraId="5364288D" w14:textId="55334173" w:rsidR="00FE3C47" w:rsidRDefault="003607DF">
            <w:pPr>
              <w:pStyle w:val="TableBodyTextcentrealign"/>
              <w:rPr>
                <w:lang w:eastAsia="en-US"/>
              </w:rPr>
            </w:pPr>
            <w:r>
              <w:t>○</w:t>
            </w:r>
          </w:p>
        </w:tc>
      </w:tr>
      <w:tr w:rsidR="00FE3C47" w14:paraId="6CEC4140" w14:textId="77777777" w:rsidTr="00127365">
        <w:trPr>
          <w:trHeight w:val="97"/>
        </w:trPr>
        <w:tc>
          <w:tcPr>
            <w:tcW w:w="0" w:type="pct"/>
            <w:hideMark/>
          </w:tcPr>
          <w:p w14:paraId="47D72BD3" w14:textId="573B675B" w:rsidR="00FE3C47" w:rsidRDefault="00FE3C47" w:rsidP="00457A51">
            <w:pPr>
              <w:pStyle w:val="TableListNumber"/>
              <w:rPr>
                <w:lang w:eastAsia="en-US"/>
              </w:rPr>
            </w:pPr>
            <w:r>
              <w:rPr>
                <w:lang w:eastAsia="en-US"/>
              </w:rPr>
              <w:t>Police responses to police family violence incidents</w:t>
            </w:r>
            <w:r w:rsidR="00EC5FC9">
              <w:rPr>
                <w:lang w:eastAsia="en-US"/>
              </w:rPr>
              <w:t xml:space="preserve"> </w:t>
            </w:r>
            <w:r w:rsidR="00EC5FC9" w:rsidRPr="00EC5FC9">
              <w:rPr>
                <w:lang w:eastAsia="en-US"/>
              </w:rPr>
              <w:t>and predatory behaviour</w:t>
            </w:r>
          </w:p>
        </w:tc>
        <w:tc>
          <w:tcPr>
            <w:tcW w:w="0" w:type="pct"/>
          </w:tcPr>
          <w:p w14:paraId="24B91F23" w14:textId="5E387F4B" w:rsidR="00FE3C47" w:rsidRPr="007E78B5" w:rsidRDefault="00A535B2" w:rsidP="007E78B5">
            <w:pPr>
              <w:pStyle w:val="TableBodyTextcentrealign"/>
            </w:pPr>
            <w:r w:rsidRPr="007E78B5">
              <w:rPr>
                <w:rFonts w:ascii="Segoe UI Symbol" w:hAnsi="Segoe UI Symbol" w:cs="Segoe UI Symbol"/>
              </w:rPr>
              <w:t>✓</w:t>
            </w:r>
          </w:p>
        </w:tc>
      </w:tr>
    </w:tbl>
    <w:p w14:paraId="3E9035A7" w14:textId="56719D71" w:rsidR="00FE3C47" w:rsidRPr="007211D6" w:rsidRDefault="00A20AAD" w:rsidP="007211D6">
      <w:pPr>
        <w:pStyle w:val="TableNote"/>
      </w:pPr>
      <w:r w:rsidRPr="007211D6">
        <w:t>Key</w:t>
      </w:r>
    </w:p>
    <w:p w14:paraId="3D6715D2" w14:textId="77777777" w:rsidR="00FE3C47" w:rsidRDefault="00FE3C47" w:rsidP="00FE3C47">
      <w:pPr>
        <w:pStyle w:val="TableNote"/>
      </w:pPr>
      <w:r>
        <w:rPr>
          <w:rFonts w:ascii="Segoe UI Symbol" w:hAnsi="Segoe UI Symbol" w:cs="Segoe UI Symbol"/>
        </w:rPr>
        <w:t>✓</w:t>
      </w:r>
      <w:r>
        <w:t xml:space="preserve"> Delivered in full – all planned actions have been completed to expectation.</w:t>
      </w:r>
    </w:p>
    <w:p w14:paraId="36BCDE13" w14:textId="77777777" w:rsidR="00FE3C47" w:rsidRDefault="00FE3C47" w:rsidP="00FE3C47">
      <w:pPr>
        <w:pStyle w:val="TableNote"/>
      </w:pPr>
      <w:r>
        <w:t>○ Delivered in part – some planned actions have been completed to expectation.</w:t>
      </w:r>
    </w:p>
    <w:p w14:paraId="06A04F01" w14:textId="77777777" w:rsidR="00FE3C47" w:rsidRDefault="00FE3C47" w:rsidP="00FE3C47">
      <w:pPr>
        <w:pStyle w:val="TableNote"/>
      </w:pPr>
      <w:r>
        <w:rPr>
          <w:rFonts w:ascii="Cambria Math" w:hAnsi="Cambria Math" w:cs="Cambria Math"/>
        </w:rPr>
        <w:t>◼</w:t>
      </w:r>
      <w:r>
        <w:t xml:space="preserve"> Not delivered – planned actions have not been completed.</w:t>
      </w:r>
    </w:p>
    <w:p w14:paraId="0C2FAB12" w14:textId="05EE6E1F" w:rsidR="00FE3C47" w:rsidRDefault="00FE3C47">
      <w:pPr>
        <w:pStyle w:val="Heading3"/>
      </w:pPr>
      <w:bookmarkStart w:id="24" w:name="_Toc149131677"/>
      <w:r>
        <w:t>Strategic initiatives scorecard</w:t>
      </w:r>
      <w:bookmarkEnd w:id="24"/>
    </w:p>
    <w:p w14:paraId="60A43232" w14:textId="452D05F9" w:rsidR="00FE3C47" w:rsidRPr="00B07728" w:rsidRDefault="00645E31" w:rsidP="00B07728">
      <w:pPr>
        <w:pStyle w:val="BodyText"/>
      </w:pPr>
      <w:bookmarkStart w:id="25" w:name="_Ref107836622"/>
      <w:r w:rsidRPr="00B07728">
        <w:t>IBAC’s progress against</w:t>
      </w:r>
      <w:r w:rsidR="00074294" w:rsidRPr="00B07728">
        <w:t xml:space="preserve"> the</w:t>
      </w:r>
      <w:r w:rsidRPr="00B07728">
        <w:t xml:space="preserve"> </w:t>
      </w:r>
      <w:r w:rsidR="00CD76E9" w:rsidRPr="00CD76E9">
        <w:t xml:space="preserve">strategic initiatives in our Annual Plan 2022/23, as shown </w:t>
      </w:r>
      <w:r w:rsidRPr="00B07728">
        <w:t>in</w:t>
      </w:r>
      <w:r w:rsidR="00B07728">
        <w:t xml:space="preserve"> </w:t>
      </w:r>
      <w:r w:rsidR="00591B9F">
        <w:fldChar w:fldCharType="begin"/>
      </w:r>
      <w:r w:rsidR="00591B9F">
        <w:instrText xml:space="preserve"> REF _Ref140850932 \h </w:instrText>
      </w:r>
      <w:r w:rsidR="00591B9F">
        <w:fldChar w:fldCharType="separate"/>
      </w:r>
      <w:r w:rsidR="00591B9F">
        <w:t xml:space="preserve">Table </w:t>
      </w:r>
      <w:r w:rsidR="00591B9F">
        <w:rPr>
          <w:noProof/>
        </w:rPr>
        <w:t>3</w:t>
      </w:r>
      <w:r w:rsidR="00591B9F">
        <w:fldChar w:fldCharType="end"/>
      </w:r>
      <w:r w:rsidR="00A3594D">
        <w:t xml:space="preserve">, </w:t>
      </w:r>
      <w:r w:rsidR="00FE3C47" w:rsidRPr="00B07728">
        <w:t xml:space="preserve">are described in </w:t>
      </w:r>
      <w:r w:rsidR="00624D10" w:rsidRPr="00B07728">
        <w:t xml:space="preserve">the </w:t>
      </w:r>
      <w:r w:rsidR="00EC5FC9">
        <w:fldChar w:fldCharType="begin"/>
      </w:r>
      <w:r w:rsidR="00EC5FC9">
        <w:instrText xml:space="preserve"> REF _Ref140849637 \h </w:instrText>
      </w:r>
      <w:r w:rsidR="00EC5FC9">
        <w:fldChar w:fldCharType="separate"/>
      </w:r>
      <w:r w:rsidR="00EC5FC9">
        <w:t>Police oversight</w:t>
      </w:r>
      <w:r w:rsidR="00EC5FC9">
        <w:fldChar w:fldCharType="end"/>
      </w:r>
      <w:r w:rsidR="00BC3AB9" w:rsidRPr="00B07728">
        <w:t xml:space="preserve"> </w:t>
      </w:r>
      <w:r w:rsidR="00624D10" w:rsidRPr="00B07728">
        <w:t xml:space="preserve">and </w:t>
      </w:r>
      <w:r w:rsidR="00EC5FC9">
        <w:fldChar w:fldCharType="begin"/>
      </w:r>
      <w:r w:rsidR="00EC5FC9">
        <w:instrText xml:space="preserve"> REF _Ref140754187 \h </w:instrText>
      </w:r>
      <w:r w:rsidR="00EC5FC9">
        <w:fldChar w:fldCharType="separate"/>
      </w:r>
      <w:r w:rsidR="00EC5FC9">
        <w:t>Public sector oversight</w:t>
      </w:r>
      <w:r w:rsidR="00EC5FC9">
        <w:fldChar w:fldCharType="end"/>
      </w:r>
      <w:r w:rsidR="00624D10" w:rsidRPr="00B07728">
        <w:t xml:space="preserve"> sections.</w:t>
      </w:r>
    </w:p>
    <w:p w14:paraId="143E80CE" w14:textId="7A5D07CF" w:rsidR="00591B9F" w:rsidRDefault="00591B9F" w:rsidP="00834775">
      <w:pPr>
        <w:pStyle w:val="Caption"/>
      </w:pPr>
      <w:bookmarkStart w:id="26" w:name="_Ref140850932"/>
      <w:bookmarkEnd w:id="25"/>
      <w:r>
        <w:t xml:space="preserve">Table </w:t>
      </w:r>
      <w:r>
        <w:fldChar w:fldCharType="begin"/>
      </w:r>
      <w:r>
        <w:instrText xml:space="preserve"> SEQ Table \* ARABIC </w:instrText>
      </w:r>
      <w:r>
        <w:fldChar w:fldCharType="separate"/>
      </w:r>
      <w:r w:rsidR="00EF6E7F">
        <w:rPr>
          <w:noProof/>
        </w:rPr>
        <w:t>3</w:t>
      </w:r>
      <w:r>
        <w:fldChar w:fldCharType="end"/>
      </w:r>
      <w:bookmarkEnd w:id="26"/>
      <w:r>
        <w:t xml:space="preserve">: </w:t>
      </w:r>
      <w:r w:rsidRPr="00591B9F">
        <w:t xml:space="preserve">Strategic initiatives delivery to plan </w:t>
      </w:r>
      <w:r w:rsidR="000A1691">
        <w:t>2022/23</w:t>
      </w:r>
    </w:p>
    <w:tbl>
      <w:tblPr>
        <w:tblStyle w:val="CustomTablestandard"/>
        <w:tblW w:w="4994" w:type="pct"/>
        <w:tblLook w:val="04A0" w:firstRow="1" w:lastRow="0" w:firstColumn="1" w:lastColumn="0" w:noHBand="0" w:noVBand="1"/>
      </w:tblPr>
      <w:tblGrid>
        <w:gridCol w:w="4648"/>
        <w:gridCol w:w="1129"/>
        <w:gridCol w:w="837"/>
        <w:gridCol w:w="1053"/>
        <w:gridCol w:w="1349"/>
      </w:tblGrid>
      <w:tr w:rsidR="005B0560" w14:paraId="535E2705" w14:textId="77777777" w:rsidTr="11834A44">
        <w:trPr>
          <w:cnfStyle w:val="100000000000" w:firstRow="1" w:lastRow="0" w:firstColumn="0" w:lastColumn="0" w:oddVBand="0" w:evenVBand="0" w:oddHBand="0" w:evenHBand="0" w:firstRowFirstColumn="0" w:firstRowLastColumn="0" w:lastRowFirstColumn="0" w:lastRowLastColumn="0"/>
          <w:trHeight w:val="251"/>
        </w:trPr>
        <w:tc>
          <w:tcPr>
            <w:tcW w:w="2578" w:type="pct"/>
            <w:tcBorders>
              <w:left w:val="nil"/>
            </w:tcBorders>
            <w:hideMark/>
          </w:tcPr>
          <w:p w14:paraId="7768F543" w14:textId="76EBF493" w:rsidR="005B0560" w:rsidRDefault="005B0560" w:rsidP="006F24B5">
            <w:pPr>
              <w:pStyle w:val="TableHeading1"/>
              <w:rPr>
                <w:lang w:val="en-US" w:eastAsia="en-US"/>
              </w:rPr>
            </w:pPr>
            <w:bookmarkStart w:id="27" w:name="_Hlk118444243"/>
            <w:r>
              <w:rPr>
                <w:lang w:eastAsia="en-US"/>
              </w:rPr>
              <w:t>Strategic initiative</w:t>
            </w:r>
          </w:p>
        </w:tc>
        <w:tc>
          <w:tcPr>
            <w:tcW w:w="626" w:type="pct"/>
            <w:hideMark/>
          </w:tcPr>
          <w:p w14:paraId="1095F5E4" w14:textId="77777777" w:rsidR="005B0560" w:rsidRDefault="005B0560">
            <w:pPr>
              <w:pStyle w:val="TableHeading2centrealign"/>
              <w:rPr>
                <w:lang w:eastAsia="en-US"/>
              </w:rPr>
            </w:pPr>
            <w:r>
              <w:rPr>
                <w:lang w:eastAsia="en-US"/>
              </w:rPr>
              <w:t>Strategic pillar</w:t>
            </w:r>
          </w:p>
        </w:tc>
        <w:tc>
          <w:tcPr>
            <w:tcW w:w="464" w:type="pct"/>
            <w:hideMark/>
          </w:tcPr>
          <w:p w14:paraId="6406EAB1" w14:textId="77777777" w:rsidR="005B0560" w:rsidRDefault="005B0560">
            <w:pPr>
              <w:pStyle w:val="TableHeading2centrealign"/>
              <w:rPr>
                <w:lang w:eastAsia="en-US"/>
              </w:rPr>
            </w:pPr>
            <w:r>
              <w:rPr>
                <w:lang w:eastAsia="en-US"/>
              </w:rPr>
              <w:t>Status</w:t>
            </w:r>
          </w:p>
        </w:tc>
        <w:tc>
          <w:tcPr>
            <w:tcW w:w="584" w:type="pct"/>
            <w:hideMark/>
          </w:tcPr>
          <w:p w14:paraId="78667159" w14:textId="77777777" w:rsidR="005B0560" w:rsidRDefault="005B0560">
            <w:pPr>
              <w:pStyle w:val="TableHeading2centrealign"/>
              <w:rPr>
                <w:lang w:eastAsia="en-US"/>
              </w:rPr>
            </w:pPr>
            <w:r>
              <w:rPr>
                <w:lang w:eastAsia="en-US"/>
              </w:rPr>
              <w:t>% complete</w:t>
            </w:r>
            <w:r>
              <w:rPr>
                <w:rStyle w:val="Charactersuperscript"/>
                <w:lang w:eastAsia="en-US"/>
              </w:rPr>
              <w:t>(a)</w:t>
            </w:r>
          </w:p>
        </w:tc>
        <w:tc>
          <w:tcPr>
            <w:tcW w:w="748" w:type="pct"/>
            <w:tcBorders>
              <w:right w:val="nil"/>
            </w:tcBorders>
            <w:hideMark/>
          </w:tcPr>
          <w:p w14:paraId="0D175680" w14:textId="77777777" w:rsidR="005B0560" w:rsidRDefault="005B0560">
            <w:pPr>
              <w:pStyle w:val="TableHeading2centrealign"/>
              <w:rPr>
                <w:lang w:eastAsia="en-US"/>
              </w:rPr>
            </w:pPr>
            <w:r>
              <w:rPr>
                <w:lang w:eastAsia="en-US"/>
              </w:rPr>
              <w:t>Multi-year</w:t>
            </w:r>
          </w:p>
        </w:tc>
      </w:tr>
      <w:tr w:rsidR="00A34381" w14:paraId="507FD62E" w14:textId="77777777" w:rsidTr="11834A44">
        <w:trPr>
          <w:trHeight w:val="97"/>
        </w:trPr>
        <w:tc>
          <w:tcPr>
            <w:tcW w:w="2578" w:type="pct"/>
            <w:tcBorders>
              <w:top w:val="single" w:sz="4" w:space="0" w:color="auto"/>
              <w:left w:val="nil"/>
              <w:bottom w:val="single" w:sz="4" w:space="0" w:color="auto"/>
              <w:right w:val="nil"/>
            </w:tcBorders>
            <w:hideMark/>
          </w:tcPr>
          <w:p w14:paraId="5E0BBF56" w14:textId="77777777" w:rsidR="005B0560" w:rsidRDefault="005B0560" w:rsidP="005B0560">
            <w:pPr>
              <w:pStyle w:val="TableListNumber"/>
              <w:numPr>
                <w:ilvl w:val="0"/>
                <w:numId w:val="15"/>
              </w:numPr>
              <w:rPr>
                <w:lang w:eastAsia="en-US"/>
              </w:rPr>
            </w:pPr>
            <w:r>
              <w:rPr>
                <w:lang w:eastAsia="en-US"/>
              </w:rPr>
              <w:t>Royal Commission into the Management of Police Informants (RCMPI) and police oversight reforms</w:t>
            </w:r>
          </w:p>
        </w:tc>
        <w:tc>
          <w:tcPr>
            <w:tcW w:w="626" w:type="pct"/>
            <w:tcBorders>
              <w:top w:val="single" w:sz="4" w:space="0" w:color="auto"/>
              <w:left w:val="nil"/>
              <w:bottom w:val="single" w:sz="4" w:space="0" w:color="auto"/>
              <w:right w:val="nil"/>
            </w:tcBorders>
            <w:hideMark/>
          </w:tcPr>
          <w:p w14:paraId="03B81BE4" w14:textId="77777777" w:rsidR="005B0560" w:rsidRDefault="005B0560">
            <w:pPr>
              <w:pStyle w:val="TableBodyTextcentrealign"/>
              <w:rPr>
                <w:lang w:eastAsia="en-US"/>
              </w:rPr>
            </w:pPr>
            <w:r>
              <w:rPr>
                <w:lang w:eastAsia="en-US"/>
              </w:rPr>
              <w:t>2</w:t>
            </w:r>
          </w:p>
        </w:tc>
        <w:tc>
          <w:tcPr>
            <w:tcW w:w="464" w:type="pct"/>
            <w:tcBorders>
              <w:top w:val="single" w:sz="4" w:space="0" w:color="auto"/>
              <w:left w:val="nil"/>
              <w:bottom w:val="single" w:sz="4" w:space="0" w:color="auto"/>
              <w:right w:val="nil"/>
            </w:tcBorders>
          </w:tcPr>
          <w:p w14:paraId="49129E8B" w14:textId="5512AE4D" w:rsidR="005B0560" w:rsidRPr="007E78B5" w:rsidRDefault="00A535B2" w:rsidP="007E78B5">
            <w:pPr>
              <w:pStyle w:val="TableBodyTextcentrealign"/>
              <w:rPr>
                <w:rStyle w:val="Characterbold"/>
                <w:b w:val="0"/>
              </w:rPr>
            </w:pPr>
            <w:r w:rsidRPr="007E78B5">
              <w:rPr>
                <w:rFonts w:ascii="Segoe UI Symbol" w:hAnsi="Segoe UI Symbol" w:cs="Segoe UI Symbol"/>
              </w:rPr>
              <w:t>✓</w:t>
            </w:r>
          </w:p>
        </w:tc>
        <w:tc>
          <w:tcPr>
            <w:tcW w:w="584" w:type="pct"/>
            <w:tcBorders>
              <w:top w:val="single" w:sz="4" w:space="0" w:color="auto"/>
              <w:left w:val="nil"/>
              <w:bottom w:val="single" w:sz="4" w:space="0" w:color="auto"/>
              <w:right w:val="nil"/>
            </w:tcBorders>
          </w:tcPr>
          <w:p w14:paraId="6A59147C" w14:textId="3A28A9DA" w:rsidR="005B0560" w:rsidRDefault="00A535B2">
            <w:pPr>
              <w:pStyle w:val="TableBodyTextcentrealign"/>
              <w:rPr>
                <w:lang w:val="en-US"/>
              </w:rPr>
            </w:pPr>
            <w:r>
              <w:rPr>
                <w:lang w:val="en-US"/>
              </w:rPr>
              <w:t>10</w:t>
            </w:r>
            <w:r w:rsidR="000523BA">
              <w:rPr>
                <w:lang w:val="en-US"/>
              </w:rPr>
              <w:t>0</w:t>
            </w:r>
            <w:r w:rsidR="002142E0">
              <w:rPr>
                <w:rStyle w:val="Charactersuperscript"/>
                <w:lang w:eastAsia="en-US"/>
              </w:rPr>
              <w:t xml:space="preserve"> </w:t>
            </w:r>
            <w:r>
              <w:rPr>
                <w:rStyle w:val="Charactersuperscript"/>
                <w:lang w:eastAsia="en-US"/>
              </w:rPr>
              <w:t>(b)</w:t>
            </w:r>
          </w:p>
        </w:tc>
        <w:tc>
          <w:tcPr>
            <w:tcW w:w="748" w:type="pct"/>
            <w:tcBorders>
              <w:top w:val="single" w:sz="4" w:space="0" w:color="auto"/>
              <w:left w:val="nil"/>
              <w:bottom w:val="single" w:sz="4" w:space="0" w:color="auto"/>
              <w:right w:val="nil"/>
            </w:tcBorders>
            <w:hideMark/>
          </w:tcPr>
          <w:p w14:paraId="7673B8A7" w14:textId="68870E90" w:rsidR="005B0560" w:rsidRPr="007E78B5" w:rsidRDefault="00371B80" w:rsidP="007E78B5">
            <w:pPr>
              <w:pStyle w:val="TableBodyTextcentrealign"/>
            </w:pPr>
            <w:bookmarkStart w:id="28" w:name="OLE_LINK3"/>
            <w:bookmarkStart w:id="29" w:name="OLE_LINK5"/>
            <w:r w:rsidRPr="007E78B5">
              <w:t>Yes</w:t>
            </w:r>
            <w:bookmarkEnd w:id="28"/>
            <w:bookmarkEnd w:id="29"/>
          </w:p>
        </w:tc>
        <w:bookmarkEnd w:id="27"/>
      </w:tr>
      <w:tr w:rsidR="00A34381" w14:paraId="6E3F2D03" w14:textId="77777777" w:rsidTr="11834A44">
        <w:trPr>
          <w:trHeight w:val="97"/>
        </w:trPr>
        <w:tc>
          <w:tcPr>
            <w:tcW w:w="2578" w:type="pct"/>
            <w:tcBorders>
              <w:top w:val="single" w:sz="4" w:space="0" w:color="auto"/>
              <w:left w:val="nil"/>
              <w:bottom w:val="single" w:sz="4" w:space="0" w:color="auto"/>
              <w:right w:val="nil"/>
            </w:tcBorders>
            <w:hideMark/>
          </w:tcPr>
          <w:p w14:paraId="534871C2" w14:textId="77777777" w:rsidR="005B0560" w:rsidRDefault="005B0560" w:rsidP="005B0560">
            <w:pPr>
              <w:pStyle w:val="TableListNumber"/>
              <w:rPr>
                <w:lang w:eastAsia="en-US"/>
              </w:rPr>
            </w:pPr>
            <w:r>
              <w:rPr>
                <w:lang w:eastAsia="en-US"/>
              </w:rPr>
              <w:t>Corruption Prevention Strategy</w:t>
            </w:r>
          </w:p>
        </w:tc>
        <w:tc>
          <w:tcPr>
            <w:tcW w:w="626" w:type="pct"/>
            <w:tcBorders>
              <w:top w:val="single" w:sz="4" w:space="0" w:color="auto"/>
              <w:left w:val="nil"/>
              <w:bottom w:val="single" w:sz="4" w:space="0" w:color="auto"/>
              <w:right w:val="nil"/>
            </w:tcBorders>
            <w:hideMark/>
          </w:tcPr>
          <w:p w14:paraId="1D411185" w14:textId="7C43A966" w:rsidR="005B0560" w:rsidRDefault="005B0560">
            <w:pPr>
              <w:pStyle w:val="TableBodyTextcentrealign"/>
              <w:rPr>
                <w:lang w:eastAsia="en-US"/>
              </w:rPr>
            </w:pPr>
            <w:r>
              <w:rPr>
                <w:lang w:eastAsia="en-US"/>
              </w:rPr>
              <w:t>1</w:t>
            </w:r>
            <w:r w:rsidR="00A535B2">
              <w:rPr>
                <w:lang w:eastAsia="en-US"/>
              </w:rPr>
              <w:t>, 2</w:t>
            </w:r>
          </w:p>
        </w:tc>
        <w:tc>
          <w:tcPr>
            <w:tcW w:w="464" w:type="pct"/>
            <w:tcBorders>
              <w:top w:val="single" w:sz="4" w:space="0" w:color="auto"/>
              <w:left w:val="nil"/>
              <w:bottom w:val="single" w:sz="4" w:space="0" w:color="auto"/>
              <w:right w:val="nil"/>
            </w:tcBorders>
          </w:tcPr>
          <w:p w14:paraId="6449E053" w14:textId="7E47462A" w:rsidR="005B0560" w:rsidRDefault="005B0560">
            <w:pPr>
              <w:pStyle w:val="TableBodyTextcentrealign"/>
              <w:rPr>
                <w:lang w:eastAsia="en-US"/>
              </w:rPr>
            </w:pPr>
            <w:r>
              <w:rPr>
                <w:lang w:eastAsia="en-US"/>
              </w:rPr>
              <w:t>○</w:t>
            </w:r>
          </w:p>
        </w:tc>
        <w:tc>
          <w:tcPr>
            <w:tcW w:w="584" w:type="pct"/>
            <w:tcBorders>
              <w:top w:val="single" w:sz="4" w:space="0" w:color="auto"/>
              <w:left w:val="nil"/>
              <w:bottom w:val="single" w:sz="4" w:space="0" w:color="auto"/>
              <w:right w:val="nil"/>
            </w:tcBorders>
          </w:tcPr>
          <w:p w14:paraId="012FB529" w14:textId="68B14A42" w:rsidR="005B0560" w:rsidRDefault="00A367AD">
            <w:pPr>
              <w:pStyle w:val="TableBodyTextcentrealign"/>
              <w:rPr>
                <w:lang w:eastAsia="en-US"/>
              </w:rPr>
            </w:pPr>
            <w:r>
              <w:rPr>
                <w:lang w:eastAsia="en-US"/>
              </w:rPr>
              <w:t>85</w:t>
            </w:r>
          </w:p>
        </w:tc>
        <w:tc>
          <w:tcPr>
            <w:tcW w:w="748" w:type="pct"/>
            <w:tcBorders>
              <w:top w:val="single" w:sz="4" w:space="0" w:color="auto"/>
              <w:left w:val="nil"/>
              <w:bottom w:val="single" w:sz="4" w:space="0" w:color="auto"/>
              <w:right w:val="nil"/>
            </w:tcBorders>
            <w:hideMark/>
          </w:tcPr>
          <w:p w14:paraId="1E4593AE" w14:textId="5EA17642" w:rsidR="005B0560" w:rsidRPr="007E78B5" w:rsidRDefault="00371B80" w:rsidP="007E78B5">
            <w:pPr>
              <w:pStyle w:val="TableBodyTextcentrealign"/>
            </w:pPr>
            <w:r w:rsidRPr="007E78B5">
              <w:t>Yes</w:t>
            </w:r>
          </w:p>
        </w:tc>
      </w:tr>
      <w:tr w:rsidR="00A34381" w14:paraId="61151E3C" w14:textId="77777777" w:rsidTr="11834A44">
        <w:trPr>
          <w:trHeight w:val="97"/>
        </w:trPr>
        <w:tc>
          <w:tcPr>
            <w:tcW w:w="2578" w:type="pct"/>
            <w:tcBorders>
              <w:top w:val="single" w:sz="4" w:space="0" w:color="auto"/>
              <w:left w:val="nil"/>
              <w:bottom w:val="single" w:sz="4" w:space="0" w:color="auto"/>
              <w:right w:val="nil"/>
            </w:tcBorders>
          </w:tcPr>
          <w:p w14:paraId="08AEB747" w14:textId="77777777" w:rsidR="005B0560" w:rsidRDefault="005B0560" w:rsidP="005B0560">
            <w:pPr>
              <w:pStyle w:val="TableListNumber"/>
              <w:rPr>
                <w:lang w:eastAsia="en-US"/>
              </w:rPr>
            </w:pPr>
            <w:r>
              <w:rPr>
                <w:lang w:eastAsia="en-US"/>
              </w:rPr>
              <w:t>Enhanced witness liaison</w:t>
            </w:r>
          </w:p>
        </w:tc>
        <w:tc>
          <w:tcPr>
            <w:tcW w:w="626" w:type="pct"/>
            <w:tcBorders>
              <w:top w:val="single" w:sz="4" w:space="0" w:color="auto"/>
              <w:left w:val="nil"/>
              <w:bottom w:val="single" w:sz="4" w:space="0" w:color="auto"/>
              <w:right w:val="nil"/>
            </w:tcBorders>
          </w:tcPr>
          <w:p w14:paraId="31B9DF4F" w14:textId="7E262CEE" w:rsidR="005B0560" w:rsidRDefault="00A535B2">
            <w:pPr>
              <w:pStyle w:val="TableBodyTextcentrealign"/>
              <w:rPr>
                <w:lang w:eastAsia="en-US"/>
              </w:rPr>
            </w:pPr>
            <w:r>
              <w:rPr>
                <w:lang w:eastAsia="en-US"/>
              </w:rPr>
              <w:t>3</w:t>
            </w:r>
          </w:p>
        </w:tc>
        <w:tc>
          <w:tcPr>
            <w:tcW w:w="464" w:type="pct"/>
            <w:tcBorders>
              <w:top w:val="single" w:sz="4" w:space="0" w:color="auto"/>
              <w:left w:val="nil"/>
              <w:bottom w:val="single" w:sz="4" w:space="0" w:color="auto"/>
              <w:right w:val="nil"/>
            </w:tcBorders>
          </w:tcPr>
          <w:p w14:paraId="42B89C3C" w14:textId="3CEAE6A6" w:rsidR="005B0560" w:rsidRPr="007E78B5" w:rsidRDefault="007B0823" w:rsidP="007E78B5">
            <w:pPr>
              <w:pStyle w:val="TableBodyTextcentrealign"/>
            </w:pPr>
            <w:r w:rsidRPr="007E78B5">
              <w:rPr>
                <w:rFonts w:ascii="Segoe UI Symbol" w:hAnsi="Segoe UI Symbol" w:cs="Segoe UI Symbol"/>
              </w:rPr>
              <w:t>✓</w:t>
            </w:r>
          </w:p>
        </w:tc>
        <w:tc>
          <w:tcPr>
            <w:tcW w:w="584" w:type="pct"/>
            <w:tcBorders>
              <w:top w:val="single" w:sz="4" w:space="0" w:color="auto"/>
              <w:left w:val="nil"/>
              <w:bottom w:val="single" w:sz="4" w:space="0" w:color="auto"/>
              <w:right w:val="nil"/>
            </w:tcBorders>
          </w:tcPr>
          <w:p w14:paraId="3F4E8F06" w14:textId="07B44496" w:rsidR="005B0560" w:rsidRDefault="00A367AD">
            <w:pPr>
              <w:pStyle w:val="TableBodyTextcentrealign"/>
              <w:rPr>
                <w:lang w:eastAsia="en-US"/>
              </w:rPr>
            </w:pPr>
            <w:r>
              <w:rPr>
                <w:lang w:eastAsia="en-US"/>
              </w:rPr>
              <w:t>100</w:t>
            </w:r>
          </w:p>
        </w:tc>
        <w:tc>
          <w:tcPr>
            <w:tcW w:w="748" w:type="pct"/>
            <w:tcBorders>
              <w:top w:val="single" w:sz="4" w:space="0" w:color="auto"/>
              <w:left w:val="nil"/>
              <w:bottom w:val="single" w:sz="4" w:space="0" w:color="auto"/>
              <w:right w:val="nil"/>
            </w:tcBorders>
          </w:tcPr>
          <w:p w14:paraId="43D1C23B" w14:textId="0DF5D080" w:rsidR="005B0560" w:rsidRPr="007E78B5" w:rsidRDefault="00A535B2" w:rsidP="007E78B5">
            <w:pPr>
              <w:pStyle w:val="TableBodyTextcentrealign"/>
            </w:pPr>
            <w:r w:rsidRPr="007E78B5">
              <w:t>–</w:t>
            </w:r>
          </w:p>
        </w:tc>
      </w:tr>
      <w:tr w:rsidR="00A34381" w14:paraId="33C183A4" w14:textId="77777777" w:rsidTr="11834A44">
        <w:trPr>
          <w:trHeight w:val="97"/>
        </w:trPr>
        <w:tc>
          <w:tcPr>
            <w:tcW w:w="2578" w:type="pct"/>
            <w:tcBorders>
              <w:top w:val="single" w:sz="4" w:space="0" w:color="auto"/>
              <w:left w:val="nil"/>
              <w:bottom w:val="single" w:sz="4" w:space="0" w:color="auto"/>
              <w:right w:val="nil"/>
            </w:tcBorders>
            <w:hideMark/>
          </w:tcPr>
          <w:p w14:paraId="0235C49C" w14:textId="77777777" w:rsidR="005B0560" w:rsidRDefault="005B0560" w:rsidP="005B0560">
            <w:pPr>
              <w:pStyle w:val="TableListNumber"/>
              <w:rPr>
                <w:lang w:eastAsia="en-US"/>
              </w:rPr>
            </w:pPr>
            <w:r>
              <w:rPr>
                <w:lang w:eastAsia="en-US"/>
              </w:rPr>
              <w:t>Enhanced complainant experience</w:t>
            </w:r>
          </w:p>
        </w:tc>
        <w:tc>
          <w:tcPr>
            <w:tcW w:w="626" w:type="pct"/>
            <w:tcBorders>
              <w:top w:val="single" w:sz="4" w:space="0" w:color="auto"/>
              <w:left w:val="nil"/>
              <w:bottom w:val="single" w:sz="4" w:space="0" w:color="auto"/>
              <w:right w:val="nil"/>
            </w:tcBorders>
            <w:hideMark/>
          </w:tcPr>
          <w:p w14:paraId="63C43BDC" w14:textId="3718DD78" w:rsidR="005B0560" w:rsidRDefault="00A535B2">
            <w:pPr>
              <w:pStyle w:val="TableBodyTextcentrealign"/>
              <w:rPr>
                <w:lang w:eastAsia="en-US"/>
              </w:rPr>
            </w:pPr>
            <w:r>
              <w:rPr>
                <w:lang w:eastAsia="en-US"/>
              </w:rPr>
              <w:t xml:space="preserve">1, </w:t>
            </w:r>
            <w:r w:rsidR="005B0560">
              <w:rPr>
                <w:lang w:eastAsia="en-US"/>
              </w:rPr>
              <w:t>2</w:t>
            </w:r>
          </w:p>
        </w:tc>
        <w:tc>
          <w:tcPr>
            <w:tcW w:w="464" w:type="pct"/>
            <w:tcBorders>
              <w:top w:val="single" w:sz="4" w:space="0" w:color="auto"/>
              <w:left w:val="nil"/>
              <w:bottom w:val="single" w:sz="4" w:space="0" w:color="auto"/>
              <w:right w:val="nil"/>
            </w:tcBorders>
          </w:tcPr>
          <w:p w14:paraId="7A3940AF" w14:textId="5CCA3FC3" w:rsidR="005B0560" w:rsidRDefault="005B0560">
            <w:pPr>
              <w:pStyle w:val="TableBodyTextcentrealign"/>
              <w:rPr>
                <w:lang w:eastAsia="en-US"/>
              </w:rPr>
            </w:pPr>
            <w:r>
              <w:rPr>
                <w:lang w:eastAsia="en-US"/>
              </w:rPr>
              <w:t>○</w:t>
            </w:r>
          </w:p>
        </w:tc>
        <w:tc>
          <w:tcPr>
            <w:tcW w:w="584" w:type="pct"/>
            <w:tcBorders>
              <w:top w:val="single" w:sz="4" w:space="0" w:color="auto"/>
              <w:left w:val="nil"/>
              <w:bottom w:val="single" w:sz="4" w:space="0" w:color="auto"/>
              <w:right w:val="nil"/>
            </w:tcBorders>
          </w:tcPr>
          <w:p w14:paraId="017381A6" w14:textId="437B8182" w:rsidR="005B0560" w:rsidRDefault="0033098F">
            <w:pPr>
              <w:pStyle w:val="TableBodyTextcentrealign"/>
              <w:rPr>
                <w:lang w:eastAsia="en-US"/>
              </w:rPr>
            </w:pPr>
            <w:r>
              <w:rPr>
                <w:lang w:eastAsia="en-US"/>
              </w:rPr>
              <w:t>8</w:t>
            </w:r>
            <w:r w:rsidR="00A367AD">
              <w:rPr>
                <w:lang w:eastAsia="en-US"/>
              </w:rPr>
              <w:t>7</w:t>
            </w:r>
          </w:p>
        </w:tc>
        <w:tc>
          <w:tcPr>
            <w:tcW w:w="748" w:type="pct"/>
            <w:tcBorders>
              <w:top w:val="single" w:sz="4" w:space="0" w:color="auto"/>
              <w:left w:val="nil"/>
              <w:bottom w:val="single" w:sz="4" w:space="0" w:color="auto"/>
              <w:right w:val="nil"/>
            </w:tcBorders>
            <w:hideMark/>
          </w:tcPr>
          <w:p w14:paraId="47416B63" w14:textId="2C6395FC" w:rsidR="005B0560" w:rsidRPr="007E78B5" w:rsidRDefault="00371B80" w:rsidP="007E78B5">
            <w:pPr>
              <w:pStyle w:val="TableBodyTextcentrealign"/>
            </w:pPr>
            <w:r w:rsidRPr="007E78B5">
              <w:t>Yes</w:t>
            </w:r>
          </w:p>
        </w:tc>
      </w:tr>
      <w:tr w:rsidR="00A34381" w14:paraId="78D1802E" w14:textId="77777777" w:rsidTr="11834A44">
        <w:trPr>
          <w:trHeight w:val="97"/>
        </w:trPr>
        <w:tc>
          <w:tcPr>
            <w:tcW w:w="2578" w:type="pct"/>
            <w:tcBorders>
              <w:top w:val="single" w:sz="4" w:space="0" w:color="auto"/>
              <w:left w:val="nil"/>
              <w:bottom w:val="single" w:sz="4" w:space="0" w:color="auto"/>
              <w:right w:val="nil"/>
            </w:tcBorders>
            <w:hideMark/>
          </w:tcPr>
          <w:p w14:paraId="21E4053E" w14:textId="70915588" w:rsidR="005B0560" w:rsidRDefault="002D5809" w:rsidP="005B0560">
            <w:pPr>
              <w:pStyle w:val="TableListNumber"/>
              <w:rPr>
                <w:lang w:eastAsia="en-US"/>
              </w:rPr>
            </w:pPr>
            <w:r>
              <w:t>I</w:t>
            </w:r>
            <w:r w:rsidR="005B0560">
              <w:rPr>
                <w:lang w:eastAsia="en-US"/>
              </w:rPr>
              <w:t>ntelligence framework</w:t>
            </w:r>
          </w:p>
        </w:tc>
        <w:tc>
          <w:tcPr>
            <w:tcW w:w="626" w:type="pct"/>
            <w:tcBorders>
              <w:top w:val="single" w:sz="4" w:space="0" w:color="auto"/>
              <w:left w:val="nil"/>
              <w:bottom w:val="single" w:sz="4" w:space="0" w:color="auto"/>
              <w:right w:val="nil"/>
            </w:tcBorders>
            <w:hideMark/>
          </w:tcPr>
          <w:p w14:paraId="43A9ED1F" w14:textId="77777777" w:rsidR="005B0560" w:rsidRDefault="005B0560">
            <w:pPr>
              <w:pStyle w:val="TableBodyTextcentrealign"/>
              <w:rPr>
                <w:lang w:eastAsia="en-US"/>
              </w:rPr>
            </w:pPr>
            <w:r>
              <w:rPr>
                <w:lang w:eastAsia="en-US"/>
              </w:rPr>
              <w:t>1, 2</w:t>
            </w:r>
          </w:p>
        </w:tc>
        <w:tc>
          <w:tcPr>
            <w:tcW w:w="464" w:type="pct"/>
            <w:tcBorders>
              <w:top w:val="single" w:sz="4" w:space="0" w:color="auto"/>
              <w:left w:val="nil"/>
              <w:bottom w:val="single" w:sz="4" w:space="0" w:color="auto"/>
              <w:right w:val="nil"/>
            </w:tcBorders>
          </w:tcPr>
          <w:p w14:paraId="68FA90AE" w14:textId="128B2C82" w:rsidR="005B0560" w:rsidRDefault="00B210D0">
            <w:pPr>
              <w:pStyle w:val="TableBodyTextcentrealign"/>
              <w:rPr>
                <w:lang w:eastAsia="en-US"/>
              </w:rPr>
            </w:pPr>
            <w:r>
              <w:rPr>
                <w:lang w:eastAsia="en-US"/>
              </w:rPr>
              <w:t>○</w:t>
            </w:r>
          </w:p>
        </w:tc>
        <w:tc>
          <w:tcPr>
            <w:tcW w:w="584" w:type="pct"/>
            <w:tcBorders>
              <w:top w:val="single" w:sz="4" w:space="0" w:color="auto"/>
              <w:left w:val="nil"/>
              <w:bottom w:val="single" w:sz="4" w:space="0" w:color="auto"/>
              <w:right w:val="nil"/>
            </w:tcBorders>
          </w:tcPr>
          <w:p w14:paraId="6F8D5BEB" w14:textId="27FF10C9" w:rsidR="005B0560" w:rsidRDefault="00F13C48">
            <w:pPr>
              <w:pStyle w:val="TableBodyTextcentrealign"/>
              <w:rPr>
                <w:lang w:eastAsia="en-US"/>
              </w:rPr>
            </w:pPr>
            <w:r>
              <w:rPr>
                <w:lang w:eastAsia="en-US"/>
              </w:rPr>
              <w:t>4</w:t>
            </w:r>
            <w:r w:rsidR="00A367AD">
              <w:rPr>
                <w:lang w:eastAsia="en-US"/>
              </w:rPr>
              <w:t>0</w:t>
            </w:r>
          </w:p>
        </w:tc>
        <w:tc>
          <w:tcPr>
            <w:tcW w:w="748" w:type="pct"/>
            <w:tcBorders>
              <w:top w:val="single" w:sz="4" w:space="0" w:color="auto"/>
              <w:left w:val="nil"/>
              <w:bottom w:val="single" w:sz="4" w:space="0" w:color="auto"/>
              <w:right w:val="nil"/>
            </w:tcBorders>
            <w:hideMark/>
          </w:tcPr>
          <w:p w14:paraId="1D0C381D" w14:textId="36360E4F" w:rsidR="005B0560" w:rsidRPr="007E78B5" w:rsidRDefault="00371B80" w:rsidP="007E78B5">
            <w:pPr>
              <w:pStyle w:val="TableBodyTextcentrealign"/>
            </w:pPr>
            <w:r w:rsidRPr="007E78B5">
              <w:t>Yes</w:t>
            </w:r>
          </w:p>
        </w:tc>
      </w:tr>
      <w:tr w:rsidR="00A34381" w14:paraId="235FF923" w14:textId="77777777" w:rsidTr="11834A44">
        <w:trPr>
          <w:trHeight w:val="97"/>
        </w:trPr>
        <w:tc>
          <w:tcPr>
            <w:tcW w:w="2578" w:type="pct"/>
            <w:tcBorders>
              <w:top w:val="single" w:sz="4" w:space="0" w:color="auto"/>
              <w:left w:val="nil"/>
              <w:bottom w:val="single" w:sz="4" w:space="0" w:color="auto"/>
              <w:right w:val="nil"/>
            </w:tcBorders>
            <w:hideMark/>
          </w:tcPr>
          <w:p w14:paraId="182F6823" w14:textId="00373280" w:rsidR="005B0560" w:rsidRDefault="00F13C48" w:rsidP="005B0560">
            <w:pPr>
              <w:pStyle w:val="TableListNumber"/>
              <w:rPr>
                <w:lang w:eastAsia="en-US"/>
              </w:rPr>
            </w:pPr>
            <w:r>
              <w:t>I</w:t>
            </w:r>
            <w:r w:rsidR="005B0560">
              <w:rPr>
                <w:lang w:eastAsia="en-US"/>
              </w:rPr>
              <w:t>nvestigations framework</w:t>
            </w:r>
          </w:p>
        </w:tc>
        <w:tc>
          <w:tcPr>
            <w:tcW w:w="626" w:type="pct"/>
            <w:tcBorders>
              <w:top w:val="single" w:sz="4" w:space="0" w:color="auto"/>
              <w:left w:val="nil"/>
              <w:bottom w:val="single" w:sz="4" w:space="0" w:color="auto"/>
              <w:right w:val="nil"/>
            </w:tcBorders>
            <w:hideMark/>
          </w:tcPr>
          <w:p w14:paraId="6DBAD144" w14:textId="137E9B25" w:rsidR="005B0560" w:rsidRDefault="005B0560">
            <w:pPr>
              <w:pStyle w:val="TableBodyTextcentrealign"/>
              <w:rPr>
                <w:lang w:eastAsia="en-US"/>
              </w:rPr>
            </w:pPr>
            <w:r>
              <w:rPr>
                <w:lang w:eastAsia="en-US"/>
              </w:rPr>
              <w:t>1</w:t>
            </w:r>
            <w:r w:rsidR="00A535B2">
              <w:rPr>
                <w:lang w:eastAsia="en-US"/>
              </w:rPr>
              <w:t>, 2</w:t>
            </w:r>
          </w:p>
        </w:tc>
        <w:tc>
          <w:tcPr>
            <w:tcW w:w="464" w:type="pct"/>
            <w:tcBorders>
              <w:top w:val="single" w:sz="4" w:space="0" w:color="auto"/>
              <w:left w:val="nil"/>
              <w:bottom w:val="single" w:sz="4" w:space="0" w:color="auto"/>
              <w:right w:val="nil"/>
            </w:tcBorders>
          </w:tcPr>
          <w:p w14:paraId="32FB13A4" w14:textId="0994FCF2" w:rsidR="005B0560" w:rsidRDefault="005B0560">
            <w:pPr>
              <w:pStyle w:val="TableBodyTextcentrealign"/>
              <w:rPr>
                <w:lang w:eastAsia="en-US"/>
              </w:rPr>
            </w:pPr>
            <w:r>
              <w:rPr>
                <w:lang w:eastAsia="en-US"/>
              </w:rPr>
              <w:t>○</w:t>
            </w:r>
          </w:p>
        </w:tc>
        <w:tc>
          <w:tcPr>
            <w:tcW w:w="584" w:type="pct"/>
            <w:tcBorders>
              <w:top w:val="single" w:sz="4" w:space="0" w:color="auto"/>
              <w:left w:val="nil"/>
              <w:bottom w:val="single" w:sz="4" w:space="0" w:color="auto"/>
              <w:right w:val="nil"/>
            </w:tcBorders>
          </w:tcPr>
          <w:p w14:paraId="652D50D2" w14:textId="71C9D671" w:rsidR="005B0560" w:rsidRDefault="00F13C48">
            <w:pPr>
              <w:pStyle w:val="TableBodyTextcentrealign"/>
              <w:rPr>
                <w:lang w:eastAsia="en-US"/>
              </w:rPr>
            </w:pPr>
            <w:r>
              <w:rPr>
                <w:lang w:eastAsia="en-US"/>
              </w:rPr>
              <w:t>45</w:t>
            </w:r>
          </w:p>
        </w:tc>
        <w:tc>
          <w:tcPr>
            <w:tcW w:w="748" w:type="pct"/>
            <w:tcBorders>
              <w:top w:val="single" w:sz="4" w:space="0" w:color="auto"/>
              <w:left w:val="nil"/>
              <w:bottom w:val="single" w:sz="4" w:space="0" w:color="auto"/>
              <w:right w:val="nil"/>
            </w:tcBorders>
            <w:hideMark/>
          </w:tcPr>
          <w:p w14:paraId="168264C1" w14:textId="01BA212F" w:rsidR="005B0560" w:rsidRDefault="005B0560">
            <w:pPr>
              <w:pStyle w:val="TableBodyTextcentrealign"/>
              <w:rPr>
                <w:lang w:eastAsia="en-US"/>
              </w:rPr>
            </w:pPr>
            <w:r>
              <w:rPr>
                <w:lang w:eastAsia="en-US"/>
              </w:rPr>
              <w:t xml:space="preserve"> </w:t>
            </w:r>
            <w:r w:rsidR="00371B80" w:rsidRPr="007E78B5">
              <w:t>Yes</w:t>
            </w:r>
            <w:r w:rsidR="00371B80">
              <w:rPr>
                <w:rStyle w:val="Charactersuperscript"/>
                <w:lang w:eastAsia="en-US"/>
              </w:rPr>
              <w:t xml:space="preserve"> </w:t>
            </w:r>
            <w:r>
              <w:rPr>
                <w:rStyle w:val="Charactersuperscript"/>
                <w:lang w:eastAsia="en-US"/>
              </w:rPr>
              <w:t>(</w:t>
            </w:r>
            <w:r w:rsidR="00A535B2">
              <w:rPr>
                <w:rStyle w:val="Charactersuperscript"/>
                <w:lang w:eastAsia="en-US"/>
              </w:rPr>
              <w:t>c</w:t>
            </w:r>
            <w:r>
              <w:rPr>
                <w:rStyle w:val="Charactersuperscript"/>
                <w:lang w:eastAsia="en-US"/>
              </w:rPr>
              <w:t>)</w:t>
            </w:r>
          </w:p>
        </w:tc>
      </w:tr>
      <w:tr w:rsidR="00A34381" w14:paraId="0B8F0D6D" w14:textId="77777777" w:rsidTr="11834A44">
        <w:trPr>
          <w:trHeight w:val="97"/>
        </w:trPr>
        <w:tc>
          <w:tcPr>
            <w:tcW w:w="2578" w:type="pct"/>
            <w:tcBorders>
              <w:top w:val="single" w:sz="4" w:space="0" w:color="auto"/>
              <w:left w:val="nil"/>
              <w:bottom w:val="single" w:sz="4" w:space="0" w:color="auto"/>
              <w:right w:val="nil"/>
            </w:tcBorders>
            <w:hideMark/>
          </w:tcPr>
          <w:p w14:paraId="33E56FF5" w14:textId="3BB6725F" w:rsidR="005B0560" w:rsidRDefault="005B0560" w:rsidP="005B0560">
            <w:pPr>
              <w:pStyle w:val="TableListNumber"/>
              <w:rPr>
                <w:lang w:eastAsia="en-US"/>
              </w:rPr>
            </w:pPr>
            <w:r>
              <w:rPr>
                <w:lang w:eastAsia="en-US"/>
              </w:rPr>
              <w:t xml:space="preserve">People </w:t>
            </w:r>
            <w:r w:rsidR="0050257F">
              <w:rPr>
                <w:lang w:eastAsia="en-US"/>
              </w:rPr>
              <w:t>S</w:t>
            </w:r>
            <w:r>
              <w:rPr>
                <w:lang w:eastAsia="en-US"/>
              </w:rPr>
              <w:t>trategy</w:t>
            </w:r>
          </w:p>
        </w:tc>
        <w:tc>
          <w:tcPr>
            <w:tcW w:w="626" w:type="pct"/>
            <w:tcBorders>
              <w:top w:val="single" w:sz="4" w:space="0" w:color="auto"/>
              <w:left w:val="nil"/>
              <w:bottom w:val="single" w:sz="4" w:space="0" w:color="auto"/>
              <w:right w:val="nil"/>
            </w:tcBorders>
            <w:hideMark/>
          </w:tcPr>
          <w:p w14:paraId="0404E558" w14:textId="77777777" w:rsidR="005B0560" w:rsidRDefault="005B0560">
            <w:pPr>
              <w:pStyle w:val="TableBodyTextcentrealign"/>
              <w:rPr>
                <w:lang w:eastAsia="en-US"/>
              </w:rPr>
            </w:pPr>
            <w:r>
              <w:rPr>
                <w:lang w:eastAsia="en-US"/>
              </w:rPr>
              <w:t>3</w:t>
            </w:r>
          </w:p>
        </w:tc>
        <w:tc>
          <w:tcPr>
            <w:tcW w:w="464" w:type="pct"/>
            <w:tcBorders>
              <w:top w:val="single" w:sz="4" w:space="0" w:color="auto"/>
              <w:left w:val="nil"/>
              <w:bottom w:val="single" w:sz="4" w:space="0" w:color="auto"/>
              <w:right w:val="nil"/>
            </w:tcBorders>
          </w:tcPr>
          <w:p w14:paraId="4ADF248E" w14:textId="0F537734" w:rsidR="005B0560" w:rsidRDefault="005B0560">
            <w:pPr>
              <w:pStyle w:val="TableBodyTextcentrealign"/>
              <w:rPr>
                <w:lang w:eastAsia="en-US"/>
              </w:rPr>
            </w:pPr>
            <w:r>
              <w:rPr>
                <w:lang w:eastAsia="en-US"/>
              </w:rPr>
              <w:t>○</w:t>
            </w:r>
          </w:p>
        </w:tc>
        <w:tc>
          <w:tcPr>
            <w:tcW w:w="584" w:type="pct"/>
            <w:tcBorders>
              <w:top w:val="single" w:sz="4" w:space="0" w:color="auto"/>
              <w:left w:val="nil"/>
              <w:bottom w:val="single" w:sz="4" w:space="0" w:color="auto"/>
              <w:right w:val="nil"/>
            </w:tcBorders>
          </w:tcPr>
          <w:p w14:paraId="6D8A2F47" w14:textId="4CFECA45" w:rsidR="005B0560" w:rsidRDefault="006321A7">
            <w:pPr>
              <w:pStyle w:val="TableBodyTextcentrealign"/>
              <w:rPr>
                <w:lang w:eastAsia="en-US"/>
              </w:rPr>
            </w:pPr>
            <w:r>
              <w:rPr>
                <w:lang w:eastAsia="en-US"/>
              </w:rPr>
              <w:t>5</w:t>
            </w:r>
            <w:r w:rsidR="00D4020C">
              <w:rPr>
                <w:lang w:eastAsia="en-US"/>
              </w:rPr>
              <w:t>0</w:t>
            </w:r>
          </w:p>
        </w:tc>
        <w:tc>
          <w:tcPr>
            <w:tcW w:w="748" w:type="pct"/>
            <w:tcBorders>
              <w:top w:val="single" w:sz="4" w:space="0" w:color="auto"/>
              <w:left w:val="nil"/>
              <w:bottom w:val="single" w:sz="4" w:space="0" w:color="auto"/>
              <w:right w:val="nil"/>
            </w:tcBorders>
            <w:hideMark/>
          </w:tcPr>
          <w:p w14:paraId="6944B2DF" w14:textId="10321453" w:rsidR="005B0560" w:rsidRPr="007E78B5" w:rsidRDefault="00371B80" w:rsidP="007E78B5">
            <w:pPr>
              <w:pStyle w:val="TableBodyTextcentrealign"/>
            </w:pPr>
            <w:r w:rsidRPr="007E78B5">
              <w:t>Yes</w:t>
            </w:r>
          </w:p>
        </w:tc>
      </w:tr>
      <w:tr w:rsidR="00A34381" w14:paraId="672DBA8D" w14:textId="77777777" w:rsidTr="11834A44">
        <w:trPr>
          <w:trHeight w:val="97"/>
        </w:trPr>
        <w:tc>
          <w:tcPr>
            <w:tcW w:w="2578" w:type="pct"/>
            <w:tcBorders>
              <w:top w:val="single" w:sz="4" w:space="0" w:color="auto"/>
              <w:left w:val="nil"/>
              <w:bottom w:val="single" w:sz="4" w:space="0" w:color="auto"/>
              <w:right w:val="nil"/>
            </w:tcBorders>
            <w:hideMark/>
          </w:tcPr>
          <w:p w14:paraId="0A02BE1B" w14:textId="77777777" w:rsidR="005B0560" w:rsidRDefault="005B0560" w:rsidP="005B0560">
            <w:pPr>
              <w:pStyle w:val="TableListNumber"/>
              <w:rPr>
                <w:lang w:eastAsia="en-US"/>
              </w:rPr>
            </w:pPr>
            <w:r>
              <w:rPr>
                <w:lang w:eastAsia="en-US"/>
              </w:rPr>
              <w:t>Enabling IT and data infrastructure strategies</w:t>
            </w:r>
          </w:p>
        </w:tc>
        <w:tc>
          <w:tcPr>
            <w:tcW w:w="626" w:type="pct"/>
            <w:tcBorders>
              <w:top w:val="single" w:sz="4" w:space="0" w:color="auto"/>
              <w:left w:val="nil"/>
              <w:bottom w:val="single" w:sz="4" w:space="0" w:color="auto"/>
              <w:right w:val="nil"/>
            </w:tcBorders>
            <w:hideMark/>
          </w:tcPr>
          <w:p w14:paraId="2643CB6E" w14:textId="77777777" w:rsidR="005B0560" w:rsidRDefault="005B0560">
            <w:pPr>
              <w:pStyle w:val="TableBodyTextcentrealign"/>
              <w:rPr>
                <w:lang w:eastAsia="en-US"/>
              </w:rPr>
            </w:pPr>
            <w:r>
              <w:rPr>
                <w:lang w:eastAsia="en-US"/>
              </w:rPr>
              <w:t>3</w:t>
            </w:r>
          </w:p>
        </w:tc>
        <w:tc>
          <w:tcPr>
            <w:tcW w:w="464" w:type="pct"/>
            <w:tcBorders>
              <w:top w:val="single" w:sz="4" w:space="0" w:color="auto"/>
              <w:left w:val="nil"/>
              <w:bottom w:val="single" w:sz="4" w:space="0" w:color="auto"/>
              <w:right w:val="nil"/>
            </w:tcBorders>
          </w:tcPr>
          <w:p w14:paraId="11E00897" w14:textId="0A33EBDB" w:rsidR="005B0560" w:rsidRPr="007E78B5" w:rsidRDefault="005B0560" w:rsidP="007E78B5">
            <w:pPr>
              <w:pStyle w:val="TableBodyTextcentrealign"/>
            </w:pPr>
            <w:r w:rsidRPr="007E78B5">
              <w:rPr>
                <w:rFonts w:ascii="Segoe UI Symbol" w:hAnsi="Segoe UI Symbol" w:cs="Segoe UI Symbol"/>
              </w:rPr>
              <w:t>✓</w:t>
            </w:r>
          </w:p>
        </w:tc>
        <w:tc>
          <w:tcPr>
            <w:tcW w:w="584" w:type="pct"/>
            <w:tcBorders>
              <w:top w:val="single" w:sz="4" w:space="0" w:color="auto"/>
              <w:left w:val="nil"/>
              <w:bottom w:val="single" w:sz="4" w:space="0" w:color="auto"/>
              <w:right w:val="nil"/>
            </w:tcBorders>
          </w:tcPr>
          <w:p w14:paraId="5AB64339" w14:textId="08B06283" w:rsidR="005B0560" w:rsidRDefault="006321A7">
            <w:pPr>
              <w:pStyle w:val="TableBodyTextcentrealign"/>
              <w:rPr>
                <w:lang w:eastAsia="en-US"/>
              </w:rPr>
            </w:pPr>
            <w:r>
              <w:rPr>
                <w:lang w:eastAsia="en-US"/>
              </w:rPr>
              <w:t>100</w:t>
            </w:r>
          </w:p>
        </w:tc>
        <w:tc>
          <w:tcPr>
            <w:tcW w:w="748" w:type="pct"/>
            <w:tcBorders>
              <w:top w:val="single" w:sz="4" w:space="0" w:color="auto"/>
              <w:left w:val="nil"/>
              <w:bottom w:val="single" w:sz="4" w:space="0" w:color="auto"/>
              <w:right w:val="nil"/>
            </w:tcBorders>
            <w:hideMark/>
          </w:tcPr>
          <w:p w14:paraId="1D3DCEA8" w14:textId="506928CC" w:rsidR="005B0560" w:rsidRPr="007E78B5" w:rsidRDefault="00371B80" w:rsidP="007E78B5">
            <w:pPr>
              <w:pStyle w:val="TableBodyTextcentrealign"/>
            </w:pPr>
            <w:r w:rsidRPr="007E78B5">
              <w:t>Yes</w:t>
            </w:r>
          </w:p>
        </w:tc>
      </w:tr>
    </w:tbl>
    <w:p w14:paraId="6E4B1C07" w14:textId="4709C441" w:rsidR="00FE3C47" w:rsidRPr="00873846" w:rsidRDefault="00A20AAD" w:rsidP="00873846">
      <w:pPr>
        <w:pStyle w:val="TableNote"/>
      </w:pPr>
      <w:r>
        <w:t>Key</w:t>
      </w:r>
    </w:p>
    <w:p w14:paraId="527F2E7B" w14:textId="77777777" w:rsidR="00FE3C47" w:rsidRPr="00873846" w:rsidRDefault="00FE3C47" w:rsidP="00873846">
      <w:pPr>
        <w:pStyle w:val="TableNote"/>
      </w:pPr>
      <w:r w:rsidRPr="00873846">
        <w:rPr>
          <w:rFonts w:ascii="Segoe UI Symbol" w:hAnsi="Segoe UI Symbol" w:cs="Segoe UI Symbol"/>
        </w:rPr>
        <w:t>✓</w:t>
      </w:r>
      <w:r w:rsidRPr="00873846">
        <w:t xml:space="preserve"> Delivered in full – all planned actions have been delivered to expectation.</w:t>
      </w:r>
    </w:p>
    <w:p w14:paraId="7426FAEC" w14:textId="77777777" w:rsidR="00FE3C47" w:rsidRPr="00873846" w:rsidRDefault="00FE3C47" w:rsidP="00873846">
      <w:pPr>
        <w:pStyle w:val="TableNote"/>
      </w:pPr>
      <w:r w:rsidRPr="00873846">
        <w:t>○ Delivered in part – some planned actions have been delivered to expectation.</w:t>
      </w:r>
    </w:p>
    <w:p w14:paraId="16753290" w14:textId="77777777" w:rsidR="00FE3C47" w:rsidRPr="00873846" w:rsidRDefault="00FE3C47" w:rsidP="00873846">
      <w:pPr>
        <w:pStyle w:val="TableNote"/>
      </w:pPr>
      <w:r w:rsidRPr="00873846">
        <w:rPr>
          <w:rFonts w:ascii="Cambria Math" w:hAnsi="Cambria Math" w:cs="Cambria Math"/>
        </w:rPr>
        <w:t>◼</w:t>
      </w:r>
      <w:r w:rsidRPr="00873846">
        <w:t xml:space="preserve"> Not delivered – planned actions have not been delivered.</w:t>
      </w:r>
    </w:p>
    <w:p w14:paraId="2921777C" w14:textId="1C157509" w:rsidR="00FE3C47" w:rsidRPr="00873846" w:rsidRDefault="00465B9C" w:rsidP="00873846">
      <w:pPr>
        <w:pStyle w:val="TableNote"/>
      </w:pPr>
      <w:r>
        <w:t>Notes</w:t>
      </w:r>
    </w:p>
    <w:p w14:paraId="03F19A3B" w14:textId="20E180FF" w:rsidR="00FE3C47" w:rsidRPr="00873846" w:rsidRDefault="00FE3C47" w:rsidP="00873846">
      <w:pPr>
        <w:pStyle w:val="TableNote"/>
      </w:pPr>
      <w:r w:rsidRPr="00BF05E2">
        <w:rPr>
          <w:rStyle w:val="Charactersuperscript"/>
        </w:rPr>
        <w:t>(a)</w:t>
      </w:r>
      <w:r w:rsidRPr="007E78B5">
        <w:t xml:space="preserve"> </w:t>
      </w:r>
      <w:r w:rsidRPr="00873846">
        <w:t xml:space="preserve">Percentage </w:t>
      </w:r>
      <w:r w:rsidR="003232DB">
        <w:t xml:space="preserve">of actions planned for the reporting period </w:t>
      </w:r>
      <w:r w:rsidRPr="00873846">
        <w:t>that were completed. In some cases, 100% also corresponds to completion of the entire project.</w:t>
      </w:r>
    </w:p>
    <w:p w14:paraId="6D424CB8" w14:textId="011D803D" w:rsidR="00A535B2" w:rsidRDefault="00FE3C47" w:rsidP="00321E68">
      <w:pPr>
        <w:pStyle w:val="TableNote"/>
      </w:pPr>
      <w:r w:rsidRPr="00BF05E2">
        <w:rPr>
          <w:rStyle w:val="Charactersuperscript"/>
        </w:rPr>
        <w:t>(</w:t>
      </w:r>
      <w:r w:rsidR="00AB2FF6" w:rsidRPr="00BF05E2">
        <w:rPr>
          <w:rStyle w:val="Charactersuperscript"/>
        </w:rPr>
        <w:t>b</w:t>
      </w:r>
      <w:r w:rsidRPr="00BF05E2">
        <w:rPr>
          <w:rStyle w:val="Charactersuperscript"/>
        </w:rPr>
        <w:t>)</w:t>
      </w:r>
      <w:r w:rsidRPr="00873846">
        <w:t xml:space="preserve"> </w:t>
      </w:r>
      <w:r w:rsidR="00A535B2" w:rsidRPr="00A535B2">
        <w:t xml:space="preserve">All planned actions within our control were completed. No regulations were drafted in </w:t>
      </w:r>
      <w:r w:rsidR="000A1691">
        <w:t>2022/23</w:t>
      </w:r>
      <w:r w:rsidR="00A535B2" w:rsidRPr="00A535B2">
        <w:t>.</w:t>
      </w:r>
    </w:p>
    <w:p w14:paraId="6A5F75DB" w14:textId="38A7CA0B" w:rsidR="00321E68" w:rsidRPr="00321E68" w:rsidRDefault="00A535B2" w:rsidP="00321E68">
      <w:pPr>
        <w:pStyle w:val="TableNote"/>
      </w:pPr>
      <w:r w:rsidRPr="00BF05E2">
        <w:rPr>
          <w:rStyle w:val="Charactersuperscript"/>
        </w:rPr>
        <w:t>(</w:t>
      </w:r>
      <w:r>
        <w:rPr>
          <w:rStyle w:val="Charactersuperscript"/>
        </w:rPr>
        <w:t>c</w:t>
      </w:r>
      <w:r w:rsidRPr="00BF05E2">
        <w:rPr>
          <w:rStyle w:val="Charactersuperscript"/>
        </w:rPr>
        <w:t>)</w:t>
      </w:r>
      <w:r w:rsidRPr="00873846">
        <w:t xml:space="preserve"> </w:t>
      </w:r>
      <w:r w:rsidR="005E02DE">
        <w:t>Implementation of the</w:t>
      </w:r>
      <w:r w:rsidR="00FE3C47" w:rsidRPr="00873846">
        <w:t xml:space="preserve"> investigations framework </w:t>
      </w:r>
      <w:r w:rsidR="00124969">
        <w:t xml:space="preserve">was </w:t>
      </w:r>
      <w:r w:rsidR="00FE3C47" w:rsidRPr="00873846">
        <w:t xml:space="preserve">originally planned as single-year initiative for </w:t>
      </w:r>
      <w:r w:rsidR="000A1691">
        <w:t>2022/23</w:t>
      </w:r>
      <w:r w:rsidR="00FE3C47" w:rsidRPr="00873846">
        <w:t xml:space="preserve">; </w:t>
      </w:r>
      <w:r w:rsidR="00124969">
        <w:t>it</w:t>
      </w:r>
      <w:r w:rsidR="00124969" w:rsidRPr="00873846">
        <w:t xml:space="preserve"> </w:t>
      </w:r>
      <w:r w:rsidR="00FE3C47" w:rsidRPr="00873846">
        <w:t xml:space="preserve">will now continue into </w:t>
      </w:r>
      <w:r w:rsidR="000A1691">
        <w:t>2023/24</w:t>
      </w:r>
      <w:r w:rsidR="00FE3C47" w:rsidRPr="00873846">
        <w:t>.</w:t>
      </w:r>
    </w:p>
    <w:p w14:paraId="4AD2BC44" w14:textId="05FA8704" w:rsidR="00FE3C47" w:rsidRDefault="008F6A06">
      <w:pPr>
        <w:pStyle w:val="Heading3"/>
      </w:pPr>
      <w:bookmarkStart w:id="30" w:name="_Toc149131678"/>
      <w:bookmarkStart w:id="31" w:name="_Ref149134544"/>
      <w:bookmarkStart w:id="32" w:name="_Ref149135573"/>
      <w:r>
        <w:t xml:space="preserve">Annual </w:t>
      </w:r>
      <w:r w:rsidR="005E4BF3">
        <w:t>p</w:t>
      </w:r>
      <w:r>
        <w:t xml:space="preserve">lan </w:t>
      </w:r>
      <w:r w:rsidR="008C25C9">
        <w:t xml:space="preserve">performance </w:t>
      </w:r>
      <w:r w:rsidR="003D1327">
        <w:t>scorecard</w:t>
      </w:r>
      <w:bookmarkEnd w:id="30"/>
      <w:bookmarkEnd w:id="31"/>
      <w:bookmarkEnd w:id="32"/>
    </w:p>
    <w:p w14:paraId="161D864E" w14:textId="2A3AD7E3" w:rsidR="00726A05" w:rsidRPr="00591B9F" w:rsidRDefault="00591B9F" w:rsidP="00591B9F">
      <w:pPr>
        <w:pStyle w:val="BodyText"/>
      </w:pPr>
      <w:r>
        <w:fldChar w:fldCharType="begin"/>
      </w:r>
      <w:r>
        <w:instrText xml:space="preserve"> REF _Ref140754271 \h </w:instrText>
      </w:r>
      <w:r>
        <w:fldChar w:fldCharType="separate"/>
      </w:r>
      <w:r w:rsidR="00AB2FF6">
        <w:t xml:space="preserve">Table </w:t>
      </w:r>
      <w:r w:rsidR="00AB2FF6">
        <w:rPr>
          <w:noProof/>
        </w:rPr>
        <w:t>4</w:t>
      </w:r>
      <w:r>
        <w:fldChar w:fldCharType="end"/>
      </w:r>
      <w:r>
        <w:t xml:space="preserve"> </w:t>
      </w:r>
      <w:r w:rsidR="00726A05">
        <w:t xml:space="preserve">shows the </w:t>
      </w:r>
      <w:r w:rsidR="000A1691">
        <w:t>2022/23</w:t>
      </w:r>
      <w:r w:rsidR="00726A05">
        <w:t xml:space="preserve"> results against </w:t>
      </w:r>
      <w:r w:rsidR="00B15648">
        <w:t xml:space="preserve">our </w:t>
      </w:r>
      <w:r w:rsidR="00B15648" w:rsidRPr="00DB4A8D">
        <w:rPr>
          <w:rStyle w:val="Characteritalic"/>
        </w:rPr>
        <w:t>Budget Paper No. 3</w:t>
      </w:r>
      <w:r w:rsidR="00B15648" w:rsidRPr="00B15648">
        <w:t xml:space="preserve"> (BP3) output performance </w:t>
      </w:r>
      <w:r w:rsidR="00AB2FF6">
        <w:t xml:space="preserve">measures </w:t>
      </w:r>
      <w:r w:rsidR="00726A05">
        <w:t>and key performance indicators (KPI).</w:t>
      </w:r>
    </w:p>
    <w:p w14:paraId="2FBEAB12" w14:textId="4ED2EC57" w:rsidR="00F65ABF" w:rsidRDefault="00F65ABF" w:rsidP="00834775">
      <w:pPr>
        <w:pStyle w:val="Caption"/>
      </w:pPr>
      <w:bookmarkStart w:id="33" w:name="_Ref140754271"/>
      <w:bookmarkStart w:id="34" w:name="_Ref149135827"/>
      <w:r>
        <w:t xml:space="preserve">Table </w:t>
      </w:r>
      <w:r>
        <w:fldChar w:fldCharType="begin"/>
      </w:r>
      <w:r>
        <w:instrText xml:space="preserve"> SEQ Table \* ARABIC </w:instrText>
      </w:r>
      <w:r>
        <w:fldChar w:fldCharType="separate"/>
      </w:r>
      <w:r w:rsidR="00EF6E7F">
        <w:rPr>
          <w:noProof/>
        </w:rPr>
        <w:t>4</w:t>
      </w:r>
      <w:r>
        <w:rPr>
          <w:noProof/>
        </w:rPr>
        <w:fldChar w:fldCharType="end"/>
      </w:r>
      <w:bookmarkEnd w:id="33"/>
      <w:r>
        <w:t xml:space="preserve">: </w:t>
      </w:r>
      <w:r w:rsidRPr="001904AA">
        <w:t xml:space="preserve">IBAC </w:t>
      </w:r>
      <w:r w:rsidR="000A1691">
        <w:t>2022/23</w:t>
      </w:r>
      <w:r w:rsidRPr="001904AA">
        <w:t xml:space="preserve"> </w:t>
      </w:r>
      <w:r w:rsidR="00355AF7">
        <w:t>BP3 and KPI results</w:t>
      </w:r>
      <w:bookmarkEnd w:id="34"/>
    </w:p>
    <w:tbl>
      <w:tblPr>
        <w:tblStyle w:val="CustomTablestandard"/>
        <w:tblW w:w="5116" w:type="pct"/>
        <w:tblLook w:val="04A0" w:firstRow="1" w:lastRow="0" w:firstColumn="1" w:lastColumn="0" w:noHBand="0" w:noVBand="1"/>
      </w:tblPr>
      <w:tblGrid>
        <w:gridCol w:w="708"/>
        <w:gridCol w:w="5813"/>
        <w:gridCol w:w="1023"/>
        <w:gridCol w:w="1007"/>
        <w:gridCol w:w="685"/>
      </w:tblGrid>
      <w:tr w:rsidR="000A6EDB" w14:paraId="2706600C" w14:textId="77777777" w:rsidTr="00127365">
        <w:trPr>
          <w:cnfStyle w:val="100000000000" w:firstRow="1" w:lastRow="0" w:firstColumn="0" w:lastColumn="0" w:oddVBand="0" w:evenVBand="0" w:oddHBand="0" w:evenHBand="0" w:firstRowFirstColumn="0" w:firstRowLastColumn="0" w:lastRowFirstColumn="0" w:lastRowLastColumn="0"/>
          <w:trHeight w:val="511"/>
        </w:trPr>
        <w:tc>
          <w:tcPr>
            <w:tcW w:w="383" w:type="pct"/>
          </w:tcPr>
          <w:p w14:paraId="65D6AE15" w14:textId="07E6046B" w:rsidR="00783BBF" w:rsidRPr="00E6375A" w:rsidRDefault="00783BBF">
            <w:pPr>
              <w:pStyle w:val="TableHeading1"/>
            </w:pPr>
            <w:r w:rsidRPr="00E6375A">
              <w:t>Ref</w:t>
            </w:r>
          </w:p>
        </w:tc>
        <w:tc>
          <w:tcPr>
            <w:tcW w:w="3147" w:type="pct"/>
          </w:tcPr>
          <w:p w14:paraId="77E15948" w14:textId="77777777" w:rsidR="00783BBF" w:rsidRPr="00254C0B" w:rsidRDefault="00783BBF" w:rsidP="00254C0B">
            <w:pPr>
              <w:pStyle w:val="TableHeading1"/>
            </w:pPr>
            <w:r w:rsidRPr="00254C0B">
              <w:t>Performance measure</w:t>
            </w:r>
          </w:p>
        </w:tc>
        <w:tc>
          <w:tcPr>
            <w:tcW w:w="554" w:type="pct"/>
          </w:tcPr>
          <w:p w14:paraId="1B2B1073" w14:textId="0AF64566" w:rsidR="00783BBF" w:rsidRPr="00E6375A" w:rsidRDefault="000A1691">
            <w:pPr>
              <w:pStyle w:val="TableHeading2centrealign"/>
            </w:pPr>
            <w:r>
              <w:t>2022/23</w:t>
            </w:r>
            <w:r w:rsidR="00783BBF" w:rsidRPr="00E6375A">
              <w:t xml:space="preserve"> target</w:t>
            </w:r>
          </w:p>
        </w:tc>
        <w:tc>
          <w:tcPr>
            <w:tcW w:w="545" w:type="pct"/>
          </w:tcPr>
          <w:p w14:paraId="5E22D7D4" w14:textId="2599D2B7" w:rsidR="00783BBF" w:rsidRPr="00E6375A" w:rsidRDefault="000A1691">
            <w:pPr>
              <w:pStyle w:val="TableHeading2centrealign"/>
            </w:pPr>
            <w:r>
              <w:t>2022/23</w:t>
            </w:r>
            <w:r w:rsidR="00783BBF" w:rsidRPr="00E6375A">
              <w:t xml:space="preserve"> actual</w:t>
            </w:r>
          </w:p>
        </w:tc>
        <w:tc>
          <w:tcPr>
            <w:tcW w:w="371" w:type="pct"/>
          </w:tcPr>
          <w:p w14:paraId="79BEC7DD" w14:textId="77777777" w:rsidR="00783BBF" w:rsidRPr="00E6375A" w:rsidRDefault="00783BBF">
            <w:pPr>
              <w:pStyle w:val="TableHeading2centrealign"/>
            </w:pPr>
            <w:r w:rsidRPr="00E6375A">
              <w:t>Result</w:t>
            </w:r>
          </w:p>
        </w:tc>
      </w:tr>
      <w:tr w:rsidR="00736FE9" w:rsidRPr="0085472F" w14:paraId="4F4994F9" w14:textId="77777777" w:rsidTr="00127365">
        <w:trPr>
          <w:trHeight w:val="331"/>
        </w:trPr>
        <w:tc>
          <w:tcPr>
            <w:tcW w:w="383" w:type="pct"/>
          </w:tcPr>
          <w:p w14:paraId="3A9F8274" w14:textId="77777777" w:rsidR="00783BBF" w:rsidRPr="00BB001F" w:rsidRDefault="00783BBF" w:rsidP="007211D6">
            <w:pPr>
              <w:pStyle w:val="TableBodyText"/>
            </w:pPr>
            <w:r w:rsidRPr="00BB001F">
              <w:t>BP3</w:t>
            </w:r>
          </w:p>
        </w:tc>
        <w:tc>
          <w:tcPr>
            <w:tcW w:w="3147" w:type="pct"/>
          </w:tcPr>
          <w:p w14:paraId="145C6AAB" w14:textId="77777777" w:rsidR="00783BBF" w:rsidRPr="003A714F" w:rsidRDefault="00783BBF" w:rsidP="00783BBF">
            <w:pPr>
              <w:pStyle w:val="TableListNumber"/>
              <w:numPr>
                <w:ilvl w:val="0"/>
                <w:numId w:val="25"/>
              </w:numPr>
            </w:pPr>
            <w:r w:rsidRPr="00C51DE0">
              <w:t>Corruption prevention initiatives delivered by IBAC</w:t>
            </w:r>
          </w:p>
        </w:tc>
        <w:tc>
          <w:tcPr>
            <w:tcW w:w="554" w:type="pct"/>
          </w:tcPr>
          <w:p w14:paraId="3874E362" w14:textId="77777777" w:rsidR="00783BBF" w:rsidRPr="0085472F" w:rsidRDefault="00783BBF">
            <w:pPr>
              <w:pStyle w:val="TableBodyTextcentrealign"/>
            </w:pPr>
            <w:r w:rsidRPr="0085472F">
              <w:t>115</w:t>
            </w:r>
          </w:p>
        </w:tc>
        <w:tc>
          <w:tcPr>
            <w:tcW w:w="545" w:type="pct"/>
          </w:tcPr>
          <w:p w14:paraId="77440874" w14:textId="0D67A15C" w:rsidR="00783BBF" w:rsidRPr="00175A31" w:rsidRDefault="006A2671" w:rsidP="003E18FD">
            <w:pPr>
              <w:pStyle w:val="TableBodyTextcentrealign"/>
            </w:pPr>
            <w:r w:rsidRPr="00B439FA">
              <w:t>157</w:t>
            </w:r>
          </w:p>
        </w:tc>
        <w:tc>
          <w:tcPr>
            <w:tcW w:w="371" w:type="pct"/>
          </w:tcPr>
          <w:p w14:paraId="080552E3" w14:textId="61BFB727" w:rsidR="00783BBF" w:rsidRPr="007E78B5" w:rsidRDefault="00783BBF" w:rsidP="007E78B5">
            <w:pPr>
              <w:pStyle w:val="TableBodyTextcentrealign"/>
            </w:pPr>
            <w:r w:rsidRPr="007E78B5">
              <w:rPr>
                <w:rFonts w:ascii="Segoe UI Symbol" w:hAnsi="Segoe UI Symbol" w:cs="Segoe UI Symbol"/>
              </w:rPr>
              <w:t>✓</w:t>
            </w:r>
          </w:p>
        </w:tc>
      </w:tr>
      <w:tr w:rsidR="00736FE9" w:rsidRPr="0085472F" w14:paraId="2CEFE3AB" w14:textId="77777777" w:rsidTr="00127365">
        <w:trPr>
          <w:trHeight w:val="511"/>
        </w:trPr>
        <w:tc>
          <w:tcPr>
            <w:tcW w:w="383" w:type="pct"/>
          </w:tcPr>
          <w:p w14:paraId="54E4EB5F" w14:textId="77777777" w:rsidR="00783BBF" w:rsidRPr="00BB001F" w:rsidRDefault="00783BBF" w:rsidP="007211D6">
            <w:pPr>
              <w:pStyle w:val="TableBodyText"/>
            </w:pPr>
            <w:r w:rsidRPr="00BB001F">
              <w:t>BP3</w:t>
            </w:r>
          </w:p>
        </w:tc>
        <w:tc>
          <w:tcPr>
            <w:tcW w:w="3147" w:type="pct"/>
          </w:tcPr>
          <w:p w14:paraId="6D269053" w14:textId="77777777" w:rsidR="00783BBF" w:rsidRPr="00C51DE0" w:rsidRDefault="00783BBF">
            <w:pPr>
              <w:pStyle w:val="TableListNumber"/>
            </w:pPr>
            <w:r w:rsidRPr="00C51DE0">
              <w:t>Satisfaction rating with corruption prevention initiatives delivered by IBAC</w:t>
            </w:r>
          </w:p>
        </w:tc>
        <w:tc>
          <w:tcPr>
            <w:tcW w:w="554" w:type="pct"/>
          </w:tcPr>
          <w:p w14:paraId="7B7BA0CE" w14:textId="77777777" w:rsidR="00783BBF" w:rsidRPr="0085472F" w:rsidRDefault="00783BBF">
            <w:pPr>
              <w:pStyle w:val="TableBodyTextcentrealign"/>
            </w:pPr>
            <w:r w:rsidRPr="0085472F">
              <w:t>95</w:t>
            </w:r>
            <w:r>
              <w:t>%</w:t>
            </w:r>
          </w:p>
        </w:tc>
        <w:tc>
          <w:tcPr>
            <w:tcW w:w="545" w:type="pct"/>
          </w:tcPr>
          <w:p w14:paraId="50D50B53" w14:textId="533C1039" w:rsidR="00783BBF" w:rsidRPr="00175A31" w:rsidRDefault="007F4256">
            <w:pPr>
              <w:pStyle w:val="TableBodyTextcentrealign"/>
            </w:pPr>
            <w:r w:rsidRPr="00B439FA">
              <w:t>93</w:t>
            </w:r>
            <w:r w:rsidR="00783BBF" w:rsidRPr="00175A31">
              <w:t>%</w:t>
            </w:r>
          </w:p>
        </w:tc>
        <w:tc>
          <w:tcPr>
            <w:tcW w:w="371" w:type="pct"/>
          </w:tcPr>
          <w:p w14:paraId="18205F2C" w14:textId="42633442" w:rsidR="00783BBF" w:rsidRPr="0085472F" w:rsidRDefault="00783BBF">
            <w:pPr>
              <w:pStyle w:val="TableBodyTextcentrealign"/>
            </w:pPr>
            <w:r w:rsidRPr="00C1230C">
              <w:rPr>
                <w:lang w:eastAsia="en-US"/>
              </w:rPr>
              <w:t>○</w:t>
            </w:r>
          </w:p>
        </w:tc>
      </w:tr>
      <w:tr w:rsidR="00736FE9" w:rsidRPr="0085472F" w14:paraId="423C7D7B" w14:textId="77777777" w:rsidTr="00127365">
        <w:trPr>
          <w:trHeight w:val="705"/>
        </w:trPr>
        <w:tc>
          <w:tcPr>
            <w:tcW w:w="383" w:type="pct"/>
          </w:tcPr>
          <w:p w14:paraId="09FDD1F2" w14:textId="77777777" w:rsidR="00783BBF" w:rsidRPr="00BB001F" w:rsidRDefault="00783BBF" w:rsidP="007211D6">
            <w:pPr>
              <w:pStyle w:val="TableBodyText"/>
            </w:pPr>
            <w:r w:rsidRPr="00BB001F">
              <w:t>BP3</w:t>
            </w:r>
          </w:p>
        </w:tc>
        <w:tc>
          <w:tcPr>
            <w:tcW w:w="3147" w:type="pct"/>
          </w:tcPr>
          <w:p w14:paraId="696BD494" w14:textId="77777777" w:rsidR="00783BBF" w:rsidRPr="00C51DE0" w:rsidRDefault="00783BBF">
            <w:pPr>
              <w:pStyle w:val="TableListNumber"/>
            </w:pPr>
            <w:r w:rsidRPr="00C51DE0">
              <w:t>Proportion of standard IBAC investigations into public sector corrupt conduct (excluding police personnel conduct and police personnel corrupt conduct) completed within nine months</w:t>
            </w:r>
          </w:p>
        </w:tc>
        <w:tc>
          <w:tcPr>
            <w:tcW w:w="554" w:type="pct"/>
          </w:tcPr>
          <w:p w14:paraId="68C71D49" w14:textId="77777777" w:rsidR="00783BBF" w:rsidRPr="0085472F" w:rsidRDefault="00783BBF">
            <w:pPr>
              <w:pStyle w:val="TableBodyTextcentrealign"/>
            </w:pPr>
            <w:r w:rsidRPr="0085472F">
              <w:t>60</w:t>
            </w:r>
            <w:r>
              <w:t>%</w:t>
            </w:r>
          </w:p>
        </w:tc>
        <w:tc>
          <w:tcPr>
            <w:tcW w:w="545" w:type="pct"/>
          </w:tcPr>
          <w:p w14:paraId="39BB6C76" w14:textId="718DEF97" w:rsidR="00783BBF" w:rsidRPr="00175A31" w:rsidRDefault="00593DC4" w:rsidP="00127365">
            <w:pPr>
              <w:pStyle w:val="TableBodyTextcentrealign"/>
            </w:pPr>
            <w:r w:rsidRPr="00B439FA">
              <w:t>67</w:t>
            </w:r>
            <w:r w:rsidR="00783BBF" w:rsidRPr="00175A31">
              <w:t>%</w:t>
            </w:r>
          </w:p>
        </w:tc>
        <w:tc>
          <w:tcPr>
            <w:tcW w:w="371" w:type="pct"/>
          </w:tcPr>
          <w:p w14:paraId="663CB6C4" w14:textId="623784E6" w:rsidR="00783BBF" w:rsidRPr="007E78B5" w:rsidRDefault="00783BBF" w:rsidP="007E78B5">
            <w:pPr>
              <w:pStyle w:val="TableBodyTextcentrealign"/>
            </w:pPr>
            <w:r w:rsidRPr="007E78B5">
              <w:rPr>
                <w:rFonts w:ascii="Segoe UI Symbol" w:hAnsi="Segoe UI Symbol" w:cs="Segoe UI Symbol"/>
              </w:rPr>
              <w:t>✓</w:t>
            </w:r>
          </w:p>
        </w:tc>
      </w:tr>
      <w:tr w:rsidR="00736FE9" w:rsidRPr="0085472F" w14:paraId="4BBC878E" w14:textId="77777777" w:rsidTr="00127365">
        <w:trPr>
          <w:trHeight w:val="718"/>
        </w:trPr>
        <w:tc>
          <w:tcPr>
            <w:tcW w:w="383" w:type="pct"/>
          </w:tcPr>
          <w:p w14:paraId="25A6B053" w14:textId="77777777" w:rsidR="00783BBF" w:rsidRPr="00BB001F" w:rsidRDefault="00783BBF" w:rsidP="007211D6">
            <w:pPr>
              <w:pStyle w:val="TableBodyText"/>
            </w:pPr>
            <w:r w:rsidRPr="00BB001F">
              <w:t>BP3</w:t>
            </w:r>
          </w:p>
        </w:tc>
        <w:tc>
          <w:tcPr>
            <w:tcW w:w="3147" w:type="pct"/>
          </w:tcPr>
          <w:p w14:paraId="06C7356D" w14:textId="77777777" w:rsidR="00783BBF" w:rsidRPr="00C51DE0" w:rsidRDefault="00783BBF">
            <w:pPr>
              <w:pStyle w:val="TableListNumber"/>
            </w:pPr>
            <w:r w:rsidRPr="00C51DE0">
              <w:t>Proportion of complex IBAC investigations into public sector corrupt conduct (excluding police personnel conduct and police personnel corrupt conduct) completed within 18 months</w:t>
            </w:r>
          </w:p>
        </w:tc>
        <w:tc>
          <w:tcPr>
            <w:tcW w:w="554" w:type="pct"/>
          </w:tcPr>
          <w:p w14:paraId="23593ED6" w14:textId="77777777" w:rsidR="00783BBF" w:rsidRPr="0085472F" w:rsidRDefault="00783BBF">
            <w:pPr>
              <w:pStyle w:val="TableBodyTextcentrealign"/>
            </w:pPr>
            <w:r w:rsidRPr="0085472F">
              <w:t>60</w:t>
            </w:r>
            <w:r>
              <w:t>%</w:t>
            </w:r>
          </w:p>
        </w:tc>
        <w:tc>
          <w:tcPr>
            <w:tcW w:w="545" w:type="pct"/>
          </w:tcPr>
          <w:p w14:paraId="31CC5FF9" w14:textId="577633F3" w:rsidR="00783BBF" w:rsidRPr="00175A31" w:rsidRDefault="00593DC4" w:rsidP="00127365">
            <w:pPr>
              <w:pStyle w:val="TableBodyTextcentrealign"/>
            </w:pPr>
            <w:r w:rsidRPr="00B439FA">
              <w:t>83</w:t>
            </w:r>
            <w:r w:rsidR="00783BBF" w:rsidRPr="00175A31">
              <w:t>%</w:t>
            </w:r>
          </w:p>
        </w:tc>
        <w:tc>
          <w:tcPr>
            <w:tcW w:w="371" w:type="pct"/>
          </w:tcPr>
          <w:p w14:paraId="088AB132" w14:textId="1CBAC5F9" w:rsidR="00783BBF" w:rsidRPr="007E78B5" w:rsidRDefault="00783BBF" w:rsidP="007E78B5">
            <w:pPr>
              <w:pStyle w:val="TableBodyTextcentrealign"/>
            </w:pPr>
            <w:r w:rsidRPr="007E78B5">
              <w:rPr>
                <w:rFonts w:ascii="Segoe UI Symbol" w:hAnsi="Segoe UI Symbol" w:cs="Segoe UI Symbol"/>
              </w:rPr>
              <w:t>✓</w:t>
            </w:r>
          </w:p>
        </w:tc>
      </w:tr>
      <w:tr w:rsidR="00736FE9" w:rsidRPr="0085472F" w14:paraId="69F9F8A4" w14:textId="77777777" w:rsidTr="00127365">
        <w:trPr>
          <w:trHeight w:val="511"/>
        </w:trPr>
        <w:tc>
          <w:tcPr>
            <w:tcW w:w="383" w:type="pct"/>
          </w:tcPr>
          <w:p w14:paraId="1AA93BDD" w14:textId="77777777" w:rsidR="00783BBF" w:rsidRPr="00BB001F" w:rsidRDefault="00783BBF" w:rsidP="007211D6">
            <w:pPr>
              <w:pStyle w:val="TableBodyText"/>
            </w:pPr>
            <w:r w:rsidRPr="00BB001F">
              <w:t>BP3</w:t>
            </w:r>
          </w:p>
        </w:tc>
        <w:tc>
          <w:tcPr>
            <w:tcW w:w="3147" w:type="pct"/>
          </w:tcPr>
          <w:p w14:paraId="696A48A0" w14:textId="77777777" w:rsidR="00783BBF" w:rsidRPr="00C51DE0" w:rsidRDefault="00783BBF">
            <w:pPr>
              <w:pStyle w:val="TableListNumber"/>
            </w:pPr>
            <w:r w:rsidRPr="00C51DE0">
              <w:t>Proportion of standard IBAC investigations into police personnel conduct and police personnel corrupt conduct completed within nine months</w:t>
            </w:r>
          </w:p>
        </w:tc>
        <w:tc>
          <w:tcPr>
            <w:tcW w:w="554" w:type="pct"/>
          </w:tcPr>
          <w:p w14:paraId="2D711CEF" w14:textId="77777777" w:rsidR="00783BBF" w:rsidRPr="0085472F" w:rsidRDefault="00783BBF">
            <w:pPr>
              <w:pStyle w:val="TableBodyTextcentrealign"/>
            </w:pPr>
            <w:r w:rsidRPr="0085472F">
              <w:t>60</w:t>
            </w:r>
            <w:r>
              <w:t>%</w:t>
            </w:r>
          </w:p>
        </w:tc>
        <w:tc>
          <w:tcPr>
            <w:tcW w:w="545" w:type="pct"/>
          </w:tcPr>
          <w:p w14:paraId="676FCB7F" w14:textId="205B4B72" w:rsidR="00783BBF" w:rsidRPr="00175A31" w:rsidRDefault="00461928" w:rsidP="00127365">
            <w:pPr>
              <w:pStyle w:val="TableBodyTextcentrealign"/>
            </w:pPr>
            <w:r w:rsidRPr="00B439FA">
              <w:t>100</w:t>
            </w:r>
            <w:r w:rsidR="00783BBF" w:rsidRPr="00175A31">
              <w:t>%</w:t>
            </w:r>
          </w:p>
        </w:tc>
        <w:tc>
          <w:tcPr>
            <w:tcW w:w="371" w:type="pct"/>
          </w:tcPr>
          <w:p w14:paraId="46DEBCB3" w14:textId="0C384CFC" w:rsidR="00783BBF" w:rsidRPr="007E78B5" w:rsidRDefault="00783BBF" w:rsidP="007E78B5">
            <w:pPr>
              <w:pStyle w:val="TableBodyTextcentrealign"/>
            </w:pPr>
            <w:r w:rsidRPr="007E78B5">
              <w:rPr>
                <w:rFonts w:ascii="Segoe UI Symbol" w:hAnsi="Segoe UI Symbol" w:cs="Segoe UI Symbol"/>
              </w:rPr>
              <w:t>✓</w:t>
            </w:r>
          </w:p>
        </w:tc>
      </w:tr>
      <w:tr w:rsidR="00736FE9" w:rsidRPr="0085472F" w14:paraId="61887589" w14:textId="77777777" w:rsidTr="00127365">
        <w:trPr>
          <w:trHeight w:val="511"/>
        </w:trPr>
        <w:tc>
          <w:tcPr>
            <w:tcW w:w="383" w:type="pct"/>
          </w:tcPr>
          <w:p w14:paraId="35C48EB6" w14:textId="77777777" w:rsidR="00783BBF" w:rsidRPr="00BB001F" w:rsidRDefault="00783BBF" w:rsidP="007211D6">
            <w:pPr>
              <w:pStyle w:val="TableBodyText"/>
            </w:pPr>
            <w:r w:rsidRPr="00BB001F">
              <w:t>BP3</w:t>
            </w:r>
          </w:p>
        </w:tc>
        <w:tc>
          <w:tcPr>
            <w:tcW w:w="3147" w:type="pct"/>
          </w:tcPr>
          <w:p w14:paraId="50A39B81" w14:textId="77777777" w:rsidR="00783BBF" w:rsidRPr="00C51DE0" w:rsidRDefault="00783BBF">
            <w:pPr>
              <w:pStyle w:val="TableListNumber"/>
            </w:pPr>
            <w:r w:rsidRPr="00C51DE0">
              <w:t>Proportion of complex IBAC investigations into police personnel conduct and police personnel corrupt conduct completed within 18 months</w:t>
            </w:r>
          </w:p>
        </w:tc>
        <w:tc>
          <w:tcPr>
            <w:tcW w:w="554" w:type="pct"/>
          </w:tcPr>
          <w:p w14:paraId="2F919754" w14:textId="77777777" w:rsidR="00783BBF" w:rsidRPr="0085472F" w:rsidRDefault="00783BBF">
            <w:pPr>
              <w:pStyle w:val="TableBodyTextcentrealign"/>
            </w:pPr>
            <w:r w:rsidRPr="0085472F">
              <w:t>60</w:t>
            </w:r>
            <w:r>
              <w:t>%</w:t>
            </w:r>
          </w:p>
        </w:tc>
        <w:tc>
          <w:tcPr>
            <w:tcW w:w="545" w:type="pct"/>
          </w:tcPr>
          <w:p w14:paraId="7F6747D4" w14:textId="5FA41F8D" w:rsidR="00783BBF" w:rsidRPr="00175A31" w:rsidRDefault="00461928" w:rsidP="00127365">
            <w:pPr>
              <w:pStyle w:val="TableBodyTextcentrealign"/>
            </w:pPr>
            <w:r w:rsidRPr="00B439FA">
              <w:t>100</w:t>
            </w:r>
            <w:r w:rsidR="00783BBF" w:rsidRPr="00175A31">
              <w:t>%</w:t>
            </w:r>
          </w:p>
        </w:tc>
        <w:tc>
          <w:tcPr>
            <w:tcW w:w="371" w:type="pct"/>
          </w:tcPr>
          <w:p w14:paraId="383B99CF" w14:textId="2E4120A3" w:rsidR="00783BBF" w:rsidRPr="007E78B5" w:rsidRDefault="00783BBF" w:rsidP="007E78B5">
            <w:pPr>
              <w:pStyle w:val="TableBodyTextcentrealign"/>
            </w:pPr>
            <w:r w:rsidRPr="007E78B5">
              <w:rPr>
                <w:rFonts w:ascii="Segoe UI Symbol" w:hAnsi="Segoe UI Symbol" w:cs="Segoe UI Symbol"/>
              </w:rPr>
              <w:t>✓</w:t>
            </w:r>
          </w:p>
        </w:tc>
      </w:tr>
      <w:tr w:rsidR="00736FE9" w:rsidRPr="0085472F" w14:paraId="6F3F804F" w14:textId="77777777" w:rsidTr="00127365">
        <w:trPr>
          <w:trHeight w:val="511"/>
        </w:trPr>
        <w:tc>
          <w:tcPr>
            <w:tcW w:w="383" w:type="pct"/>
          </w:tcPr>
          <w:p w14:paraId="4B11F2B8" w14:textId="77777777" w:rsidR="00783BBF" w:rsidRPr="00BB001F" w:rsidRDefault="00783BBF" w:rsidP="007211D6">
            <w:pPr>
              <w:pStyle w:val="TableBodyText"/>
            </w:pPr>
            <w:r w:rsidRPr="00BB001F">
              <w:t>BP3</w:t>
            </w:r>
          </w:p>
        </w:tc>
        <w:tc>
          <w:tcPr>
            <w:tcW w:w="3147" w:type="pct"/>
          </w:tcPr>
          <w:p w14:paraId="0A99508B" w14:textId="6EDAFA8D" w:rsidR="00783BBF" w:rsidRPr="00C51DE0" w:rsidRDefault="00783BBF">
            <w:pPr>
              <w:pStyle w:val="TableListNumber"/>
            </w:pPr>
            <w:r w:rsidRPr="00C51DE0">
              <w:t xml:space="preserve">Public </w:t>
            </w:r>
            <w:r w:rsidR="00C336CB">
              <w:t>i</w:t>
            </w:r>
            <w:r w:rsidRPr="00C51DE0">
              <w:t xml:space="preserve">nterest </w:t>
            </w:r>
            <w:r w:rsidR="00C336CB">
              <w:t>d</w:t>
            </w:r>
            <w:r w:rsidRPr="00C51DE0">
              <w:t>isclosure complaints and notifications assessed within 30 days</w:t>
            </w:r>
          </w:p>
        </w:tc>
        <w:tc>
          <w:tcPr>
            <w:tcW w:w="554" w:type="pct"/>
          </w:tcPr>
          <w:p w14:paraId="36B393DA" w14:textId="77777777" w:rsidR="00783BBF" w:rsidRPr="0085472F" w:rsidRDefault="00783BBF">
            <w:pPr>
              <w:pStyle w:val="TableBodyTextcentrealign"/>
            </w:pPr>
            <w:r w:rsidRPr="0085472F">
              <w:t>70</w:t>
            </w:r>
            <w:r>
              <w:t>%</w:t>
            </w:r>
          </w:p>
        </w:tc>
        <w:tc>
          <w:tcPr>
            <w:tcW w:w="545" w:type="pct"/>
          </w:tcPr>
          <w:p w14:paraId="223BE43E" w14:textId="0F6B3629" w:rsidR="00783BBF" w:rsidRPr="00175A31" w:rsidRDefault="004C179C" w:rsidP="00127365">
            <w:pPr>
              <w:pStyle w:val="TableBodyTextcentrealign"/>
            </w:pPr>
            <w:r w:rsidRPr="00B439FA">
              <w:t>65</w:t>
            </w:r>
            <w:r w:rsidR="00783BBF" w:rsidRPr="00175A31">
              <w:t>%</w:t>
            </w:r>
          </w:p>
        </w:tc>
        <w:tc>
          <w:tcPr>
            <w:tcW w:w="371" w:type="pct"/>
          </w:tcPr>
          <w:p w14:paraId="6EAFF464" w14:textId="0E020698" w:rsidR="00783BBF" w:rsidRPr="007E78B5" w:rsidRDefault="00783BBF" w:rsidP="007E78B5">
            <w:pPr>
              <w:pStyle w:val="TableBodyTextcentrealign"/>
            </w:pPr>
            <w:r w:rsidRPr="007E78B5">
              <w:rPr>
                <w:rFonts w:ascii="Cambria Math" w:hAnsi="Cambria Math" w:cs="Cambria Math"/>
              </w:rPr>
              <w:t>◼</w:t>
            </w:r>
          </w:p>
        </w:tc>
      </w:tr>
      <w:tr w:rsidR="00736FE9" w:rsidRPr="0085472F" w14:paraId="1798DDAB" w14:textId="77777777" w:rsidTr="00127365">
        <w:trPr>
          <w:trHeight w:val="705"/>
        </w:trPr>
        <w:tc>
          <w:tcPr>
            <w:tcW w:w="383" w:type="pct"/>
          </w:tcPr>
          <w:p w14:paraId="722A4AC3" w14:textId="77777777" w:rsidR="00783BBF" w:rsidRPr="00BB001F" w:rsidRDefault="00783BBF" w:rsidP="007211D6">
            <w:pPr>
              <w:pStyle w:val="TableBodyText"/>
            </w:pPr>
            <w:r w:rsidRPr="00BB001F">
              <w:t>BP3</w:t>
            </w:r>
          </w:p>
        </w:tc>
        <w:tc>
          <w:tcPr>
            <w:tcW w:w="3147" w:type="pct"/>
          </w:tcPr>
          <w:p w14:paraId="5B83029D" w14:textId="77777777" w:rsidR="00783BBF" w:rsidRPr="00C51DE0" w:rsidRDefault="00783BBF">
            <w:pPr>
              <w:pStyle w:val="TableListNumber"/>
            </w:pPr>
            <w:r w:rsidRPr="00C51DE0">
              <w:t>Complaints or notifications about public sector corrupt conduct (excluding police personnel conduct and police personnel corrupt conduct) assessed by IBAC within 45 days</w:t>
            </w:r>
          </w:p>
        </w:tc>
        <w:tc>
          <w:tcPr>
            <w:tcW w:w="554" w:type="pct"/>
          </w:tcPr>
          <w:p w14:paraId="4C0830E7" w14:textId="77777777" w:rsidR="00783BBF" w:rsidRPr="0085472F" w:rsidRDefault="00783BBF">
            <w:pPr>
              <w:pStyle w:val="TableBodyTextcentrealign"/>
            </w:pPr>
            <w:r w:rsidRPr="0085472F">
              <w:t>85</w:t>
            </w:r>
            <w:r>
              <w:t>%</w:t>
            </w:r>
          </w:p>
        </w:tc>
        <w:tc>
          <w:tcPr>
            <w:tcW w:w="545" w:type="pct"/>
          </w:tcPr>
          <w:p w14:paraId="7148EF06" w14:textId="080B0A40" w:rsidR="00783BBF" w:rsidRPr="00175A31" w:rsidRDefault="00EA0A10" w:rsidP="00127365">
            <w:pPr>
              <w:pStyle w:val="TableBodyTextcentrealign"/>
            </w:pPr>
            <w:r w:rsidRPr="00B439FA">
              <w:t>55</w:t>
            </w:r>
            <w:r w:rsidR="00783BBF" w:rsidRPr="00175A31">
              <w:t>%</w:t>
            </w:r>
          </w:p>
        </w:tc>
        <w:tc>
          <w:tcPr>
            <w:tcW w:w="371" w:type="pct"/>
          </w:tcPr>
          <w:p w14:paraId="1606A29B" w14:textId="5C9DC758" w:rsidR="00783BBF" w:rsidRPr="007E78B5" w:rsidRDefault="00783BBF" w:rsidP="007E78B5">
            <w:pPr>
              <w:pStyle w:val="TableBodyTextcentrealign"/>
            </w:pPr>
            <w:r w:rsidRPr="007E78B5">
              <w:rPr>
                <w:rFonts w:ascii="Cambria Math" w:hAnsi="Cambria Math" w:cs="Cambria Math"/>
              </w:rPr>
              <w:t>◼</w:t>
            </w:r>
          </w:p>
        </w:tc>
      </w:tr>
      <w:tr w:rsidR="00736FE9" w:rsidRPr="0085472F" w14:paraId="772A1EFA" w14:textId="77777777" w:rsidTr="00127365">
        <w:trPr>
          <w:trHeight w:val="511"/>
        </w:trPr>
        <w:tc>
          <w:tcPr>
            <w:tcW w:w="383" w:type="pct"/>
          </w:tcPr>
          <w:p w14:paraId="5E7C95ED" w14:textId="77777777" w:rsidR="00783BBF" w:rsidRPr="00BB001F" w:rsidRDefault="00783BBF" w:rsidP="007211D6">
            <w:pPr>
              <w:pStyle w:val="TableBodyText"/>
            </w:pPr>
            <w:r w:rsidRPr="00BB001F">
              <w:t>BP3</w:t>
            </w:r>
          </w:p>
        </w:tc>
        <w:tc>
          <w:tcPr>
            <w:tcW w:w="3147" w:type="pct"/>
          </w:tcPr>
          <w:p w14:paraId="6C9096C3" w14:textId="77777777" w:rsidR="00783BBF" w:rsidRPr="00C51DE0" w:rsidRDefault="00783BBF">
            <w:pPr>
              <w:pStyle w:val="TableListNumber"/>
            </w:pPr>
            <w:r w:rsidRPr="00C51DE0">
              <w:t>Complaints or notifications about police personnel conduct and police personnel corrupt conduct assessed by IBAC within 45 days</w:t>
            </w:r>
          </w:p>
        </w:tc>
        <w:tc>
          <w:tcPr>
            <w:tcW w:w="554" w:type="pct"/>
          </w:tcPr>
          <w:p w14:paraId="01F4A5BD" w14:textId="77777777" w:rsidR="00783BBF" w:rsidRPr="0085472F" w:rsidRDefault="00783BBF">
            <w:pPr>
              <w:pStyle w:val="TableBodyTextcentrealign"/>
            </w:pPr>
            <w:r>
              <w:t>90%</w:t>
            </w:r>
          </w:p>
        </w:tc>
        <w:tc>
          <w:tcPr>
            <w:tcW w:w="545" w:type="pct"/>
          </w:tcPr>
          <w:p w14:paraId="2186F08B" w14:textId="188A99F5" w:rsidR="00783BBF" w:rsidRPr="00175A31" w:rsidRDefault="009A135B" w:rsidP="00127365">
            <w:pPr>
              <w:pStyle w:val="TableBodyTextcentrealign"/>
            </w:pPr>
            <w:r w:rsidRPr="00B439FA">
              <w:t>48</w:t>
            </w:r>
            <w:r w:rsidR="00783BBF" w:rsidRPr="00175A31">
              <w:t>%</w:t>
            </w:r>
          </w:p>
        </w:tc>
        <w:tc>
          <w:tcPr>
            <w:tcW w:w="371" w:type="pct"/>
          </w:tcPr>
          <w:p w14:paraId="50C6D6C5" w14:textId="31DBE8D2" w:rsidR="00783BBF" w:rsidRPr="007E78B5" w:rsidRDefault="00783BBF" w:rsidP="007E78B5">
            <w:pPr>
              <w:pStyle w:val="TableBodyTextcentrealign"/>
            </w:pPr>
            <w:r w:rsidRPr="007E78B5">
              <w:rPr>
                <w:rFonts w:ascii="Cambria Math" w:hAnsi="Cambria Math" w:cs="Cambria Math"/>
              </w:rPr>
              <w:t>◼</w:t>
            </w:r>
          </w:p>
        </w:tc>
      </w:tr>
      <w:tr w:rsidR="00736FE9" w:rsidRPr="00F6667B" w14:paraId="50A37A63" w14:textId="77777777" w:rsidTr="00127365">
        <w:trPr>
          <w:trHeight w:val="331"/>
        </w:trPr>
        <w:tc>
          <w:tcPr>
            <w:tcW w:w="383" w:type="pct"/>
          </w:tcPr>
          <w:p w14:paraId="25F34DBD" w14:textId="77777777" w:rsidR="00783BBF" w:rsidRPr="00F6667B" w:rsidRDefault="00783BBF" w:rsidP="007211D6">
            <w:pPr>
              <w:pStyle w:val="TableBodyText"/>
            </w:pPr>
            <w:r w:rsidRPr="00F6667B">
              <w:t>KPI</w:t>
            </w:r>
          </w:p>
        </w:tc>
        <w:tc>
          <w:tcPr>
            <w:tcW w:w="3147" w:type="pct"/>
          </w:tcPr>
          <w:p w14:paraId="01FA1B50" w14:textId="0AF0E6E6" w:rsidR="00783BBF" w:rsidRPr="00F6667B" w:rsidRDefault="00783BBF">
            <w:pPr>
              <w:pStyle w:val="TableListNumber"/>
            </w:pPr>
            <w:r>
              <w:t>Lost Time</w:t>
            </w:r>
            <w:r w:rsidRPr="00F6667B">
              <w:t xml:space="preserve"> Injury Frequency Rate</w:t>
            </w:r>
          </w:p>
        </w:tc>
        <w:tc>
          <w:tcPr>
            <w:tcW w:w="554" w:type="pct"/>
          </w:tcPr>
          <w:p w14:paraId="72F682C2" w14:textId="77777777" w:rsidR="00783BBF" w:rsidRPr="0085472F" w:rsidRDefault="00783BBF">
            <w:pPr>
              <w:pStyle w:val="TableBodyTextcentrealign"/>
            </w:pPr>
            <w:r>
              <w:t>2.7</w:t>
            </w:r>
          </w:p>
        </w:tc>
        <w:tc>
          <w:tcPr>
            <w:tcW w:w="545" w:type="pct"/>
          </w:tcPr>
          <w:p w14:paraId="76033D3E" w14:textId="01794A9C" w:rsidR="00783BBF" w:rsidRPr="00175A31" w:rsidRDefault="0086016D" w:rsidP="00127365">
            <w:pPr>
              <w:pStyle w:val="TableBodyTextcentrealign"/>
            </w:pPr>
            <w:r w:rsidRPr="00B439FA">
              <w:t>2.</w:t>
            </w:r>
            <w:r w:rsidR="0098478E" w:rsidRPr="00B439FA">
              <w:t>0</w:t>
            </w:r>
          </w:p>
        </w:tc>
        <w:tc>
          <w:tcPr>
            <w:tcW w:w="371" w:type="pct"/>
          </w:tcPr>
          <w:p w14:paraId="75517286" w14:textId="11D2D8D6" w:rsidR="00783BBF" w:rsidRPr="007E78B5" w:rsidRDefault="00783BBF" w:rsidP="007E78B5">
            <w:pPr>
              <w:pStyle w:val="TableBodyTextcentrealign"/>
            </w:pPr>
            <w:r w:rsidRPr="007E78B5">
              <w:rPr>
                <w:rFonts w:ascii="Segoe UI Symbol" w:hAnsi="Segoe UI Symbol" w:cs="Segoe UI Symbol"/>
              </w:rPr>
              <w:t>✓</w:t>
            </w:r>
          </w:p>
        </w:tc>
      </w:tr>
      <w:tr w:rsidR="00736FE9" w:rsidRPr="00F6667B" w14:paraId="55D545F4" w14:textId="77777777" w:rsidTr="00127365">
        <w:trPr>
          <w:trHeight w:val="525"/>
        </w:trPr>
        <w:tc>
          <w:tcPr>
            <w:tcW w:w="383" w:type="pct"/>
          </w:tcPr>
          <w:p w14:paraId="2A9AFD9C" w14:textId="77777777" w:rsidR="00783BBF" w:rsidRPr="00F6667B" w:rsidRDefault="00783BBF" w:rsidP="007211D6">
            <w:pPr>
              <w:pStyle w:val="TableBodyText"/>
            </w:pPr>
            <w:r>
              <w:t>KPI</w:t>
            </w:r>
          </w:p>
        </w:tc>
        <w:tc>
          <w:tcPr>
            <w:tcW w:w="3147" w:type="pct"/>
          </w:tcPr>
          <w:p w14:paraId="170014C1" w14:textId="1B6745DA" w:rsidR="00783BBF" w:rsidRPr="00F6667B" w:rsidRDefault="00783BBF">
            <w:pPr>
              <w:pStyle w:val="TableListNumber"/>
            </w:pPr>
            <w:r>
              <w:t>Increase in</w:t>
            </w:r>
            <w:r w:rsidR="00544E1C">
              <w:t xml:space="preserve"> occupational health and safety</w:t>
            </w:r>
            <w:r>
              <w:t xml:space="preserve"> </w:t>
            </w:r>
            <w:r w:rsidR="00544E1C">
              <w:t>(</w:t>
            </w:r>
            <w:r>
              <w:t>OHS</w:t>
            </w:r>
            <w:r w:rsidR="00544E1C">
              <w:t>)</w:t>
            </w:r>
            <w:r>
              <w:t xml:space="preserve"> hazard and incident reporting as a leading indicator of improvement in safety culture</w:t>
            </w:r>
          </w:p>
        </w:tc>
        <w:tc>
          <w:tcPr>
            <w:tcW w:w="554" w:type="pct"/>
          </w:tcPr>
          <w:p w14:paraId="7928E3BC" w14:textId="6BCA4E74" w:rsidR="00783BBF" w:rsidRPr="00F6667B" w:rsidRDefault="00783BBF">
            <w:pPr>
              <w:pStyle w:val="TableBodyTextcentrealign"/>
            </w:pPr>
            <w:r>
              <w:t>5%</w:t>
            </w:r>
          </w:p>
        </w:tc>
        <w:tc>
          <w:tcPr>
            <w:tcW w:w="545" w:type="pct"/>
          </w:tcPr>
          <w:p w14:paraId="30B5A945" w14:textId="3F1F4F00" w:rsidR="00783BBF" w:rsidRPr="00175A31" w:rsidRDefault="0019648A" w:rsidP="00127365">
            <w:pPr>
              <w:pStyle w:val="TableBodyTextcentrealign"/>
            </w:pPr>
            <w:r w:rsidRPr="00B439FA">
              <w:t>137</w:t>
            </w:r>
            <w:r w:rsidR="00783BBF" w:rsidRPr="00175A31">
              <w:t>%</w:t>
            </w:r>
          </w:p>
        </w:tc>
        <w:tc>
          <w:tcPr>
            <w:tcW w:w="371" w:type="pct"/>
          </w:tcPr>
          <w:p w14:paraId="442B8D37" w14:textId="06374C37" w:rsidR="00783BBF" w:rsidRPr="007E78B5" w:rsidRDefault="00783BBF" w:rsidP="007E78B5">
            <w:pPr>
              <w:pStyle w:val="TableBodyTextcentrealign"/>
            </w:pPr>
            <w:r w:rsidRPr="007E78B5">
              <w:rPr>
                <w:rFonts w:ascii="Segoe UI Symbol" w:hAnsi="Segoe UI Symbol" w:cs="Segoe UI Symbol"/>
              </w:rPr>
              <w:t>✓</w:t>
            </w:r>
          </w:p>
        </w:tc>
      </w:tr>
      <w:tr w:rsidR="00736FE9" w:rsidRPr="00F6667B" w14:paraId="7DABB66E" w14:textId="77777777" w:rsidTr="00127365">
        <w:trPr>
          <w:trHeight w:val="331"/>
        </w:trPr>
        <w:tc>
          <w:tcPr>
            <w:tcW w:w="383" w:type="pct"/>
          </w:tcPr>
          <w:p w14:paraId="71E98CB6" w14:textId="77777777" w:rsidR="00783BBF" w:rsidRPr="00F6667B" w:rsidRDefault="00783BBF" w:rsidP="007211D6">
            <w:pPr>
              <w:pStyle w:val="TableBodyText"/>
            </w:pPr>
            <w:r w:rsidRPr="00F6667B">
              <w:t>KPI</w:t>
            </w:r>
          </w:p>
        </w:tc>
        <w:tc>
          <w:tcPr>
            <w:tcW w:w="3147" w:type="pct"/>
          </w:tcPr>
          <w:p w14:paraId="27C8119D" w14:textId="77777777" w:rsidR="00783BBF" w:rsidRPr="00F6667B" w:rsidRDefault="00783BBF">
            <w:pPr>
              <w:pStyle w:val="TableListNumber"/>
            </w:pPr>
            <w:r>
              <w:t xml:space="preserve">People Matter Survey – employee </w:t>
            </w:r>
            <w:r w:rsidRPr="00F6667B">
              <w:t>engagement</w:t>
            </w:r>
            <w:r>
              <w:t xml:space="preserve"> score</w:t>
            </w:r>
          </w:p>
        </w:tc>
        <w:tc>
          <w:tcPr>
            <w:tcW w:w="554" w:type="pct"/>
          </w:tcPr>
          <w:p w14:paraId="4158724D" w14:textId="0DC4E6A1" w:rsidR="00783BBF" w:rsidRPr="0085472F" w:rsidRDefault="00783BBF">
            <w:pPr>
              <w:pStyle w:val="TableBodyTextcentrealign"/>
            </w:pPr>
            <w:r>
              <w:t>66</w:t>
            </w:r>
            <w:r w:rsidR="000E0A6F">
              <w:t>%</w:t>
            </w:r>
          </w:p>
        </w:tc>
        <w:tc>
          <w:tcPr>
            <w:tcW w:w="545" w:type="pct"/>
          </w:tcPr>
          <w:p w14:paraId="7925CBA3" w14:textId="294EC434" w:rsidR="00783BBF" w:rsidRPr="00175A31" w:rsidRDefault="00D04C9C" w:rsidP="00127365">
            <w:pPr>
              <w:pStyle w:val="TableBodyTextcentrealign"/>
            </w:pPr>
            <w:r w:rsidRPr="00B439FA">
              <w:t>6</w:t>
            </w:r>
            <w:r w:rsidR="00EC4695" w:rsidRPr="00B439FA">
              <w:t>5</w:t>
            </w:r>
            <w:r w:rsidR="00783BBF" w:rsidRPr="00175A31">
              <w:t>%</w:t>
            </w:r>
          </w:p>
        </w:tc>
        <w:tc>
          <w:tcPr>
            <w:tcW w:w="371" w:type="pct"/>
          </w:tcPr>
          <w:p w14:paraId="3A0219FC" w14:textId="08FC2094" w:rsidR="00783BBF" w:rsidRPr="00F6667B" w:rsidRDefault="00783BBF">
            <w:pPr>
              <w:pStyle w:val="TableBodyTextcentrealign"/>
              <w:rPr>
                <w:color w:val="FF0000"/>
              </w:rPr>
            </w:pPr>
            <w:r w:rsidRPr="00C1230C">
              <w:rPr>
                <w:lang w:eastAsia="en-US"/>
              </w:rPr>
              <w:t>○</w:t>
            </w:r>
          </w:p>
        </w:tc>
      </w:tr>
      <w:tr w:rsidR="00736FE9" w:rsidRPr="0032236A" w14:paraId="7A576C40" w14:textId="77777777" w:rsidTr="00127365">
        <w:trPr>
          <w:trHeight w:val="331"/>
        </w:trPr>
        <w:tc>
          <w:tcPr>
            <w:tcW w:w="383" w:type="pct"/>
          </w:tcPr>
          <w:p w14:paraId="3F828AA7" w14:textId="77777777" w:rsidR="00783BBF" w:rsidRPr="00F6667B" w:rsidRDefault="00783BBF" w:rsidP="007211D6">
            <w:pPr>
              <w:pStyle w:val="TableBodyText"/>
            </w:pPr>
            <w:r w:rsidRPr="00F6667B">
              <w:t>KPI</w:t>
            </w:r>
          </w:p>
        </w:tc>
        <w:tc>
          <w:tcPr>
            <w:tcW w:w="3147" w:type="pct"/>
          </w:tcPr>
          <w:p w14:paraId="0E0E09B4" w14:textId="77777777" w:rsidR="00783BBF" w:rsidRPr="00F6667B" w:rsidRDefault="00783BBF">
            <w:pPr>
              <w:pStyle w:val="TableListNumber"/>
            </w:pPr>
            <w:r>
              <w:t>Expenditure – variance against budget (organisation wide)</w:t>
            </w:r>
          </w:p>
        </w:tc>
        <w:tc>
          <w:tcPr>
            <w:tcW w:w="554" w:type="pct"/>
          </w:tcPr>
          <w:p w14:paraId="4B96FA7C" w14:textId="79652B9D" w:rsidR="00783BBF" w:rsidRPr="0085472F" w:rsidRDefault="00783BBF">
            <w:pPr>
              <w:pStyle w:val="TableBodyTextcentrealign"/>
            </w:pPr>
            <w:r w:rsidRPr="0032236A">
              <w:t>+/</w:t>
            </w:r>
            <w:r w:rsidR="00193B3E">
              <w:rPr>
                <w:rFonts w:cs="Calibri"/>
              </w:rPr>
              <w:t>–</w:t>
            </w:r>
            <w:r w:rsidR="00EA029D">
              <w:t xml:space="preserve"> </w:t>
            </w:r>
            <w:r w:rsidRPr="0032236A">
              <w:t>5</w:t>
            </w:r>
            <w:r>
              <w:t>%</w:t>
            </w:r>
          </w:p>
        </w:tc>
        <w:tc>
          <w:tcPr>
            <w:tcW w:w="545" w:type="pct"/>
          </w:tcPr>
          <w:p w14:paraId="7A143472" w14:textId="39EC9A19" w:rsidR="00783BBF" w:rsidRPr="00175A31" w:rsidRDefault="00C013B3" w:rsidP="00127365">
            <w:pPr>
              <w:pStyle w:val="TableBodyTextcentrealign"/>
            </w:pPr>
            <w:r w:rsidRPr="00B439FA">
              <w:t>6</w:t>
            </w:r>
            <w:r w:rsidR="00783BBF" w:rsidRPr="00175A31">
              <w:t>%</w:t>
            </w:r>
          </w:p>
        </w:tc>
        <w:tc>
          <w:tcPr>
            <w:tcW w:w="371" w:type="pct"/>
          </w:tcPr>
          <w:p w14:paraId="742CEB9A" w14:textId="3A48377C" w:rsidR="00783BBF" w:rsidRPr="007E78B5" w:rsidRDefault="00783BBF" w:rsidP="007E78B5">
            <w:pPr>
              <w:pStyle w:val="TableBodyTextcentrealign"/>
            </w:pPr>
            <w:r w:rsidRPr="007E78B5">
              <w:rPr>
                <w:rFonts w:ascii="Cambria Math" w:hAnsi="Cambria Math" w:cs="Cambria Math"/>
              </w:rPr>
              <w:t>◼</w:t>
            </w:r>
          </w:p>
        </w:tc>
      </w:tr>
      <w:tr w:rsidR="00736FE9" w:rsidRPr="0032236A" w14:paraId="36CBE6AD" w14:textId="77777777" w:rsidTr="00127365">
        <w:trPr>
          <w:trHeight w:val="317"/>
        </w:trPr>
        <w:tc>
          <w:tcPr>
            <w:tcW w:w="383" w:type="pct"/>
          </w:tcPr>
          <w:p w14:paraId="06E0D674" w14:textId="77777777" w:rsidR="00783BBF" w:rsidRPr="00F6667B" w:rsidRDefault="00783BBF" w:rsidP="007211D6">
            <w:pPr>
              <w:pStyle w:val="TableBodyText"/>
            </w:pPr>
            <w:r>
              <w:t>KPI</w:t>
            </w:r>
          </w:p>
        </w:tc>
        <w:tc>
          <w:tcPr>
            <w:tcW w:w="3147" w:type="pct"/>
          </w:tcPr>
          <w:p w14:paraId="7A8FD5B6" w14:textId="77777777" w:rsidR="00783BBF" w:rsidRDefault="00783BBF">
            <w:pPr>
              <w:pStyle w:val="TableListNumber"/>
            </w:pPr>
            <w:r>
              <w:t>I</w:t>
            </w:r>
            <w:r w:rsidRPr="0062299A">
              <w:t>T system uptime (availability of IBAC-managed systems)</w:t>
            </w:r>
          </w:p>
        </w:tc>
        <w:tc>
          <w:tcPr>
            <w:tcW w:w="554" w:type="pct"/>
          </w:tcPr>
          <w:p w14:paraId="7B06A272" w14:textId="77777777" w:rsidR="00783BBF" w:rsidRPr="0032236A" w:rsidRDefault="00783BBF">
            <w:pPr>
              <w:pStyle w:val="TableBodyTextcentrealign"/>
            </w:pPr>
            <w:r>
              <w:t>99.95%</w:t>
            </w:r>
          </w:p>
        </w:tc>
        <w:tc>
          <w:tcPr>
            <w:tcW w:w="545" w:type="pct"/>
          </w:tcPr>
          <w:p w14:paraId="4892EF04" w14:textId="5818C383" w:rsidR="00783BBF" w:rsidRPr="00175A31" w:rsidRDefault="006F561E" w:rsidP="00127365">
            <w:pPr>
              <w:pStyle w:val="TableBodyTextcentrealign"/>
            </w:pPr>
            <w:r w:rsidRPr="00B439FA">
              <w:t>99.96</w:t>
            </w:r>
            <w:r w:rsidR="00783BBF" w:rsidRPr="00175A31">
              <w:t>%</w:t>
            </w:r>
          </w:p>
        </w:tc>
        <w:tc>
          <w:tcPr>
            <w:tcW w:w="371" w:type="pct"/>
          </w:tcPr>
          <w:p w14:paraId="47E8532E" w14:textId="29107B04" w:rsidR="00783BBF" w:rsidRPr="007E78B5" w:rsidRDefault="00783BBF" w:rsidP="007E78B5">
            <w:pPr>
              <w:pStyle w:val="TableBodyTextcentrealign"/>
            </w:pPr>
            <w:r w:rsidRPr="007E78B5">
              <w:rPr>
                <w:rFonts w:ascii="Segoe UI Symbol" w:hAnsi="Segoe UI Symbol" w:cs="Segoe UI Symbol"/>
              </w:rPr>
              <w:t>✓</w:t>
            </w:r>
          </w:p>
        </w:tc>
      </w:tr>
      <w:tr w:rsidR="00736FE9" w:rsidRPr="0032236A" w14:paraId="04B74569" w14:textId="77777777" w:rsidTr="00127365">
        <w:trPr>
          <w:trHeight w:val="317"/>
        </w:trPr>
        <w:tc>
          <w:tcPr>
            <w:tcW w:w="383" w:type="pct"/>
          </w:tcPr>
          <w:p w14:paraId="475D41F4" w14:textId="77777777" w:rsidR="00783BBF" w:rsidRPr="00F6667B" w:rsidRDefault="00783BBF" w:rsidP="007211D6">
            <w:pPr>
              <w:pStyle w:val="TableBodyText"/>
            </w:pPr>
            <w:r>
              <w:t>KPI</w:t>
            </w:r>
          </w:p>
        </w:tc>
        <w:tc>
          <w:tcPr>
            <w:tcW w:w="3147" w:type="pct"/>
          </w:tcPr>
          <w:p w14:paraId="5FB815F0" w14:textId="5E45316F" w:rsidR="00783BBF" w:rsidRDefault="00783BBF">
            <w:pPr>
              <w:pStyle w:val="TableListNumber"/>
            </w:pPr>
            <w:r w:rsidRPr="0062299A">
              <w:t xml:space="preserve">Implementation of </w:t>
            </w:r>
            <w:r w:rsidR="000E0A6F" w:rsidRPr="000E0A6F">
              <w:t>the Annual Plan 2022/23 strategic initiatives</w:t>
            </w:r>
          </w:p>
        </w:tc>
        <w:tc>
          <w:tcPr>
            <w:tcW w:w="554" w:type="pct"/>
          </w:tcPr>
          <w:p w14:paraId="342E9266" w14:textId="77777777" w:rsidR="00783BBF" w:rsidRPr="003A714F" w:rsidRDefault="00783BBF">
            <w:pPr>
              <w:pStyle w:val="TableBodyTextcentrealign"/>
            </w:pPr>
            <w:r w:rsidRPr="003A714F">
              <w:t>75%</w:t>
            </w:r>
          </w:p>
        </w:tc>
        <w:tc>
          <w:tcPr>
            <w:tcW w:w="545" w:type="pct"/>
          </w:tcPr>
          <w:p w14:paraId="79B31058" w14:textId="7EEBC182" w:rsidR="00783BBF" w:rsidRPr="00127365" w:rsidRDefault="00A535B2" w:rsidP="00127365">
            <w:pPr>
              <w:pStyle w:val="TableBodyTextcentrealign"/>
            </w:pPr>
            <w:r>
              <w:t>76</w:t>
            </w:r>
            <w:r w:rsidR="00783BBF" w:rsidRPr="00127365">
              <w:t>%</w:t>
            </w:r>
          </w:p>
        </w:tc>
        <w:tc>
          <w:tcPr>
            <w:tcW w:w="371" w:type="pct"/>
          </w:tcPr>
          <w:p w14:paraId="6586F022" w14:textId="356B9C1A" w:rsidR="00783BBF" w:rsidRPr="007E78B5" w:rsidRDefault="00A535B2" w:rsidP="007E78B5">
            <w:pPr>
              <w:pStyle w:val="TableBodyTextcentrealign"/>
            </w:pPr>
            <w:r w:rsidRPr="007E78B5">
              <w:rPr>
                <w:rFonts w:ascii="Segoe UI Symbol" w:hAnsi="Segoe UI Symbol" w:cs="Segoe UI Symbol"/>
              </w:rPr>
              <w:t>✓</w:t>
            </w:r>
          </w:p>
        </w:tc>
      </w:tr>
    </w:tbl>
    <w:p w14:paraId="1B056C97" w14:textId="0566AF74" w:rsidR="00F65ABF" w:rsidRPr="00873846" w:rsidRDefault="00A20AAD" w:rsidP="00F65ABF">
      <w:pPr>
        <w:pStyle w:val="TableNote"/>
      </w:pPr>
      <w:r>
        <w:t>Key</w:t>
      </w:r>
    </w:p>
    <w:p w14:paraId="22602328" w14:textId="7A5BC18E" w:rsidR="00F65ABF" w:rsidRDefault="00F65ABF" w:rsidP="00F65ABF">
      <w:pPr>
        <w:pStyle w:val="TableNote"/>
      </w:pPr>
      <w:r>
        <w:rPr>
          <w:rFonts w:ascii="Segoe UI Symbol" w:hAnsi="Segoe UI Symbol" w:cs="Segoe UI Symbol"/>
        </w:rPr>
        <w:t>✓</w:t>
      </w:r>
      <w:r>
        <w:t xml:space="preserve"> Met</w:t>
      </w:r>
    </w:p>
    <w:p w14:paraId="05C5012A" w14:textId="77777777" w:rsidR="00F65ABF" w:rsidRDefault="00F65ABF" w:rsidP="00F65ABF">
      <w:pPr>
        <w:pStyle w:val="TableNote"/>
      </w:pPr>
      <w:r>
        <w:t>○ Not met, but within 5% of the target</w:t>
      </w:r>
    </w:p>
    <w:p w14:paraId="5D31810F" w14:textId="0C6B2707" w:rsidR="00F65ABF" w:rsidRDefault="00F65ABF" w:rsidP="00F65ABF">
      <w:pPr>
        <w:pStyle w:val="TableNote"/>
      </w:pPr>
      <w:r w:rsidRPr="009D3814">
        <w:rPr>
          <w:rFonts w:ascii="Cambria Math" w:hAnsi="Cambria Math" w:cs="Cambria Math"/>
        </w:rPr>
        <w:t>◼</w:t>
      </w:r>
      <w:r>
        <w:t xml:space="preserve"> </w:t>
      </w:r>
      <w:r w:rsidRPr="00C51DE0">
        <w:t>Not met</w:t>
      </w:r>
    </w:p>
    <w:p w14:paraId="7AC6BA36" w14:textId="77777777" w:rsidR="0072323C" w:rsidRPr="007211D6" w:rsidRDefault="0072323C" w:rsidP="007211D6">
      <w:pPr>
        <w:pStyle w:val="BodyText"/>
      </w:pPr>
      <w:r>
        <w:br w:type="page"/>
      </w:r>
    </w:p>
    <w:p w14:paraId="448F8C23" w14:textId="746FA981" w:rsidR="00366A92" w:rsidRPr="007211D6" w:rsidRDefault="0011063C" w:rsidP="00083FE5">
      <w:pPr>
        <w:pStyle w:val="Heading3"/>
      </w:pPr>
      <w:bookmarkStart w:id="35" w:name="_Toc149131679"/>
      <w:bookmarkStart w:id="36" w:name="_Ref149135142"/>
      <w:bookmarkStart w:id="37" w:name="_Ref149135590"/>
      <w:r>
        <w:t>Prevention and education</w:t>
      </w:r>
      <w:r w:rsidR="00480890">
        <w:t xml:space="preserve"> </w:t>
      </w:r>
      <w:r w:rsidR="00366A92">
        <w:t>impact</w:t>
      </w:r>
      <w:bookmarkEnd w:id="35"/>
      <w:bookmarkEnd w:id="36"/>
      <w:bookmarkEnd w:id="37"/>
      <w:r w:rsidR="00366A92" w:rsidRPr="007211D6">
        <w:t xml:space="preserve"> </w:t>
      </w:r>
    </w:p>
    <w:p w14:paraId="06D47505" w14:textId="1D5142A7" w:rsidR="00865E89" w:rsidRPr="005D7704" w:rsidRDefault="00865E89" w:rsidP="00127365">
      <w:pPr>
        <w:pStyle w:val="BodyText"/>
      </w:pPr>
      <w:bookmarkStart w:id="38" w:name="_Toc133585231"/>
      <w:bookmarkEnd w:id="19"/>
      <w:r>
        <w:t xml:space="preserve">In </w:t>
      </w:r>
      <w:r w:rsidR="000A1691">
        <w:t>2022/23</w:t>
      </w:r>
      <w:r>
        <w:t xml:space="preserve">, </w:t>
      </w:r>
      <w:r w:rsidR="00BE2072">
        <w:t xml:space="preserve">we </w:t>
      </w:r>
      <w:r w:rsidRPr="000604E4">
        <w:t xml:space="preserve">delivered </w:t>
      </w:r>
      <w:r w:rsidRPr="00B439FA">
        <w:t>157</w:t>
      </w:r>
      <w:r w:rsidRPr="000604E4">
        <w:t xml:space="preserve"> corruption</w:t>
      </w:r>
      <w:r>
        <w:t xml:space="preserve"> prevention initiatives, which included speaking engagements</w:t>
      </w:r>
      <w:r w:rsidR="00F8376F">
        <w:t xml:space="preserve"> and</w:t>
      </w:r>
      <w:r>
        <w:t xml:space="preserve"> external forums, as well as special and research reports, resources and campaigns. </w:t>
      </w:r>
    </w:p>
    <w:p w14:paraId="1F99F7BE" w14:textId="7F88E9FD" w:rsidR="00865E89" w:rsidRPr="005D7704" w:rsidRDefault="00865E89" w:rsidP="00865E89">
      <w:pPr>
        <w:pStyle w:val="BodyText"/>
      </w:pPr>
      <w:r>
        <w:t xml:space="preserve">This exceeded our performance target by </w:t>
      </w:r>
      <w:r w:rsidRPr="00083FE5">
        <w:t>37</w:t>
      </w:r>
      <w:r w:rsidR="00F8376F">
        <w:t xml:space="preserve"> per cent</w:t>
      </w:r>
      <w:r w:rsidR="009A4223">
        <w:t xml:space="preserve"> (</w:t>
      </w:r>
      <w:r w:rsidR="0069673F">
        <w:t xml:space="preserve">an additional </w:t>
      </w:r>
      <w:r w:rsidR="00C10322">
        <w:t xml:space="preserve">42 </w:t>
      </w:r>
      <w:r w:rsidR="00240834">
        <w:t>initiatives</w:t>
      </w:r>
      <w:r w:rsidR="0069673F">
        <w:t xml:space="preserve"> were delivered)</w:t>
      </w:r>
      <w:r>
        <w:t>. We achieved 93</w:t>
      </w:r>
      <w:r w:rsidR="00F8376F">
        <w:t xml:space="preserve"> per cent </w:t>
      </w:r>
      <w:r>
        <w:t xml:space="preserve">average satisfaction ratings with speaking engagements and forums, </w:t>
      </w:r>
      <w:r w:rsidR="00127365">
        <w:t xml:space="preserve">which </w:t>
      </w:r>
      <w:r w:rsidR="00A535B2">
        <w:t>narrowly</w:t>
      </w:r>
      <w:r w:rsidR="003E18FD">
        <w:t xml:space="preserve"> </w:t>
      </w:r>
      <w:r w:rsidR="00F9636F">
        <w:t>miss</w:t>
      </w:r>
      <w:r w:rsidR="00A535B2">
        <w:t>ed our</w:t>
      </w:r>
      <w:r w:rsidR="00F9636F">
        <w:t xml:space="preserve"> target </w:t>
      </w:r>
      <w:r w:rsidR="00A535B2">
        <w:t>of 95</w:t>
      </w:r>
      <w:r w:rsidR="00D24CE2">
        <w:t xml:space="preserve"> per cent</w:t>
      </w:r>
      <w:r w:rsidR="00F9636F">
        <w:t>.</w:t>
      </w:r>
    </w:p>
    <w:p w14:paraId="3EF39D74" w14:textId="352B0AE8" w:rsidR="00922665" w:rsidRDefault="00922665" w:rsidP="00834775">
      <w:pPr>
        <w:pStyle w:val="Caption"/>
      </w:pPr>
      <w:bookmarkStart w:id="39" w:name="_Ref140850799"/>
      <w:bookmarkStart w:id="40" w:name="_Ref149135833"/>
      <w:r>
        <w:t xml:space="preserve">Table </w:t>
      </w:r>
      <w:r>
        <w:fldChar w:fldCharType="begin"/>
      </w:r>
      <w:r>
        <w:instrText xml:space="preserve"> SEQ Table \* ARABIC </w:instrText>
      </w:r>
      <w:r>
        <w:fldChar w:fldCharType="separate"/>
      </w:r>
      <w:r w:rsidR="00EF6E7F">
        <w:rPr>
          <w:noProof/>
        </w:rPr>
        <w:t>5</w:t>
      </w:r>
      <w:r>
        <w:fldChar w:fldCharType="end"/>
      </w:r>
      <w:bookmarkEnd w:id="39"/>
      <w:r>
        <w:t xml:space="preserve">: </w:t>
      </w:r>
      <w:r w:rsidRPr="00537759">
        <w:t xml:space="preserve">IBAC </w:t>
      </w:r>
      <w:r w:rsidR="000A1691">
        <w:t>2022/23</w:t>
      </w:r>
      <w:r w:rsidRPr="00537759">
        <w:t xml:space="preserve"> output performance – corruption prevention and education</w:t>
      </w:r>
      <w:bookmarkEnd w:id="40"/>
    </w:p>
    <w:tbl>
      <w:tblPr>
        <w:tblStyle w:val="CustomTablestandard"/>
        <w:tblW w:w="0" w:type="auto"/>
        <w:tblLook w:val="04A0" w:firstRow="1" w:lastRow="0" w:firstColumn="1" w:lastColumn="0" w:noHBand="0" w:noVBand="1"/>
      </w:tblPr>
      <w:tblGrid>
        <w:gridCol w:w="2552"/>
        <w:gridCol w:w="1417"/>
        <w:gridCol w:w="1276"/>
        <w:gridCol w:w="1276"/>
        <w:gridCol w:w="1559"/>
        <w:gridCol w:w="947"/>
      </w:tblGrid>
      <w:tr w:rsidR="00865E89" w14:paraId="60273D32" w14:textId="77777777" w:rsidTr="1F751BE5">
        <w:trPr>
          <w:cnfStyle w:val="100000000000" w:firstRow="1" w:lastRow="0" w:firstColumn="0" w:lastColumn="0" w:oddVBand="0" w:evenVBand="0" w:oddHBand="0" w:evenHBand="0" w:firstRowFirstColumn="0" w:firstRowLastColumn="0" w:lastRowFirstColumn="0" w:lastRowLastColumn="0"/>
          <w:trHeight w:val="300"/>
        </w:trPr>
        <w:tc>
          <w:tcPr>
            <w:tcW w:w="2552" w:type="dxa"/>
          </w:tcPr>
          <w:p w14:paraId="5AACC1BB" w14:textId="77777777" w:rsidR="00865E89" w:rsidRDefault="00865E89">
            <w:pPr>
              <w:pStyle w:val="TableHeading1"/>
            </w:pPr>
            <w:r>
              <w:t>Performance measures</w:t>
            </w:r>
          </w:p>
        </w:tc>
        <w:tc>
          <w:tcPr>
            <w:tcW w:w="1417" w:type="dxa"/>
          </w:tcPr>
          <w:p w14:paraId="30910278" w14:textId="77777777" w:rsidR="00865E89" w:rsidRPr="00230731" w:rsidRDefault="00865E89" w:rsidP="00230731">
            <w:pPr>
              <w:pStyle w:val="TableHeading1"/>
            </w:pPr>
            <w:r>
              <w:t>Unit of measure</w:t>
            </w:r>
          </w:p>
        </w:tc>
        <w:tc>
          <w:tcPr>
            <w:tcW w:w="1276" w:type="dxa"/>
          </w:tcPr>
          <w:p w14:paraId="46187FC6" w14:textId="16FA76CE" w:rsidR="00865E89" w:rsidRDefault="000A1691" w:rsidP="00254C0B">
            <w:pPr>
              <w:pStyle w:val="TableHeading2centrealign"/>
            </w:pPr>
            <w:r>
              <w:t>2022/23</w:t>
            </w:r>
            <w:r w:rsidR="00865E89">
              <w:t xml:space="preserve"> actual</w:t>
            </w:r>
          </w:p>
        </w:tc>
        <w:tc>
          <w:tcPr>
            <w:tcW w:w="1276" w:type="dxa"/>
          </w:tcPr>
          <w:p w14:paraId="34EAA207" w14:textId="200DA79C" w:rsidR="00865E89" w:rsidRDefault="000A1691" w:rsidP="00254C0B">
            <w:pPr>
              <w:pStyle w:val="TableHeading2centrealign"/>
            </w:pPr>
            <w:r>
              <w:t>2022/23</w:t>
            </w:r>
            <w:r w:rsidR="00865E89">
              <w:t xml:space="preserve"> target</w:t>
            </w:r>
          </w:p>
        </w:tc>
        <w:tc>
          <w:tcPr>
            <w:tcW w:w="1559" w:type="dxa"/>
          </w:tcPr>
          <w:p w14:paraId="2856AAE1" w14:textId="520653D4" w:rsidR="00865E89" w:rsidRDefault="00700F5E" w:rsidP="003E18FD">
            <w:pPr>
              <w:pStyle w:val="TableHeading2centrealign"/>
            </w:pPr>
            <w:r>
              <w:t>V</w:t>
            </w:r>
            <w:r w:rsidR="00865E89" w:rsidDel="00645EC0">
              <w:t>ariation</w:t>
            </w:r>
            <w:r w:rsidR="00007478">
              <w:t xml:space="preserve"> </w:t>
            </w:r>
            <w:r w:rsidR="00B33682">
              <w:t>against target</w:t>
            </w:r>
            <w:r w:rsidR="000B5BBC">
              <w:t xml:space="preserve"> (%)</w:t>
            </w:r>
          </w:p>
        </w:tc>
        <w:tc>
          <w:tcPr>
            <w:tcW w:w="947" w:type="dxa"/>
          </w:tcPr>
          <w:p w14:paraId="1FE64664" w14:textId="77777777" w:rsidR="00865E89" w:rsidRDefault="00865E89" w:rsidP="00254C0B">
            <w:pPr>
              <w:pStyle w:val="TableHeading2centrealign"/>
            </w:pPr>
            <w:r>
              <w:t>Result</w:t>
            </w:r>
          </w:p>
        </w:tc>
      </w:tr>
      <w:tr w:rsidR="00865E89" w14:paraId="124C884A" w14:textId="77777777" w:rsidTr="1F751BE5">
        <w:trPr>
          <w:trHeight w:val="300"/>
        </w:trPr>
        <w:tc>
          <w:tcPr>
            <w:tcW w:w="2552" w:type="dxa"/>
          </w:tcPr>
          <w:p w14:paraId="5C63A352" w14:textId="77777777" w:rsidR="00865E89" w:rsidRPr="009D3814" w:rsidRDefault="00865E89">
            <w:pPr>
              <w:pStyle w:val="TableBodyText"/>
              <w:rPr>
                <w:rStyle w:val="Characteritalic"/>
              </w:rPr>
            </w:pPr>
            <w:r w:rsidRPr="009D3814">
              <w:rPr>
                <w:rStyle w:val="Characteritalic"/>
              </w:rPr>
              <w:t>Quantity</w:t>
            </w:r>
          </w:p>
        </w:tc>
        <w:tc>
          <w:tcPr>
            <w:tcW w:w="1417" w:type="dxa"/>
          </w:tcPr>
          <w:p w14:paraId="757D59CD" w14:textId="77777777" w:rsidR="00865E89" w:rsidRDefault="00865E89">
            <w:pPr>
              <w:pStyle w:val="TableBodyText"/>
            </w:pPr>
          </w:p>
        </w:tc>
        <w:tc>
          <w:tcPr>
            <w:tcW w:w="1276" w:type="dxa"/>
          </w:tcPr>
          <w:p w14:paraId="64EB0595" w14:textId="77777777" w:rsidR="00865E89" w:rsidRDefault="00865E89">
            <w:pPr>
              <w:pStyle w:val="TableBodyText"/>
            </w:pPr>
          </w:p>
        </w:tc>
        <w:tc>
          <w:tcPr>
            <w:tcW w:w="1276" w:type="dxa"/>
          </w:tcPr>
          <w:p w14:paraId="27420590" w14:textId="77777777" w:rsidR="00865E89" w:rsidRDefault="00865E89">
            <w:pPr>
              <w:pStyle w:val="TableBodyText"/>
            </w:pPr>
          </w:p>
        </w:tc>
        <w:tc>
          <w:tcPr>
            <w:tcW w:w="1559" w:type="dxa"/>
          </w:tcPr>
          <w:p w14:paraId="2ADC3663" w14:textId="77777777" w:rsidR="00865E89" w:rsidRDefault="00865E89">
            <w:pPr>
              <w:pStyle w:val="TableBodyText"/>
            </w:pPr>
          </w:p>
        </w:tc>
        <w:tc>
          <w:tcPr>
            <w:tcW w:w="947" w:type="dxa"/>
          </w:tcPr>
          <w:p w14:paraId="5D1F3BF8" w14:textId="77777777" w:rsidR="00865E89" w:rsidRDefault="00865E89">
            <w:pPr>
              <w:pStyle w:val="TableHeading1"/>
            </w:pPr>
          </w:p>
        </w:tc>
      </w:tr>
      <w:tr w:rsidR="00865E89" w:rsidRPr="00AA6925" w14:paraId="40A3BEF7" w14:textId="77777777" w:rsidTr="1F751BE5">
        <w:trPr>
          <w:trHeight w:val="300"/>
        </w:trPr>
        <w:tc>
          <w:tcPr>
            <w:tcW w:w="2552" w:type="dxa"/>
          </w:tcPr>
          <w:p w14:paraId="1D1547A4" w14:textId="77777777" w:rsidR="00865E89" w:rsidRDefault="00865E89">
            <w:pPr>
              <w:pStyle w:val="TableBodyText"/>
            </w:pPr>
            <w:r>
              <w:t>Corruption prevention initiatives delivered by IBAC</w:t>
            </w:r>
          </w:p>
        </w:tc>
        <w:tc>
          <w:tcPr>
            <w:tcW w:w="1417" w:type="dxa"/>
          </w:tcPr>
          <w:p w14:paraId="546A205D" w14:textId="77777777" w:rsidR="00865E89" w:rsidRPr="00127365" w:rsidRDefault="00865E89" w:rsidP="00230731">
            <w:pPr>
              <w:pStyle w:val="TableBodyText"/>
            </w:pPr>
            <w:r w:rsidRPr="00127365">
              <w:t>Number</w:t>
            </w:r>
          </w:p>
        </w:tc>
        <w:tc>
          <w:tcPr>
            <w:tcW w:w="1276" w:type="dxa"/>
          </w:tcPr>
          <w:p w14:paraId="06687C0F" w14:textId="77777777" w:rsidR="00865E89" w:rsidRPr="000604E4" w:rsidRDefault="00865E89" w:rsidP="00127365">
            <w:pPr>
              <w:pStyle w:val="TableBodyTextcentrealign"/>
            </w:pPr>
            <w:r w:rsidRPr="00B439FA">
              <w:t>157</w:t>
            </w:r>
          </w:p>
        </w:tc>
        <w:tc>
          <w:tcPr>
            <w:tcW w:w="1276" w:type="dxa"/>
          </w:tcPr>
          <w:p w14:paraId="716C10FB" w14:textId="77777777" w:rsidR="00865E89" w:rsidRPr="000604E4" w:rsidRDefault="00865E89" w:rsidP="00127365">
            <w:pPr>
              <w:pStyle w:val="TableBodyTextcentrealign"/>
            </w:pPr>
            <w:r w:rsidRPr="00B439FA">
              <w:t>115</w:t>
            </w:r>
          </w:p>
        </w:tc>
        <w:tc>
          <w:tcPr>
            <w:tcW w:w="1559" w:type="dxa"/>
          </w:tcPr>
          <w:p w14:paraId="59D45C9A" w14:textId="2D514A2D" w:rsidR="00865E89" w:rsidRPr="000604E4" w:rsidRDefault="00865E89" w:rsidP="00127365">
            <w:pPr>
              <w:pStyle w:val="TableBodyTextcentrealign"/>
            </w:pPr>
            <w:r w:rsidRPr="00B439FA" w:rsidDel="00574ED0">
              <w:t>37</w:t>
            </w:r>
          </w:p>
        </w:tc>
        <w:tc>
          <w:tcPr>
            <w:tcW w:w="947" w:type="dxa"/>
          </w:tcPr>
          <w:p w14:paraId="42F15DAE" w14:textId="77777777" w:rsidR="00865E89" w:rsidRPr="007E78B5" w:rsidRDefault="00865E89" w:rsidP="007E78B5">
            <w:pPr>
              <w:pStyle w:val="TableBodyTextcentrealign"/>
            </w:pPr>
            <w:r w:rsidRPr="007E78B5">
              <w:rPr>
                <w:rFonts w:ascii="Segoe UI Symbol" w:hAnsi="Segoe UI Symbol" w:cs="Segoe UI Symbol"/>
              </w:rPr>
              <w:t>✓</w:t>
            </w:r>
          </w:p>
        </w:tc>
      </w:tr>
      <w:tr w:rsidR="00865E89" w:rsidRPr="00AA6925" w14:paraId="4B344F12" w14:textId="77777777" w:rsidTr="1F751BE5">
        <w:trPr>
          <w:trHeight w:val="300"/>
        </w:trPr>
        <w:tc>
          <w:tcPr>
            <w:tcW w:w="9027" w:type="dxa"/>
            <w:gridSpan w:val="6"/>
          </w:tcPr>
          <w:p w14:paraId="64E1F301" w14:textId="0841405E" w:rsidR="00865E89" w:rsidRPr="00E323CF" w:rsidRDefault="00865E89">
            <w:pPr>
              <w:pStyle w:val="TableNote"/>
            </w:pPr>
            <w:r>
              <w:t>Underpinning the higher than anticipated result is an increased emphasis on producing prevention resources for the public sector and community, including short profiles and summaries, videos, podcasts and case studies</w:t>
            </w:r>
            <w:r w:rsidR="00273FBB">
              <w:t>,</w:t>
            </w:r>
            <w:r>
              <w:t xml:space="preserve"> and an increased number of speaking engagements and events, including an increased focus on engagement activities and events for non-public sector audiences.</w:t>
            </w:r>
          </w:p>
        </w:tc>
      </w:tr>
      <w:tr w:rsidR="00865E89" w:rsidRPr="00AA6925" w14:paraId="5EA0FD99" w14:textId="77777777" w:rsidTr="1F751BE5">
        <w:trPr>
          <w:trHeight w:val="300"/>
        </w:trPr>
        <w:tc>
          <w:tcPr>
            <w:tcW w:w="2552" w:type="dxa"/>
          </w:tcPr>
          <w:p w14:paraId="30CA39FC" w14:textId="77777777" w:rsidR="00865E89" w:rsidRPr="009D3814" w:rsidRDefault="00865E89">
            <w:pPr>
              <w:pStyle w:val="TableBodyText"/>
              <w:rPr>
                <w:rStyle w:val="Characteritalic"/>
              </w:rPr>
            </w:pPr>
            <w:r w:rsidRPr="009D3814">
              <w:rPr>
                <w:rStyle w:val="Characteritalic"/>
              </w:rPr>
              <w:t>Quality</w:t>
            </w:r>
          </w:p>
        </w:tc>
        <w:tc>
          <w:tcPr>
            <w:tcW w:w="1417" w:type="dxa"/>
          </w:tcPr>
          <w:p w14:paraId="591F4738" w14:textId="77777777" w:rsidR="00865E89" w:rsidRDefault="00865E89">
            <w:pPr>
              <w:pStyle w:val="TableHeading1"/>
            </w:pPr>
          </w:p>
        </w:tc>
        <w:tc>
          <w:tcPr>
            <w:tcW w:w="1276" w:type="dxa"/>
          </w:tcPr>
          <w:p w14:paraId="1FFC24E9" w14:textId="77777777" w:rsidR="00865E89" w:rsidRDefault="00865E89">
            <w:pPr>
              <w:pStyle w:val="TableHeading1"/>
            </w:pPr>
          </w:p>
        </w:tc>
        <w:tc>
          <w:tcPr>
            <w:tcW w:w="1276" w:type="dxa"/>
          </w:tcPr>
          <w:p w14:paraId="2720B1E6" w14:textId="77777777" w:rsidR="00865E89" w:rsidRDefault="00865E89">
            <w:pPr>
              <w:pStyle w:val="TableHeading1"/>
            </w:pPr>
          </w:p>
        </w:tc>
        <w:tc>
          <w:tcPr>
            <w:tcW w:w="1559" w:type="dxa"/>
          </w:tcPr>
          <w:p w14:paraId="2C558153" w14:textId="77777777" w:rsidR="00865E89" w:rsidRDefault="00865E89">
            <w:pPr>
              <w:pStyle w:val="TableHeading1"/>
            </w:pPr>
          </w:p>
        </w:tc>
        <w:tc>
          <w:tcPr>
            <w:tcW w:w="947" w:type="dxa"/>
          </w:tcPr>
          <w:p w14:paraId="674F0C8A" w14:textId="77777777" w:rsidR="00865E89" w:rsidRPr="00AA6925" w:rsidRDefault="00865E89">
            <w:pPr>
              <w:pStyle w:val="TableHeading1"/>
            </w:pPr>
          </w:p>
        </w:tc>
      </w:tr>
      <w:tr w:rsidR="00865E89" w:rsidRPr="00AA6925" w14:paraId="67EDBB88" w14:textId="77777777" w:rsidTr="1F751BE5">
        <w:trPr>
          <w:trHeight w:val="300"/>
        </w:trPr>
        <w:tc>
          <w:tcPr>
            <w:tcW w:w="2552" w:type="dxa"/>
          </w:tcPr>
          <w:p w14:paraId="612DACE6" w14:textId="77777777" w:rsidR="00865E89" w:rsidRPr="00306045" w:rsidRDefault="00865E89">
            <w:pPr>
              <w:pStyle w:val="TableBodyText"/>
            </w:pPr>
            <w:r>
              <w:t>Satisfaction with corruption prevention initiatives delivered by IBAC</w:t>
            </w:r>
          </w:p>
        </w:tc>
        <w:tc>
          <w:tcPr>
            <w:tcW w:w="1417" w:type="dxa"/>
          </w:tcPr>
          <w:p w14:paraId="304ED6FC" w14:textId="63A9B020" w:rsidR="00865E89" w:rsidRDefault="00230731" w:rsidP="00230731">
            <w:pPr>
              <w:pStyle w:val="TableBodyText"/>
            </w:pPr>
            <w:r>
              <w:t>P</w:t>
            </w:r>
            <w:r w:rsidR="00865E89">
              <w:t>er cent</w:t>
            </w:r>
          </w:p>
        </w:tc>
        <w:tc>
          <w:tcPr>
            <w:tcW w:w="1276" w:type="dxa"/>
          </w:tcPr>
          <w:p w14:paraId="5B9A5CCF" w14:textId="77777777" w:rsidR="00865E89" w:rsidRPr="000604E4" w:rsidRDefault="00865E89" w:rsidP="00127365">
            <w:pPr>
              <w:pStyle w:val="TableBodyTextcentrealign"/>
            </w:pPr>
            <w:r w:rsidRPr="00B439FA">
              <w:t>93</w:t>
            </w:r>
          </w:p>
        </w:tc>
        <w:tc>
          <w:tcPr>
            <w:tcW w:w="1276" w:type="dxa"/>
          </w:tcPr>
          <w:p w14:paraId="4BE7542E" w14:textId="77777777" w:rsidR="00865E89" w:rsidRPr="000604E4" w:rsidRDefault="00865E89" w:rsidP="00127365">
            <w:pPr>
              <w:pStyle w:val="TableBodyTextcentrealign"/>
            </w:pPr>
            <w:r w:rsidRPr="00B439FA">
              <w:t>95</w:t>
            </w:r>
          </w:p>
        </w:tc>
        <w:tc>
          <w:tcPr>
            <w:tcW w:w="1559" w:type="dxa"/>
          </w:tcPr>
          <w:p w14:paraId="04954088" w14:textId="39E89F44" w:rsidR="00865E89" w:rsidRPr="00B439FA" w:rsidRDefault="00865E89" w:rsidP="1F751BE5">
            <w:pPr>
              <w:pStyle w:val="TableBodyTextcentrealign"/>
            </w:pPr>
            <w:r w:rsidRPr="00B439FA">
              <w:t>-</w:t>
            </w:r>
            <w:r w:rsidR="002472DE" w:rsidRPr="00B439FA">
              <w:t>3</w:t>
            </w:r>
          </w:p>
        </w:tc>
        <w:tc>
          <w:tcPr>
            <w:tcW w:w="947" w:type="dxa"/>
          </w:tcPr>
          <w:p w14:paraId="6CD95062" w14:textId="4CF49CC0" w:rsidR="00865E89" w:rsidRPr="00AA6925" w:rsidRDefault="006B299D" w:rsidP="00127365">
            <w:pPr>
              <w:pStyle w:val="TableBodyTextcentrealign"/>
              <w:rPr>
                <w:rFonts w:ascii="Segoe UI Symbol" w:hAnsi="Segoe UI Symbol" w:cs="Segoe UI Symbol"/>
                <w:color w:val="000000" w:themeColor="text1"/>
              </w:rPr>
            </w:pPr>
            <w:r w:rsidRPr="00C1230C">
              <w:rPr>
                <w:lang w:eastAsia="en-US"/>
              </w:rPr>
              <w:t>○</w:t>
            </w:r>
          </w:p>
        </w:tc>
      </w:tr>
    </w:tbl>
    <w:p w14:paraId="4867C51E" w14:textId="5763BE21" w:rsidR="009037C1" w:rsidRDefault="009057FB" w:rsidP="009037C1">
      <w:pPr>
        <w:pStyle w:val="TableNote"/>
      </w:pPr>
      <w:r>
        <w:t>Note</w:t>
      </w:r>
    </w:p>
    <w:p w14:paraId="309BCACF" w14:textId="3271A64A" w:rsidR="009037C1" w:rsidRDefault="0053054D" w:rsidP="00435E98">
      <w:pPr>
        <w:pStyle w:val="TableNote"/>
      </w:pPr>
      <w:r>
        <w:t xml:space="preserve">Numbers are rounded. </w:t>
      </w:r>
      <w:r w:rsidR="009037C1" w:rsidRPr="009037C1">
        <w:t xml:space="preserve">The result was lower than the target due to the inclusion of community forums. From </w:t>
      </w:r>
      <w:r w:rsidR="000A1691">
        <w:t>2023/24</w:t>
      </w:r>
      <w:r w:rsidR="009037C1" w:rsidRPr="009037C1">
        <w:t>, IBAC will separate reporting on measures for public sector and non-public sector audiences.</w:t>
      </w:r>
      <w:r w:rsidR="002018CA">
        <w:t xml:space="preserve"> </w:t>
      </w:r>
    </w:p>
    <w:p w14:paraId="5F227440" w14:textId="24F5F4E6" w:rsidR="00865E89" w:rsidRPr="00F0250D" w:rsidRDefault="00865E89" w:rsidP="00865E89">
      <w:pPr>
        <w:pStyle w:val="BodyText"/>
      </w:pPr>
      <w:r>
        <w:t xml:space="preserve">During </w:t>
      </w:r>
      <w:r w:rsidR="000A1691">
        <w:t>2022/23</w:t>
      </w:r>
      <w:r>
        <w:t xml:space="preserve">, </w:t>
      </w:r>
      <w:r w:rsidR="005D0083">
        <w:t xml:space="preserve">we </w:t>
      </w:r>
      <w:r>
        <w:t xml:space="preserve">developed draft performance measures on the quality and impact of prevention and education initiatives. </w:t>
      </w:r>
    </w:p>
    <w:p w14:paraId="724E5C8E" w14:textId="6C845555" w:rsidR="001931A1" w:rsidRDefault="00865E89" w:rsidP="00865E89">
      <w:pPr>
        <w:pStyle w:val="BodyText"/>
      </w:pPr>
      <w:r>
        <w:t>Some of the new prevention and education measures will be implemented from 1 July 2023</w:t>
      </w:r>
      <w:r w:rsidR="0063781D">
        <w:t xml:space="preserve">. These </w:t>
      </w:r>
      <w:r w:rsidR="001931A1">
        <w:t xml:space="preserve">measures </w:t>
      </w:r>
      <w:r w:rsidR="0063781D">
        <w:t xml:space="preserve">include: </w:t>
      </w:r>
    </w:p>
    <w:p w14:paraId="40D5B79F" w14:textId="76418BDF" w:rsidR="001931A1" w:rsidRPr="00127365" w:rsidRDefault="00865E89" w:rsidP="00127365">
      <w:pPr>
        <w:pStyle w:val="ListBullet"/>
      </w:pPr>
      <w:r w:rsidRPr="00127365">
        <w:t>participant satisfaction by sector</w:t>
      </w:r>
    </w:p>
    <w:p w14:paraId="3503DE9B" w14:textId="00B3F258" w:rsidR="001931A1" w:rsidRPr="00127365" w:rsidRDefault="00865E89" w:rsidP="00127365">
      <w:pPr>
        <w:pStyle w:val="ListBullet"/>
      </w:pPr>
      <w:r w:rsidRPr="00127365">
        <w:t>intent to apply learnings</w:t>
      </w:r>
    </w:p>
    <w:p w14:paraId="47D297C9" w14:textId="72E7BF85" w:rsidR="00865E89" w:rsidRPr="00127365" w:rsidRDefault="00865E89" w:rsidP="00127365">
      <w:pPr>
        <w:pStyle w:val="ListBullet"/>
      </w:pPr>
      <w:r w:rsidRPr="00127365">
        <w:t xml:space="preserve">acceptance of </w:t>
      </w:r>
      <w:r w:rsidR="005D0083" w:rsidRPr="00127365">
        <w:t xml:space="preserve">our </w:t>
      </w:r>
      <w:r w:rsidRPr="00127365">
        <w:t>recommendations.</w:t>
      </w:r>
    </w:p>
    <w:p w14:paraId="7515E05E" w14:textId="3EC9C7F1" w:rsidR="00865E89" w:rsidRPr="00AC05A9" w:rsidRDefault="00442F12" w:rsidP="00AC05A9">
      <w:pPr>
        <w:pStyle w:val="BodyText"/>
      </w:pPr>
      <w:r>
        <w:t>W</w:t>
      </w:r>
      <w:r w:rsidR="00865E89" w:rsidRPr="00AC05A9">
        <w:t xml:space="preserve">e will complete the refresh of our performance measures </w:t>
      </w:r>
      <w:r w:rsidR="00263EB1">
        <w:t>i</w:t>
      </w:r>
      <w:r w:rsidR="00263EB1" w:rsidRPr="00AC05A9">
        <w:t xml:space="preserve">n </w:t>
      </w:r>
      <w:r w:rsidR="000A1691">
        <w:t>2023/24</w:t>
      </w:r>
      <w:r w:rsidR="00263EB1" w:rsidRPr="00AC05A9">
        <w:t xml:space="preserve">, </w:t>
      </w:r>
      <w:r w:rsidR="00865E89" w:rsidRPr="00AC05A9">
        <w:t xml:space="preserve">to better demonstrate our impact and core service performance. This will include establishing measures on public trust in </w:t>
      </w:r>
      <w:r w:rsidR="005D0083">
        <w:t>our</w:t>
      </w:r>
      <w:r w:rsidR="005D0083" w:rsidRPr="00AC05A9">
        <w:t xml:space="preserve"> </w:t>
      </w:r>
      <w:r w:rsidR="00865E89" w:rsidRPr="00AC05A9">
        <w:t>role</w:t>
      </w:r>
      <w:r w:rsidR="005D0083">
        <w:t>,</w:t>
      </w:r>
      <w:r w:rsidR="00865E89" w:rsidRPr="00AC05A9">
        <w:t xml:space="preserve"> and the accessibility and fairness of our services.</w:t>
      </w:r>
    </w:p>
    <w:p w14:paraId="10704740" w14:textId="5A77EE0B" w:rsidR="00545B11" w:rsidRPr="007D7B57" w:rsidRDefault="00865E89" w:rsidP="00435E98">
      <w:pPr>
        <w:pStyle w:val="BodyText"/>
        <w:rPr>
          <w:lang w:eastAsia="en-AU"/>
        </w:rPr>
      </w:pPr>
      <w:r>
        <w:t xml:space="preserve">In </w:t>
      </w:r>
      <w:r w:rsidR="000A1691">
        <w:t>2022/23</w:t>
      </w:r>
      <w:r>
        <w:t xml:space="preserve">, </w:t>
      </w:r>
      <w:r w:rsidR="009114BF">
        <w:t xml:space="preserve">we </w:t>
      </w:r>
      <w:r>
        <w:t xml:space="preserve">also commenced a project to develop an organisational integrity maturity rating system to provide public sector agencies with a consistent way to understand how mature their integrity practices are and where they can be strengthened. </w:t>
      </w:r>
      <w:r w:rsidR="00AC1ACD">
        <w:t xml:space="preserve">The information will inform </w:t>
      </w:r>
      <w:r w:rsidR="00352325">
        <w:t>our</w:t>
      </w:r>
      <w:r>
        <w:t xml:space="preserve"> prevention and education support to agencies. This project is part of </w:t>
      </w:r>
      <w:r w:rsidR="007C4DCE">
        <w:t xml:space="preserve">our </w:t>
      </w:r>
      <w:r w:rsidR="00127365" w:rsidRPr="00127365">
        <w:t>Corruption Prevention Strategy.</w:t>
      </w:r>
    </w:p>
    <w:p w14:paraId="3AC9DBF9" w14:textId="77777777" w:rsidR="00922665" w:rsidRPr="007211D6" w:rsidRDefault="00922665" w:rsidP="007211D6">
      <w:pPr>
        <w:pStyle w:val="BodyText"/>
      </w:pPr>
      <w:bookmarkStart w:id="41" w:name="_Toc133920499"/>
      <w:r>
        <w:br w:type="page"/>
      </w:r>
    </w:p>
    <w:p w14:paraId="16D610E4" w14:textId="398EEA93" w:rsidR="001327CE" w:rsidRPr="002F6765" w:rsidRDefault="001327CE">
      <w:pPr>
        <w:pStyle w:val="Heading2"/>
      </w:pPr>
      <w:bookmarkStart w:id="42" w:name="_Toc149131680"/>
      <w:bookmarkStart w:id="43" w:name="_Ref149136587"/>
      <w:bookmarkStart w:id="44" w:name="_Ref149165425"/>
      <w:r w:rsidRPr="002F6765">
        <w:t xml:space="preserve">Financial </w:t>
      </w:r>
      <w:r w:rsidR="003942FF" w:rsidRPr="005C26A2">
        <w:t>overview</w:t>
      </w:r>
      <w:bookmarkEnd w:id="38"/>
      <w:bookmarkEnd w:id="41"/>
      <w:bookmarkEnd w:id="42"/>
      <w:bookmarkEnd w:id="43"/>
      <w:bookmarkEnd w:id="44"/>
    </w:p>
    <w:p w14:paraId="5EC07C55" w14:textId="7F10163E" w:rsidR="00492AC2" w:rsidRDefault="00492AC2" w:rsidP="00492AC2">
      <w:pPr>
        <w:pStyle w:val="BodyText"/>
      </w:pPr>
      <w:r>
        <w:t>During the 2022/23</w:t>
      </w:r>
      <w:r w:rsidR="003C5C06">
        <w:t xml:space="preserve"> financial year</w:t>
      </w:r>
      <w:r>
        <w:t>, IBAC’s confirmed funding was $63.5 million. This included $54.9</w:t>
      </w:r>
      <w:r w:rsidR="003C5C06">
        <w:t xml:space="preserve"> </w:t>
      </w:r>
      <w:r>
        <w:t>m</w:t>
      </w:r>
      <w:r w:rsidR="003C5C06">
        <w:t>illion</w:t>
      </w:r>
      <w:r>
        <w:t xml:space="preserve"> in output appropriation including (ERC funded fixed term funding) and $8.6</w:t>
      </w:r>
      <w:r w:rsidR="00D039D5">
        <w:t xml:space="preserve"> </w:t>
      </w:r>
      <w:r>
        <w:t>m</w:t>
      </w:r>
      <w:r w:rsidR="00D039D5">
        <w:t>illion</w:t>
      </w:r>
      <w:r>
        <w:t xml:space="preserve"> in the Treasurer’s </w:t>
      </w:r>
      <w:r w:rsidR="003C5C06">
        <w:t>A</w:t>
      </w:r>
      <w:r>
        <w:t xml:space="preserve">dvance. Of the total confirmed funding, IBAC requested and was approved </w:t>
      </w:r>
      <w:r w:rsidR="001B72FD">
        <w:t>under</w:t>
      </w:r>
      <w:r>
        <w:t xml:space="preserve"> </w:t>
      </w:r>
      <w:r w:rsidR="001B72FD">
        <w:t>s</w:t>
      </w:r>
      <w:r>
        <w:t xml:space="preserve">ection 30 of the </w:t>
      </w:r>
      <w:r w:rsidR="00E2005C">
        <w:t>FM</w:t>
      </w:r>
      <w:r>
        <w:t xml:space="preserve"> Act </w:t>
      </w:r>
      <w:r w:rsidR="001B72FD">
        <w:t xml:space="preserve">a </w:t>
      </w:r>
      <w:r>
        <w:t>transfer of $0.6</w:t>
      </w:r>
      <w:r w:rsidR="00D039D5">
        <w:t xml:space="preserve"> </w:t>
      </w:r>
      <w:r>
        <w:t>m</w:t>
      </w:r>
      <w:r w:rsidR="00D039D5">
        <w:t>illion</w:t>
      </w:r>
      <w:r>
        <w:t xml:space="preserve"> from operating to capital funding for the delivery of a capital project over two financial years.</w:t>
      </w:r>
    </w:p>
    <w:p w14:paraId="1DB4774D" w14:textId="2694D84E" w:rsidR="00F568B4" w:rsidRPr="00A70F4B" w:rsidRDefault="00492AC2" w:rsidP="00A70F4B">
      <w:pPr>
        <w:pStyle w:val="BodyText"/>
      </w:pPr>
      <w:r>
        <w:t>IBAC was not able to fully utilise the available funding, resulting in an underspend of $3.8</w:t>
      </w:r>
      <w:r w:rsidR="00D039D5">
        <w:t xml:space="preserve"> </w:t>
      </w:r>
      <w:r>
        <w:t>m</w:t>
      </w:r>
      <w:r w:rsidR="00D039D5">
        <w:t>illion</w:t>
      </w:r>
      <w:r>
        <w:t xml:space="preserve"> compared to the confirmed funding. The key reasons for not being able to use the full funding include </w:t>
      </w:r>
      <w:r w:rsidR="001B72FD">
        <w:t xml:space="preserve">a </w:t>
      </w:r>
      <w:r>
        <w:t xml:space="preserve">delay </w:t>
      </w:r>
      <w:r w:rsidR="00D60106">
        <w:t xml:space="preserve">to </w:t>
      </w:r>
      <w:r>
        <w:t xml:space="preserve">the start of the recruitment process due to </w:t>
      </w:r>
      <w:r w:rsidR="00D60106">
        <w:t xml:space="preserve">the </w:t>
      </w:r>
      <w:r>
        <w:t>timing of the T</w:t>
      </w:r>
      <w:r w:rsidR="00D039D5">
        <w:t xml:space="preserve">reasurer’s </w:t>
      </w:r>
      <w:r>
        <w:t>A</w:t>
      </w:r>
      <w:r w:rsidR="00D039D5">
        <w:t>dvance</w:t>
      </w:r>
      <w:r>
        <w:t xml:space="preserve"> funding release, </w:t>
      </w:r>
      <w:r w:rsidR="00D60106">
        <w:t xml:space="preserve">a </w:t>
      </w:r>
      <w:r>
        <w:t xml:space="preserve">shortage of skilled specialist professionals due to </w:t>
      </w:r>
      <w:r w:rsidR="00D60106">
        <w:t xml:space="preserve">the </w:t>
      </w:r>
      <w:r>
        <w:t xml:space="preserve">tight labour market and </w:t>
      </w:r>
      <w:r w:rsidR="00D60106">
        <w:t xml:space="preserve">disruptions to </w:t>
      </w:r>
      <w:r>
        <w:t>global supply chain</w:t>
      </w:r>
      <w:r w:rsidR="00D60106">
        <w:t>s</w:t>
      </w:r>
      <w:r>
        <w:t>. Recruitment for IBAC specialist roles is always challenging</w:t>
      </w:r>
      <w:r w:rsidR="00D60106">
        <w:t>,</w:t>
      </w:r>
      <w:r>
        <w:t xml:space="preserve"> </w:t>
      </w:r>
      <w:r w:rsidR="00D60106">
        <w:t xml:space="preserve">and </w:t>
      </w:r>
      <w:r w:rsidR="006A0E7A">
        <w:t xml:space="preserve">is </w:t>
      </w:r>
      <w:r>
        <w:t>further exacerbated by the tight labour market.</w:t>
      </w:r>
    </w:p>
    <w:p w14:paraId="4F9E619D" w14:textId="5F01A922" w:rsidR="00172CA2" w:rsidRPr="008E366C" w:rsidRDefault="00172CA2" w:rsidP="008E366C">
      <w:pPr>
        <w:pStyle w:val="Heading3"/>
      </w:pPr>
      <w:bookmarkStart w:id="45" w:name="_Toc149131681"/>
      <w:r w:rsidRPr="72087732">
        <w:t>Direct costs attributable to machinery of government changes</w:t>
      </w:r>
      <w:bookmarkEnd w:id="45"/>
    </w:p>
    <w:p w14:paraId="504C40E0" w14:textId="1A19FC12" w:rsidR="00172CA2" w:rsidRPr="007E78B5" w:rsidRDefault="00172CA2" w:rsidP="00AC05A9">
      <w:pPr>
        <w:pStyle w:val="BodyText"/>
      </w:pPr>
      <w:r>
        <w:t>There were no direct costs attributable to machinery of government changes.</w:t>
      </w:r>
      <w:r w:rsidRPr="007E78B5">
        <w:t xml:space="preserve"> </w:t>
      </w:r>
    </w:p>
    <w:p w14:paraId="2F51796C" w14:textId="50D3277A" w:rsidR="00F568B4" w:rsidRDefault="00F568B4">
      <w:pPr>
        <w:pStyle w:val="Heading3"/>
      </w:pPr>
      <w:bookmarkStart w:id="46" w:name="_Toc149131682"/>
      <w:bookmarkStart w:id="47" w:name="_Ref149136593"/>
      <w:r>
        <w:t>Financial performance</w:t>
      </w:r>
      <w:bookmarkEnd w:id="46"/>
      <w:bookmarkEnd w:id="47"/>
    </w:p>
    <w:p w14:paraId="0DF87A29" w14:textId="51273AFE" w:rsidR="00465A9C" w:rsidRDefault="00465A9C" w:rsidP="00465A9C">
      <w:pPr>
        <w:pStyle w:val="BodyText"/>
      </w:pPr>
      <w:r>
        <w:t>Net result from transactions, one of the key financial performance indicators for the reporting year</w:t>
      </w:r>
      <w:r w:rsidR="00D039D5">
        <w:t>,</w:t>
      </w:r>
      <w:r>
        <w:t xml:space="preserve"> was $0</w:t>
      </w:r>
      <w:r w:rsidR="00D039D5">
        <w:t xml:space="preserve"> </w:t>
      </w:r>
      <w:r>
        <w:t>m</w:t>
      </w:r>
      <w:r w:rsidR="00D039D5">
        <w:t>illion</w:t>
      </w:r>
      <w:r>
        <w:t xml:space="preserve"> compared to a $3.5</w:t>
      </w:r>
      <w:r w:rsidR="00D039D5">
        <w:t xml:space="preserve"> </w:t>
      </w:r>
      <w:r>
        <w:t>m</w:t>
      </w:r>
      <w:r w:rsidR="00D039D5">
        <w:t>illion</w:t>
      </w:r>
      <w:r>
        <w:t xml:space="preserve"> deficit in 2021/22. The 2021/22 deficit resulted from </w:t>
      </w:r>
      <w:r w:rsidR="00D60106">
        <w:t xml:space="preserve">the </w:t>
      </w:r>
      <w:r>
        <w:t xml:space="preserve">use of trust funds for which the income was recognised in previous years. </w:t>
      </w:r>
    </w:p>
    <w:p w14:paraId="10732DD2" w14:textId="2526C0D6" w:rsidR="00465A9C" w:rsidRDefault="00465A9C" w:rsidP="00465A9C">
      <w:pPr>
        <w:pStyle w:val="BodyText"/>
      </w:pPr>
      <w:r>
        <w:t>The 2022/23 comprehensive result, a deficit of $0.2</w:t>
      </w:r>
      <w:r w:rsidR="00D039D5">
        <w:t xml:space="preserve"> </w:t>
      </w:r>
      <w:r>
        <w:t>m</w:t>
      </w:r>
      <w:r w:rsidR="00D039D5">
        <w:t>illion</w:t>
      </w:r>
      <w:r w:rsidR="00D60106">
        <w:t>,</w:t>
      </w:r>
      <w:r>
        <w:t xml:space="preserve"> includes gains/(losses) from other economic flows</w:t>
      </w:r>
      <w:r w:rsidR="00D60106">
        <w:t>,</w:t>
      </w:r>
      <w:r>
        <w:t xml:space="preserve"> </w:t>
      </w:r>
      <w:r w:rsidR="00D60106">
        <w:t>such as</w:t>
      </w:r>
      <w:r>
        <w:t xml:space="preserve"> the disposal of assets and the revaluation of leave liabilities due to changes in discount rates and market assumptions. Such gains and losses are outside the control of IBAC. </w:t>
      </w:r>
    </w:p>
    <w:p w14:paraId="591966BF" w14:textId="565AE503" w:rsidR="00F568B4" w:rsidRPr="006A7D0E" w:rsidRDefault="00F568B4" w:rsidP="00465A9C">
      <w:pPr>
        <w:pStyle w:val="BodyText"/>
      </w:pPr>
      <w:r w:rsidRPr="006A7D0E">
        <w:t xml:space="preserve">A summary of IBAC’s performance is </w:t>
      </w:r>
      <w:r w:rsidR="00D60106">
        <w:t>provided</w:t>
      </w:r>
      <w:r w:rsidR="00D60106" w:rsidRPr="006A7D0E">
        <w:t xml:space="preserve"> </w:t>
      </w:r>
      <w:r w:rsidRPr="006A7D0E">
        <w:t xml:space="preserve">in </w:t>
      </w:r>
      <w:r w:rsidRPr="006A7D0E">
        <w:fldChar w:fldCharType="begin"/>
      </w:r>
      <w:r w:rsidRPr="006A7D0E">
        <w:instrText xml:space="preserve"> REF _Ref81490299 \h  \* MERGEFORMAT </w:instrText>
      </w:r>
      <w:r w:rsidRPr="006A7D0E">
        <w:fldChar w:fldCharType="separate"/>
      </w:r>
      <w:r w:rsidR="002472DE">
        <w:t>Table 6</w:t>
      </w:r>
      <w:r w:rsidRPr="006A7D0E">
        <w:fldChar w:fldCharType="end"/>
      </w:r>
      <w:r w:rsidRPr="006A7D0E">
        <w:t xml:space="preserve"> and shows the movement in actual </w:t>
      </w:r>
      <w:r w:rsidR="00785940">
        <w:t>income</w:t>
      </w:r>
      <w:r w:rsidRPr="006A7D0E">
        <w:t>, expenses, balance sheet items and net cash flow.</w:t>
      </w:r>
    </w:p>
    <w:p w14:paraId="3E87807C" w14:textId="4FABD9CB" w:rsidR="00F568B4" w:rsidRDefault="00F568B4" w:rsidP="00834775">
      <w:pPr>
        <w:pStyle w:val="Caption"/>
      </w:pPr>
      <w:bookmarkStart w:id="48" w:name="_Ref81490299"/>
      <w:bookmarkStart w:id="49" w:name="_Ref149164236"/>
      <w:r>
        <w:t xml:space="preserve">Table </w:t>
      </w:r>
      <w:r>
        <w:fldChar w:fldCharType="begin"/>
      </w:r>
      <w:r>
        <w:instrText xml:space="preserve"> SEQ Table \* ARABIC </w:instrText>
      </w:r>
      <w:r>
        <w:fldChar w:fldCharType="separate"/>
      </w:r>
      <w:r w:rsidR="00EF6E7F">
        <w:rPr>
          <w:noProof/>
        </w:rPr>
        <w:t>6</w:t>
      </w:r>
      <w:r>
        <w:rPr>
          <w:noProof/>
        </w:rPr>
        <w:fldChar w:fldCharType="end"/>
      </w:r>
      <w:bookmarkEnd w:id="48"/>
      <w:r>
        <w:t xml:space="preserve">: Financial summary </w:t>
      </w:r>
      <w:r w:rsidR="000A1691">
        <w:t>2022/23</w:t>
      </w:r>
      <w:bookmarkEnd w:id="49"/>
    </w:p>
    <w:tbl>
      <w:tblPr>
        <w:tblStyle w:val="CustomTablestandard"/>
        <w:tblW w:w="5000" w:type="pct"/>
        <w:tblLook w:val="04A0" w:firstRow="1" w:lastRow="0" w:firstColumn="1" w:lastColumn="0" w:noHBand="0" w:noVBand="1"/>
      </w:tblPr>
      <w:tblGrid>
        <w:gridCol w:w="3355"/>
        <w:gridCol w:w="2836"/>
        <w:gridCol w:w="2836"/>
      </w:tblGrid>
      <w:tr w:rsidR="00B77A54" w:rsidRPr="008F51F7" w14:paraId="7BD4B7CE" w14:textId="77777777" w:rsidTr="008C6365">
        <w:trPr>
          <w:cnfStyle w:val="100000000000" w:firstRow="1" w:lastRow="0" w:firstColumn="0" w:lastColumn="0" w:oddVBand="0" w:evenVBand="0" w:oddHBand="0" w:evenHBand="0" w:firstRowFirstColumn="0" w:firstRowLastColumn="0" w:lastRowFirstColumn="0" w:lastRowLastColumn="0"/>
        </w:trPr>
        <w:tc>
          <w:tcPr>
            <w:tcW w:w="0" w:type="pct"/>
            <w:tcBorders>
              <w:top w:val="single" w:sz="4" w:space="0" w:color="auto"/>
              <w:left w:val="nil"/>
              <w:bottom w:val="single" w:sz="4" w:space="0" w:color="auto"/>
            </w:tcBorders>
            <w:shd w:val="clear" w:color="auto" w:fill="D9D9D9" w:themeFill="background1" w:themeFillShade="D9"/>
            <w:hideMark/>
          </w:tcPr>
          <w:p w14:paraId="34740B3C" w14:textId="77777777" w:rsidR="00F568B4" w:rsidRPr="008F51F7" w:rsidRDefault="00F568B4" w:rsidP="008F51F7">
            <w:pPr>
              <w:pStyle w:val="TableHeading1"/>
            </w:pPr>
            <w:r w:rsidRPr="008F51F7">
              <w:t>Financial performance</w:t>
            </w:r>
          </w:p>
        </w:tc>
        <w:tc>
          <w:tcPr>
            <w:tcW w:w="0" w:type="pct"/>
            <w:tcBorders>
              <w:top w:val="single" w:sz="4" w:space="0" w:color="auto"/>
              <w:bottom w:val="single" w:sz="4" w:space="0" w:color="auto"/>
            </w:tcBorders>
            <w:shd w:val="clear" w:color="auto" w:fill="D9D9D9" w:themeFill="background1" w:themeFillShade="D9"/>
          </w:tcPr>
          <w:p w14:paraId="6286A0BF" w14:textId="1D4B8F26" w:rsidR="00222195" w:rsidRDefault="00222195" w:rsidP="00222195">
            <w:pPr>
              <w:pStyle w:val="TableHeading3rightalign"/>
            </w:pPr>
            <w:r>
              <w:t>2022</w:t>
            </w:r>
            <w:r w:rsidR="00D039D5">
              <w:t>/</w:t>
            </w:r>
            <w:r>
              <w:t xml:space="preserve">23 </w:t>
            </w:r>
          </w:p>
          <w:p w14:paraId="62DFD968" w14:textId="61D1ACB5" w:rsidR="00F568B4" w:rsidRPr="008F51F7" w:rsidRDefault="00222195" w:rsidP="0000316D">
            <w:pPr>
              <w:pStyle w:val="TableHeading3rightalign"/>
            </w:pPr>
            <w:r>
              <w:t>($m)</w:t>
            </w:r>
          </w:p>
        </w:tc>
        <w:tc>
          <w:tcPr>
            <w:tcW w:w="0" w:type="pct"/>
            <w:tcBorders>
              <w:top w:val="single" w:sz="4" w:space="0" w:color="auto"/>
              <w:bottom w:val="single" w:sz="4" w:space="0" w:color="auto"/>
              <w:right w:val="nil"/>
            </w:tcBorders>
            <w:shd w:val="clear" w:color="auto" w:fill="D9D9D9" w:themeFill="background1" w:themeFillShade="D9"/>
          </w:tcPr>
          <w:p w14:paraId="474D88A7" w14:textId="4400617D" w:rsidR="00222195" w:rsidRDefault="00222195" w:rsidP="00222195">
            <w:pPr>
              <w:pStyle w:val="TableHeading3rightalign"/>
            </w:pPr>
            <w:r>
              <w:t>2021</w:t>
            </w:r>
            <w:r w:rsidR="00D039D5">
              <w:t>/</w:t>
            </w:r>
            <w:r>
              <w:t>22</w:t>
            </w:r>
          </w:p>
          <w:p w14:paraId="40A4581A" w14:textId="0480594C" w:rsidR="00F568B4" w:rsidRPr="008F51F7" w:rsidRDefault="00222195" w:rsidP="0000316D">
            <w:pPr>
              <w:pStyle w:val="TableHeading3rightalign"/>
            </w:pPr>
            <w:r>
              <w:t>($m)</w:t>
            </w:r>
          </w:p>
        </w:tc>
      </w:tr>
      <w:tr w:rsidR="006B000D" w14:paraId="51089DC5" w14:textId="77777777" w:rsidTr="0000316D">
        <w:tc>
          <w:tcPr>
            <w:tcW w:w="1858" w:type="pct"/>
            <w:tcBorders>
              <w:top w:val="single" w:sz="4" w:space="0" w:color="auto"/>
              <w:left w:val="nil"/>
              <w:bottom w:val="single" w:sz="4" w:space="0" w:color="auto"/>
              <w:right w:val="nil"/>
            </w:tcBorders>
            <w:hideMark/>
          </w:tcPr>
          <w:p w14:paraId="2A9C5C4A" w14:textId="77777777" w:rsidR="006B000D" w:rsidRDefault="006B000D" w:rsidP="006B000D">
            <w:pPr>
              <w:pStyle w:val="TableBodyText"/>
              <w:rPr>
                <w:lang w:eastAsia="en-US"/>
              </w:rPr>
            </w:pPr>
            <w:r>
              <w:rPr>
                <w:lang w:eastAsia="en-US"/>
              </w:rPr>
              <w:t>Total income</w:t>
            </w:r>
          </w:p>
        </w:tc>
        <w:tc>
          <w:tcPr>
            <w:tcW w:w="1571" w:type="pct"/>
            <w:tcBorders>
              <w:top w:val="single" w:sz="4" w:space="0" w:color="auto"/>
              <w:left w:val="nil"/>
              <w:bottom w:val="single" w:sz="4" w:space="0" w:color="auto"/>
              <w:right w:val="nil"/>
            </w:tcBorders>
            <w:shd w:val="clear" w:color="auto" w:fill="F2F2F2" w:themeFill="background1" w:themeFillShade="F2"/>
            <w:hideMark/>
          </w:tcPr>
          <w:p w14:paraId="4B8D3F80" w14:textId="6A239465" w:rsidR="006B000D" w:rsidRPr="006E724D" w:rsidRDefault="00465A9C" w:rsidP="006E724D">
            <w:pPr>
              <w:pStyle w:val="TableBodyTextrightalign"/>
              <w:rPr>
                <w:rStyle w:val="PlaceholderText"/>
                <w:color w:val="auto"/>
              </w:rPr>
            </w:pPr>
            <w:r w:rsidRPr="006E724D">
              <w:t>59.0</w:t>
            </w:r>
          </w:p>
        </w:tc>
        <w:tc>
          <w:tcPr>
            <w:tcW w:w="1571" w:type="pct"/>
            <w:tcBorders>
              <w:top w:val="single" w:sz="4" w:space="0" w:color="auto"/>
              <w:left w:val="nil"/>
              <w:bottom w:val="single" w:sz="4" w:space="0" w:color="auto"/>
              <w:right w:val="nil"/>
            </w:tcBorders>
            <w:hideMark/>
          </w:tcPr>
          <w:p w14:paraId="04C9E952" w14:textId="568C3F9F" w:rsidR="006B000D" w:rsidRDefault="006B000D" w:rsidP="006B000D">
            <w:pPr>
              <w:pStyle w:val="TableBodyTextrightalign"/>
            </w:pPr>
            <w:r>
              <w:rPr>
                <w:lang w:eastAsia="en-US"/>
              </w:rPr>
              <w:t>53.6</w:t>
            </w:r>
          </w:p>
        </w:tc>
      </w:tr>
      <w:tr w:rsidR="006B000D" w14:paraId="7E77AA12" w14:textId="77777777" w:rsidTr="0000316D">
        <w:tc>
          <w:tcPr>
            <w:tcW w:w="1858" w:type="pct"/>
            <w:tcBorders>
              <w:top w:val="single" w:sz="4" w:space="0" w:color="auto"/>
              <w:left w:val="nil"/>
              <w:bottom w:val="single" w:sz="4" w:space="0" w:color="auto"/>
              <w:right w:val="nil"/>
            </w:tcBorders>
            <w:hideMark/>
          </w:tcPr>
          <w:p w14:paraId="52996422" w14:textId="77777777" w:rsidR="006B000D" w:rsidRDefault="006B000D" w:rsidP="006B000D">
            <w:pPr>
              <w:pStyle w:val="TableBodyText"/>
              <w:rPr>
                <w:lang w:eastAsia="en-US"/>
              </w:rPr>
            </w:pPr>
            <w:r>
              <w:rPr>
                <w:lang w:eastAsia="en-US"/>
              </w:rPr>
              <w:t>Total expenditure</w:t>
            </w:r>
          </w:p>
        </w:tc>
        <w:tc>
          <w:tcPr>
            <w:tcW w:w="1571" w:type="pct"/>
            <w:tcBorders>
              <w:top w:val="single" w:sz="4" w:space="0" w:color="auto"/>
              <w:left w:val="nil"/>
              <w:bottom w:val="single" w:sz="4" w:space="0" w:color="auto"/>
              <w:right w:val="nil"/>
            </w:tcBorders>
            <w:shd w:val="clear" w:color="auto" w:fill="F2F2F2" w:themeFill="background1" w:themeFillShade="F2"/>
            <w:hideMark/>
          </w:tcPr>
          <w:p w14:paraId="61A356D3" w14:textId="3B67BF84" w:rsidR="006B000D" w:rsidRPr="006E724D" w:rsidRDefault="00465A9C" w:rsidP="006E724D">
            <w:pPr>
              <w:pStyle w:val="TableBodyTextrightalign"/>
              <w:rPr>
                <w:rStyle w:val="PlaceholderText"/>
                <w:color w:val="auto"/>
              </w:rPr>
            </w:pPr>
            <w:r w:rsidRPr="006E724D">
              <w:t>59.0</w:t>
            </w:r>
          </w:p>
        </w:tc>
        <w:tc>
          <w:tcPr>
            <w:tcW w:w="1571" w:type="pct"/>
            <w:tcBorders>
              <w:top w:val="single" w:sz="4" w:space="0" w:color="auto"/>
              <w:left w:val="nil"/>
              <w:bottom w:val="single" w:sz="4" w:space="0" w:color="auto"/>
              <w:right w:val="nil"/>
            </w:tcBorders>
            <w:hideMark/>
          </w:tcPr>
          <w:p w14:paraId="5246BAC3" w14:textId="6B37D96C" w:rsidR="006B000D" w:rsidRDefault="006B000D" w:rsidP="006B000D">
            <w:pPr>
              <w:pStyle w:val="TableBodyTextrightalign"/>
            </w:pPr>
            <w:r>
              <w:rPr>
                <w:lang w:eastAsia="en-US"/>
              </w:rPr>
              <w:t>57.1</w:t>
            </w:r>
          </w:p>
        </w:tc>
      </w:tr>
      <w:tr w:rsidR="006B000D" w14:paraId="79CD2919" w14:textId="77777777" w:rsidTr="0000316D">
        <w:tc>
          <w:tcPr>
            <w:tcW w:w="1858" w:type="pct"/>
            <w:tcBorders>
              <w:top w:val="single" w:sz="4" w:space="0" w:color="auto"/>
              <w:left w:val="nil"/>
              <w:bottom w:val="single" w:sz="4" w:space="0" w:color="auto"/>
              <w:right w:val="nil"/>
            </w:tcBorders>
            <w:hideMark/>
          </w:tcPr>
          <w:p w14:paraId="4FC46F92" w14:textId="77777777" w:rsidR="006B000D" w:rsidRDefault="006B000D" w:rsidP="006B000D">
            <w:pPr>
              <w:pStyle w:val="TableBodyText"/>
              <w:rPr>
                <w:lang w:eastAsia="en-US"/>
              </w:rPr>
            </w:pPr>
            <w:r>
              <w:rPr>
                <w:lang w:eastAsia="en-US"/>
              </w:rPr>
              <w:t>Net result from transactions</w:t>
            </w:r>
          </w:p>
        </w:tc>
        <w:tc>
          <w:tcPr>
            <w:tcW w:w="1571" w:type="pct"/>
            <w:tcBorders>
              <w:top w:val="single" w:sz="4" w:space="0" w:color="auto"/>
              <w:left w:val="nil"/>
              <w:bottom w:val="single" w:sz="4" w:space="0" w:color="auto"/>
              <w:right w:val="nil"/>
            </w:tcBorders>
            <w:shd w:val="clear" w:color="auto" w:fill="F2F2F2" w:themeFill="background1" w:themeFillShade="F2"/>
            <w:hideMark/>
          </w:tcPr>
          <w:p w14:paraId="3DF917C5" w14:textId="54A4F22C" w:rsidR="006B000D" w:rsidRPr="006E724D" w:rsidRDefault="00D039D5" w:rsidP="006E724D">
            <w:pPr>
              <w:pStyle w:val="TableBodyTextrightalign"/>
              <w:rPr>
                <w:rStyle w:val="PlaceholderText"/>
                <w:color w:val="auto"/>
              </w:rPr>
            </w:pPr>
            <w:r>
              <w:t>–</w:t>
            </w:r>
          </w:p>
        </w:tc>
        <w:tc>
          <w:tcPr>
            <w:tcW w:w="1571" w:type="pct"/>
            <w:tcBorders>
              <w:top w:val="single" w:sz="4" w:space="0" w:color="auto"/>
              <w:left w:val="nil"/>
              <w:bottom w:val="single" w:sz="4" w:space="0" w:color="auto"/>
              <w:right w:val="nil"/>
            </w:tcBorders>
            <w:hideMark/>
          </w:tcPr>
          <w:p w14:paraId="1811B158" w14:textId="1847AAE4" w:rsidR="006B000D" w:rsidRDefault="006B000D" w:rsidP="006B000D">
            <w:pPr>
              <w:pStyle w:val="TableBodyTextrightalign"/>
            </w:pPr>
            <w:r>
              <w:rPr>
                <w:lang w:eastAsia="en-US"/>
              </w:rPr>
              <w:t>(3.5)</w:t>
            </w:r>
          </w:p>
        </w:tc>
      </w:tr>
      <w:tr w:rsidR="006B000D" w14:paraId="0D04479C" w14:textId="77777777" w:rsidTr="0000316D">
        <w:tc>
          <w:tcPr>
            <w:tcW w:w="1858" w:type="pct"/>
            <w:tcBorders>
              <w:top w:val="single" w:sz="4" w:space="0" w:color="auto"/>
              <w:left w:val="nil"/>
              <w:bottom w:val="single" w:sz="4" w:space="0" w:color="auto"/>
              <w:right w:val="nil"/>
            </w:tcBorders>
            <w:hideMark/>
          </w:tcPr>
          <w:p w14:paraId="4EAEA3C2" w14:textId="77777777" w:rsidR="006B000D" w:rsidRDefault="006B000D" w:rsidP="006B000D">
            <w:pPr>
              <w:pStyle w:val="TableBodyText"/>
              <w:rPr>
                <w:lang w:eastAsia="en-US"/>
              </w:rPr>
            </w:pPr>
            <w:r>
              <w:rPr>
                <w:lang w:eastAsia="en-US"/>
              </w:rPr>
              <w:t>Comprehensive result</w:t>
            </w:r>
          </w:p>
        </w:tc>
        <w:tc>
          <w:tcPr>
            <w:tcW w:w="1571" w:type="pct"/>
            <w:tcBorders>
              <w:top w:val="single" w:sz="4" w:space="0" w:color="auto"/>
              <w:left w:val="nil"/>
              <w:bottom w:val="single" w:sz="4" w:space="0" w:color="auto"/>
              <w:right w:val="nil"/>
            </w:tcBorders>
            <w:shd w:val="clear" w:color="auto" w:fill="F2F2F2" w:themeFill="background1" w:themeFillShade="F2"/>
            <w:hideMark/>
          </w:tcPr>
          <w:p w14:paraId="1CCD3719" w14:textId="3B5CE3DE" w:rsidR="006B000D" w:rsidRPr="006E724D" w:rsidRDefault="00465A9C" w:rsidP="006E724D">
            <w:pPr>
              <w:pStyle w:val="TableBodyTextrightalign"/>
              <w:rPr>
                <w:rStyle w:val="PlaceholderText"/>
                <w:color w:val="auto"/>
              </w:rPr>
            </w:pPr>
            <w:r w:rsidRPr="006E724D">
              <w:t>(0.2)</w:t>
            </w:r>
          </w:p>
        </w:tc>
        <w:tc>
          <w:tcPr>
            <w:tcW w:w="1571" w:type="pct"/>
            <w:tcBorders>
              <w:top w:val="single" w:sz="4" w:space="0" w:color="auto"/>
              <w:left w:val="nil"/>
              <w:bottom w:val="single" w:sz="4" w:space="0" w:color="auto"/>
              <w:right w:val="nil"/>
            </w:tcBorders>
            <w:hideMark/>
          </w:tcPr>
          <w:p w14:paraId="07C789F6" w14:textId="3DB74F12" w:rsidR="006B000D" w:rsidRDefault="006B000D" w:rsidP="006B000D">
            <w:pPr>
              <w:pStyle w:val="TableBodyTextrightalign"/>
            </w:pPr>
            <w:r>
              <w:rPr>
                <w:lang w:eastAsia="en-US"/>
              </w:rPr>
              <w:t>(3.1)</w:t>
            </w:r>
          </w:p>
        </w:tc>
      </w:tr>
      <w:tr w:rsidR="009D6F63" w14:paraId="5A1C9D45" w14:textId="77777777" w:rsidTr="008C6365">
        <w:tc>
          <w:tcPr>
            <w:tcW w:w="1858" w:type="pct"/>
            <w:tcBorders>
              <w:top w:val="single" w:sz="4" w:space="0" w:color="auto"/>
              <w:left w:val="nil"/>
              <w:bottom w:val="single" w:sz="4" w:space="0" w:color="auto"/>
              <w:right w:val="nil"/>
            </w:tcBorders>
            <w:shd w:val="clear" w:color="auto" w:fill="D9D9D9" w:themeFill="background1" w:themeFillShade="D9"/>
            <w:hideMark/>
          </w:tcPr>
          <w:p w14:paraId="68B8225E" w14:textId="77777777" w:rsidR="00F568B4" w:rsidRDefault="00F568B4">
            <w:pPr>
              <w:pStyle w:val="TableHeading1"/>
              <w:rPr>
                <w:lang w:eastAsia="en-US"/>
              </w:rPr>
            </w:pPr>
            <w:r>
              <w:rPr>
                <w:lang w:eastAsia="en-US"/>
              </w:rPr>
              <w:t>Financial position</w:t>
            </w:r>
          </w:p>
        </w:tc>
        <w:tc>
          <w:tcPr>
            <w:tcW w:w="1571" w:type="pct"/>
            <w:tcBorders>
              <w:top w:val="single" w:sz="4" w:space="0" w:color="auto"/>
              <w:left w:val="nil"/>
              <w:bottom w:val="single" w:sz="4" w:space="0" w:color="auto"/>
              <w:right w:val="nil"/>
            </w:tcBorders>
            <w:shd w:val="clear" w:color="auto" w:fill="D9D9D9" w:themeFill="background1" w:themeFillShade="D9"/>
          </w:tcPr>
          <w:p w14:paraId="7B0B53CD" w14:textId="3BF8F528" w:rsidR="00F568B4" w:rsidRDefault="00F568B4">
            <w:pPr>
              <w:pStyle w:val="TableBodyTextrightalign"/>
              <w:rPr>
                <w:lang w:eastAsia="en-US"/>
              </w:rPr>
            </w:pPr>
          </w:p>
        </w:tc>
        <w:tc>
          <w:tcPr>
            <w:tcW w:w="1571" w:type="pct"/>
            <w:tcBorders>
              <w:top w:val="single" w:sz="4" w:space="0" w:color="auto"/>
              <w:left w:val="nil"/>
              <w:bottom w:val="single" w:sz="4" w:space="0" w:color="auto"/>
              <w:right w:val="nil"/>
            </w:tcBorders>
            <w:shd w:val="clear" w:color="auto" w:fill="D9D9D9" w:themeFill="background1" w:themeFillShade="D9"/>
          </w:tcPr>
          <w:p w14:paraId="7C9ACFA3" w14:textId="77777777" w:rsidR="00F568B4" w:rsidRDefault="00F568B4">
            <w:pPr>
              <w:pStyle w:val="TableBodyTextrightalign"/>
              <w:rPr>
                <w:lang w:eastAsia="en-US"/>
              </w:rPr>
            </w:pPr>
          </w:p>
        </w:tc>
      </w:tr>
      <w:tr w:rsidR="006B000D" w14:paraId="6E074DC1" w14:textId="77777777" w:rsidTr="00B105F4">
        <w:tc>
          <w:tcPr>
            <w:tcW w:w="1858" w:type="pct"/>
            <w:tcBorders>
              <w:top w:val="single" w:sz="4" w:space="0" w:color="auto"/>
              <w:left w:val="nil"/>
              <w:bottom w:val="single" w:sz="4" w:space="0" w:color="auto"/>
              <w:right w:val="nil"/>
            </w:tcBorders>
            <w:hideMark/>
          </w:tcPr>
          <w:p w14:paraId="16CA400D" w14:textId="77777777" w:rsidR="006B000D" w:rsidRDefault="006B000D" w:rsidP="006B000D">
            <w:pPr>
              <w:pStyle w:val="TableBodyText"/>
              <w:rPr>
                <w:lang w:eastAsia="en-US"/>
              </w:rPr>
            </w:pPr>
            <w:r>
              <w:rPr>
                <w:lang w:eastAsia="en-US"/>
              </w:rPr>
              <w:t>Total assets</w:t>
            </w:r>
          </w:p>
        </w:tc>
        <w:tc>
          <w:tcPr>
            <w:tcW w:w="1571" w:type="pct"/>
            <w:tcBorders>
              <w:top w:val="single" w:sz="4" w:space="0" w:color="auto"/>
              <w:left w:val="nil"/>
              <w:bottom w:val="single" w:sz="4" w:space="0" w:color="auto"/>
              <w:right w:val="nil"/>
            </w:tcBorders>
            <w:shd w:val="clear" w:color="auto" w:fill="F2F2F2" w:themeFill="background1" w:themeFillShade="F2"/>
            <w:hideMark/>
          </w:tcPr>
          <w:p w14:paraId="68080059" w14:textId="74A11C17" w:rsidR="006B000D" w:rsidRPr="006E724D" w:rsidRDefault="00397144" w:rsidP="006B000D">
            <w:pPr>
              <w:pStyle w:val="TableBodyTextrightalign"/>
              <w:rPr>
                <w:rStyle w:val="Characterbold"/>
                <w:bCs w:val="0"/>
              </w:rPr>
            </w:pPr>
            <w:r>
              <w:t>33.9</w:t>
            </w:r>
          </w:p>
        </w:tc>
        <w:tc>
          <w:tcPr>
            <w:tcW w:w="1571" w:type="pct"/>
            <w:tcBorders>
              <w:top w:val="single" w:sz="4" w:space="0" w:color="auto"/>
              <w:left w:val="nil"/>
              <w:bottom w:val="single" w:sz="4" w:space="0" w:color="auto"/>
              <w:right w:val="nil"/>
            </w:tcBorders>
            <w:hideMark/>
          </w:tcPr>
          <w:p w14:paraId="16023711" w14:textId="3ECFC507" w:rsidR="006B000D" w:rsidRDefault="006B000D" w:rsidP="006B000D">
            <w:pPr>
              <w:pStyle w:val="TableBodyTextrightalign"/>
              <w:rPr>
                <w:lang w:val="en-US"/>
              </w:rPr>
            </w:pPr>
            <w:r>
              <w:rPr>
                <w:lang w:eastAsia="en-US"/>
              </w:rPr>
              <w:t>36.3</w:t>
            </w:r>
          </w:p>
        </w:tc>
      </w:tr>
      <w:tr w:rsidR="006B000D" w14:paraId="35B15306" w14:textId="77777777" w:rsidTr="00B105F4">
        <w:tc>
          <w:tcPr>
            <w:tcW w:w="1858" w:type="pct"/>
            <w:tcBorders>
              <w:top w:val="single" w:sz="4" w:space="0" w:color="auto"/>
              <w:left w:val="nil"/>
              <w:bottom w:val="single" w:sz="4" w:space="0" w:color="auto"/>
              <w:right w:val="nil"/>
            </w:tcBorders>
            <w:hideMark/>
          </w:tcPr>
          <w:p w14:paraId="293EE95D" w14:textId="77777777" w:rsidR="006B000D" w:rsidRDefault="006B000D" w:rsidP="006B000D">
            <w:pPr>
              <w:pStyle w:val="TableBodyText"/>
              <w:rPr>
                <w:lang w:eastAsia="en-US"/>
              </w:rPr>
            </w:pPr>
            <w:r>
              <w:rPr>
                <w:lang w:eastAsia="en-US"/>
              </w:rPr>
              <w:t>Total liabilities</w:t>
            </w:r>
          </w:p>
        </w:tc>
        <w:tc>
          <w:tcPr>
            <w:tcW w:w="1571" w:type="pct"/>
            <w:tcBorders>
              <w:top w:val="single" w:sz="4" w:space="0" w:color="auto"/>
              <w:left w:val="nil"/>
              <w:bottom w:val="single" w:sz="4" w:space="0" w:color="auto"/>
              <w:right w:val="nil"/>
            </w:tcBorders>
            <w:shd w:val="clear" w:color="auto" w:fill="F2F2F2" w:themeFill="background1" w:themeFillShade="F2"/>
            <w:hideMark/>
          </w:tcPr>
          <w:p w14:paraId="6D8B5F30" w14:textId="5F37B3C7" w:rsidR="006B000D" w:rsidRPr="006E724D" w:rsidRDefault="00465A9C" w:rsidP="006B000D">
            <w:pPr>
              <w:pStyle w:val="TableBodyTextrightalign"/>
              <w:rPr>
                <w:rStyle w:val="Characterbold"/>
                <w:bCs w:val="0"/>
              </w:rPr>
            </w:pPr>
            <w:r w:rsidRPr="006E724D">
              <w:rPr>
                <w:bCs w:val="0"/>
              </w:rPr>
              <w:t>1</w:t>
            </w:r>
            <w:r w:rsidR="00397144">
              <w:rPr>
                <w:bCs w:val="0"/>
              </w:rPr>
              <w:t>9.3</w:t>
            </w:r>
          </w:p>
        </w:tc>
        <w:tc>
          <w:tcPr>
            <w:tcW w:w="1571" w:type="pct"/>
            <w:tcBorders>
              <w:top w:val="single" w:sz="4" w:space="0" w:color="auto"/>
              <w:left w:val="nil"/>
              <w:bottom w:val="single" w:sz="4" w:space="0" w:color="auto"/>
              <w:right w:val="nil"/>
            </w:tcBorders>
            <w:hideMark/>
          </w:tcPr>
          <w:p w14:paraId="16CF9C71" w14:textId="2E5D8D9B" w:rsidR="006B000D" w:rsidRDefault="006B000D" w:rsidP="006B000D">
            <w:pPr>
              <w:pStyle w:val="TableBodyTextrightalign"/>
              <w:rPr>
                <w:lang w:val="en-US"/>
              </w:rPr>
            </w:pPr>
            <w:r>
              <w:rPr>
                <w:lang w:eastAsia="en-US"/>
              </w:rPr>
              <w:t>22.6</w:t>
            </w:r>
          </w:p>
        </w:tc>
      </w:tr>
      <w:tr w:rsidR="006B000D" w14:paraId="16C31600" w14:textId="77777777" w:rsidTr="00B105F4">
        <w:tc>
          <w:tcPr>
            <w:tcW w:w="1858" w:type="pct"/>
            <w:tcBorders>
              <w:top w:val="single" w:sz="4" w:space="0" w:color="auto"/>
              <w:left w:val="nil"/>
              <w:bottom w:val="single" w:sz="4" w:space="0" w:color="auto"/>
              <w:right w:val="nil"/>
            </w:tcBorders>
            <w:hideMark/>
          </w:tcPr>
          <w:p w14:paraId="6ECADAF4" w14:textId="77777777" w:rsidR="006B000D" w:rsidRDefault="006B000D" w:rsidP="006B000D">
            <w:pPr>
              <w:pStyle w:val="TableBodyText"/>
              <w:rPr>
                <w:lang w:eastAsia="en-US"/>
              </w:rPr>
            </w:pPr>
            <w:r>
              <w:rPr>
                <w:lang w:eastAsia="en-US"/>
              </w:rPr>
              <w:t>Total equity</w:t>
            </w:r>
          </w:p>
        </w:tc>
        <w:tc>
          <w:tcPr>
            <w:tcW w:w="1571" w:type="pct"/>
            <w:tcBorders>
              <w:top w:val="single" w:sz="4" w:space="0" w:color="auto"/>
              <w:left w:val="nil"/>
              <w:bottom w:val="single" w:sz="4" w:space="0" w:color="auto"/>
              <w:right w:val="nil"/>
            </w:tcBorders>
            <w:shd w:val="clear" w:color="auto" w:fill="F2F2F2" w:themeFill="background1" w:themeFillShade="F2"/>
            <w:hideMark/>
          </w:tcPr>
          <w:p w14:paraId="773EB14F" w14:textId="7A1AE2FD" w:rsidR="006B000D" w:rsidRPr="006E724D" w:rsidRDefault="00397144" w:rsidP="006B000D">
            <w:pPr>
              <w:pStyle w:val="TableBodyTextrightalign"/>
              <w:rPr>
                <w:rStyle w:val="Characterbold"/>
                <w:bCs w:val="0"/>
              </w:rPr>
            </w:pPr>
            <w:r w:rsidRPr="006E724D">
              <w:rPr>
                <w:bCs w:val="0"/>
              </w:rPr>
              <w:t>14.6</w:t>
            </w:r>
          </w:p>
        </w:tc>
        <w:tc>
          <w:tcPr>
            <w:tcW w:w="1571" w:type="pct"/>
            <w:tcBorders>
              <w:top w:val="single" w:sz="4" w:space="0" w:color="auto"/>
              <w:left w:val="nil"/>
              <w:bottom w:val="single" w:sz="4" w:space="0" w:color="auto"/>
              <w:right w:val="nil"/>
            </w:tcBorders>
            <w:hideMark/>
          </w:tcPr>
          <w:p w14:paraId="3B25087A" w14:textId="7A262557" w:rsidR="006B000D" w:rsidRDefault="006B000D" w:rsidP="006B000D">
            <w:pPr>
              <w:pStyle w:val="TableBodyTextrightalign"/>
              <w:rPr>
                <w:lang w:val="en-US"/>
              </w:rPr>
            </w:pPr>
            <w:r>
              <w:rPr>
                <w:lang w:eastAsia="en-US"/>
              </w:rPr>
              <w:t>13.7</w:t>
            </w:r>
          </w:p>
        </w:tc>
      </w:tr>
      <w:tr w:rsidR="009D6F63" w14:paraId="473ECE99" w14:textId="77777777" w:rsidTr="008C6365">
        <w:tc>
          <w:tcPr>
            <w:tcW w:w="1858" w:type="pct"/>
            <w:tcBorders>
              <w:top w:val="single" w:sz="4" w:space="0" w:color="auto"/>
              <w:left w:val="nil"/>
              <w:bottom w:val="single" w:sz="4" w:space="0" w:color="auto"/>
              <w:right w:val="nil"/>
            </w:tcBorders>
            <w:shd w:val="clear" w:color="auto" w:fill="D9D9D9" w:themeFill="background1" w:themeFillShade="D9"/>
            <w:hideMark/>
          </w:tcPr>
          <w:p w14:paraId="7CD0F66F" w14:textId="77777777" w:rsidR="00F568B4" w:rsidRDefault="00F568B4">
            <w:pPr>
              <w:pStyle w:val="TableHeading1"/>
              <w:rPr>
                <w:lang w:eastAsia="en-US"/>
              </w:rPr>
            </w:pPr>
            <w:r>
              <w:rPr>
                <w:lang w:eastAsia="en-US"/>
              </w:rPr>
              <w:t>Cash flow</w:t>
            </w:r>
          </w:p>
        </w:tc>
        <w:tc>
          <w:tcPr>
            <w:tcW w:w="1571" w:type="pct"/>
            <w:tcBorders>
              <w:top w:val="single" w:sz="4" w:space="0" w:color="auto"/>
              <w:left w:val="nil"/>
              <w:bottom w:val="single" w:sz="4" w:space="0" w:color="auto"/>
              <w:right w:val="nil"/>
            </w:tcBorders>
            <w:shd w:val="clear" w:color="auto" w:fill="D9D9D9" w:themeFill="background1" w:themeFillShade="D9"/>
          </w:tcPr>
          <w:p w14:paraId="778B0578" w14:textId="77777777" w:rsidR="00F568B4" w:rsidRDefault="00F568B4">
            <w:pPr>
              <w:pStyle w:val="TableBodyTextrightalign"/>
              <w:rPr>
                <w:lang w:eastAsia="en-US"/>
              </w:rPr>
            </w:pPr>
          </w:p>
        </w:tc>
        <w:tc>
          <w:tcPr>
            <w:tcW w:w="1571" w:type="pct"/>
            <w:tcBorders>
              <w:top w:val="single" w:sz="4" w:space="0" w:color="auto"/>
              <w:left w:val="nil"/>
              <w:bottom w:val="single" w:sz="4" w:space="0" w:color="auto"/>
              <w:right w:val="nil"/>
            </w:tcBorders>
            <w:shd w:val="clear" w:color="auto" w:fill="D9D9D9" w:themeFill="background1" w:themeFillShade="D9"/>
          </w:tcPr>
          <w:p w14:paraId="2B5DC441" w14:textId="77777777" w:rsidR="00F568B4" w:rsidRDefault="00F568B4">
            <w:pPr>
              <w:pStyle w:val="TableBodyTextrightalign"/>
              <w:rPr>
                <w:lang w:eastAsia="en-US"/>
              </w:rPr>
            </w:pPr>
          </w:p>
        </w:tc>
      </w:tr>
      <w:tr w:rsidR="00F568B4" w14:paraId="2D5769E6" w14:textId="77777777" w:rsidTr="004C504F">
        <w:tc>
          <w:tcPr>
            <w:tcW w:w="1858" w:type="pct"/>
            <w:tcBorders>
              <w:top w:val="single" w:sz="4" w:space="0" w:color="auto"/>
              <w:left w:val="nil"/>
              <w:bottom w:val="single" w:sz="4" w:space="0" w:color="auto"/>
              <w:right w:val="nil"/>
            </w:tcBorders>
            <w:hideMark/>
          </w:tcPr>
          <w:p w14:paraId="4F88AD61" w14:textId="77777777" w:rsidR="00F568B4" w:rsidRDefault="00F568B4">
            <w:pPr>
              <w:pStyle w:val="TableBodyText"/>
              <w:rPr>
                <w:lang w:eastAsia="en-US"/>
              </w:rPr>
            </w:pPr>
            <w:r>
              <w:rPr>
                <w:lang w:eastAsia="en-US"/>
              </w:rPr>
              <w:t>Net cash flow from operating activities</w:t>
            </w:r>
          </w:p>
        </w:tc>
        <w:tc>
          <w:tcPr>
            <w:tcW w:w="1571" w:type="pct"/>
            <w:tcBorders>
              <w:top w:val="single" w:sz="4" w:space="0" w:color="auto"/>
              <w:left w:val="nil"/>
              <w:bottom w:val="single" w:sz="4" w:space="0" w:color="auto"/>
              <w:right w:val="nil"/>
            </w:tcBorders>
            <w:shd w:val="clear" w:color="auto" w:fill="F2F2F2" w:themeFill="background1" w:themeFillShade="F2"/>
            <w:hideMark/>
          </w:tcPr>
          <w:p w14:paraId="49704E5C" w14:textId="5D0744DE" w:rsidR="00F568B4" w:rsidRDefault="00397144">
            <w:pPr>
              <w:pStyle w:val="TableBodyTextrightalign"/>
              <w:rPr>
                <w:lang w:eastAsia="en-US"/>
              </w:rPr>
            </w:pPr>
            <w:r>
              <w:t>3.</w:t>
            </w:r>
            <w:r w:rsidR="00B77F95">
              <w:t>9</w:t>
            </w:r>
          </w:p>
        </w:tc>
        <w:tc>
          <w:tcPr>
            <w:tcW w:w="1571" w:type="pct"/>
            <w:tcBorders>
              <w:top w:val="single" w:sz="4" w:space="0" w:color="auto"/>
              <w:left w:val="nil"/>
              <w:bottom w:val="single" w:sz="4" w:space="0" w:color="auto"/>
              <w:right w:val="nil"/>
            </w:tcBorders>
            <w:hideMark/>
          </w:tcPr>
          <w:p w14:paraId="747AFD61" w14:textId="7926C0F0" w:rsidR="00F568B4" w:rsidRDefault="006B000D">
            <w:pPr>
              <w:pStyle w:val="TableBodyTextrightalign"/>
              <w:rPr>
                <w:lang w:eastAsia="en-US"/>
              </w:rPr>
            </w:pPr>
            <w:r>
              <w:rPr>
                <w:lang w:eastAsia="en-US"/>
              </w:rPr>
              <w:t>4.4</w:t>
            </w:r>
          </w:p>
        </w:tc>
      </w:tr>
    </w:tbl>
    <w:p w14:paraId="27DF0A98" w14:textId="77777777" w:rsidR="0072323C" w:rsidRPr="007211D6" w:rsidRDefault="0072323C" w:rsidP="007211D6">
      <w:pPr>
        <w:pStyle w:val="BodyText"/>
      </w:pPr>
      <w:r>
        <w:br w:type="page"/>
      </w:r>
    </w:p>
    <w:p w14:paraId="0D86798B" w14:textId="3000C053" w:rsidR="00F568B4" w:rsidRDefault="00F568B4">
      <w:pPr>
        <w:pStyle w:val="Heading3"/>
      </w:pPr>
      <w:bookmarkStart w:id="50" w:name="_Toc149131683"/>
      <w:bookmarkStart w:id="51" w:name="_Ref149166800"/>
      <w:r>
        <w:t>Income</w:t>
      </w:r>
      <w:bookmarkEnd w:id="50"/>
      <w:bookmarkEnd w:id="51"/>
    </w:p>
    <w:p w14:paraId="7E39752A" w14:textId="6837D4FF" w:rsidR="008A5C07" w:rsidRDefault="008A5C07" w:rsidP="008A5C07">
      <w:pPr>
        <w:pStyle w:val="BodyText"/>
      </w:pPr>
      <w:r>
        <w:t xml:space="preserve">The </w:t>
      </w:r>
      <w:r w:rsidRPr="001B6DCD">
        <w:rPr>
          <w:rStyle w:val="Characteritalic"/>
        </w:rPr>
        <w:t>Integrity and Accountability Legislation Amendment (Public Interest Disclosures, Oversight and Independence) Act 2019</w:t>
      </w:r>
      <w:r>
        <w:t xml:space="preserve"> (Amending Act) </w:t>
      </w:r>
      <w:r w:rsidR="004B7017">
        <w:t>received Royal Assent</w:t>
      </w:r>
      <w:r>
        <w:t xml:space="preserve"> on 5 March 2019. As a result, from 1 July 2020, IBAC receives its annual appropriation directly from </w:t>
      </w:r>
      <w:r w:rsidR="00131773">
        <w:t xml:space="preserve">the Victorian </w:t>
      </w:r>
      <w:r>
        <w:t xml:space="preserve">Parliament for the provision of outputs. </w:t>
      </w:r>
    </w:p>
    <w:p w14:paraId="7AF18CEE" w14:textId="22AA1E70" w:rsidR="00F568B4" w:rsidRDefault="008A5C07" w:rsidP="008A5C07">
      <w:pPr>
        <w:pStyle w:val="BodyText"/>
      </w:pPr>
      <w:r>
        <w:t xml:space="preserve">In 2022/23, IBAC received </w:t>
      </w:r>
      <w:r w:rsidR="00131773">
        <w:t xml:space="preserve">the </w:t>
      </w:r>
      <w:r>
        <w:t xml:space="preserve">first year of funding announced in the 2022/23 State </w:t>
      </w:r>
      <w:r w:rsidR="00131773">
        <w:t>B</w:t>
      </w:r>
      <w:r>
        <w:t>udget</w:t>
      </w:r>
      <w:r w:rsidR="00131773">
        <w:t xml:space="preserve">: </w:t>
      </w:r>
      <w:r>
        <w:t>output revenue of $32.1</w:t>
      </w:r>
      <w:r w:rsidR="00131773">
        <w:t xml:space="preserve"> </w:t>
      </w:r>
      <w:r>
        <w:t>m</w:t>
      </w:r>
      <w:r w:rsidR="00131773">
        <w:t>illion</w:t>
      </w:r>
      <w:r>
        <w:t xml:space="preserve"> over four years and $8.6</w:t>
      </w:r>
      <w:r w:rsidR="00131773">
        <w:t xml:space="preserve"> </w:t>
      </w:r>
      <w:r>
        <w:t>m</w:t>
      </w:r>
      <w:r w:rsidR="00131773">
        <w:t>illion</w:t>
      </w:r>
      <w:r>
        <w:t xml:space="preserve"> ongoing</w:t>
      </w:r>
      <w:r w:rsidR="00131773">
        <w:t xml:space="preserve">. This funding </w:t>
      </w:r>
      <w:r>
        <w:t xml:space="preserve">was held in contingency pending approval of </w:t>
      </w:r>
      <w:r w:rsidR="00131773">
        <w:t>the b</w:t>
      </w:r>
      <w:r>
        <w:t xml:space="preserve">ase </w:t>
      </w:r>
      <w:r w:rsidR="00131773">
        <w:t>r</w:t>
      </w:r>
      <w:r>
        <w:t xml:space="preserve">eview </w:t>
      </w:r>
      <w:r w:rsidR="00131773">
        <w:t>r</w:t>
      </w:r>
      <w:r>
        <w:t>eport by the IBAC Base Review Steering Committee. This funding was released in December 2022 as a T</w:t>
      </w:r>
      <w:r w:rsidR="00196CBF">
        <w:t xml:space="preserve">reasurer’s </w:t>
      </w:r>
      <w:r>
        <w:t>A</w:t>
      </w:r>
      <w:r w:rsidR="00196CBF">
        <w:t>dvance</w:t>
      </w:r>
      <w:r>
        <w:t xml:space="preserve"> </w:t>
      </w:r>
      <w:r w:rsidR="00196CBF">
        <w:t>and</w:t>
      </w:r>
      <w:r>
        <w:t xml:space="preserve"> will become part of the output appropriation from 2023/24.</w:t>
      </w:r>
    </w:p>
    <w:p w14:paraId="1FB87296" w14:textId="77777777" w:rsidR="00F568B4" w:rsidRDefault="00F568B4">
      <w:pPr>
        <w:pStyle w:val="Heading3"/>
      </w:pPr>
      <w:bookmarkStart w:id="52" w:name="_Toc149131684"/>
      <w:r>
        <w:t>Expenditure</w:t>
      </w:r>
      <w:bookmarkEnd w:id="52"/>
    </w:p>
    <w:p w14:paraId="5243CF86" w14:textId="28E306B7" w:rsidR="00F568B4" w:rsidRDefault="00D53EB7" w:rsidP="00F568B4">
      <w:pPr>
        <w:pStyle w:val="BodyText"/>
      </w:pPr>
      <w:r w:rsidRPr="00D53EB7">
        <w:t xml:space="preserve">IBAC’s total expenditure in 2022/23 </w:t>
      </w:r>
      <w:r w:rsidR="00A4447C">
        <w:t xml:space="preserve">was </w:t>
      </w:r>
      <w:r w:rsidRPr="00D53EB7">
        <w:t>$1.9</w:t>
      </w:r>
      <w:r w:rsidR="003107E9">
        <w:t xml:space="preserve"> </w:t>
      </w:r>
      <w:r w:rsidRPr="00D53EB7">
        <w:t>m</w:t>
      </w:r>
      <w:r w:rsidR="003107E9">
        <w:t>illion</w:t>
      </w:r>
      <w:r w:rsidR="00A4447C">
        <w:t xml:space="preserve">, an increase of three per cent </w:t>
      </w:r>
      <w:r w:rsidR="00183B36">
        <w:t>from the previous year</w:t>
      </w:r>
      <w:r w:rsidRPr="00D53EB7">
        <w:t>. Our employee</w:t>
      </w:r>
      <w:r w:rsidR="00F94E75">
        <w:t>-related</w:t>
      </w:r>
      <w:r w:rsidRPr="00D53EB7">
        <w:t xml:space="preserve"> expenses increased by $3.1</w:t>
      </w:r>
      <w:r w:rsidR="003107E9">
        <w:t xml:space="preserve"> </w:t>
      </w:r>
      <w:r w:rsidRPr="00D53EB7">
        <w:t>m</w:t>
      </w:r>
      <w:r w:rsidR="003107E9">
        <w:t>illion</w:t>
      </w:r>
      <w:r w:rsidR="00F94E75">
        <w:t>,</w:t>
      </w:r>
      <w:r w:rsidRPr="00D53EB7">
        <w:t xml:space="preserve"> or nine per cent</w:t>
      </w:r>
      <w:r w:rsidR="00F94E75">
        <w:t>,</w:t>
      </w:r>
      <w:r w:rsidRPr="00D53EB7">
        <w:t xml:space="preserve"> compared to </w:t>
      </w:r>
      <w:r w:rsidR="00611ED3">
        <w:t xml:space="preserve">the </w:t>
      </w:r>
      <w:r w:rsidRPr="00D53EB7">
        <w:t>previous year, and account for 66 per cent of our total expenditure. The increase in employee</w:t>
      </w:r>
      <w:r w:rsidR="00BB3229">
        <w:noBreakHyphen/>
      </w:r>
      <w:r w:rsidR="00BC327C">
        <w:t>related</w:t>
      </w:r>
      <w:r w:rsidRPr="00D53EB7">
        <w:t xml:space="preserve"> expenses </w:t>
      </w:r>
      <w:r w:rsidR="00FE53A5">
        <w:t>is due</w:t>
      </w:r>
      <w:r w:rsidRPr="00D53EB7">
        <w:t xml:space="preserve"> to recruitment for ongoing positions funded from the base review</w:t>
      </w:r>
      <w:r w:rsidR="003107E9">
        <w:t>,</w:t>
      </w:r>
      <w:r w:rsidRPr="00D53EB7">
        <w:t xml:space="preserve"> and salary and superannuation increases during the year in accordance with the Victorian Public Sector Enterprise Agreement and statutory super</w:t>
      </w:r>
      <w:r w:rsidR="00BC327C">
        <w:t>annuation</w:t>
      </w:r>
      <w:r w:rsidRPr="00D53EB7">
        <w:t xml:space="preserve"> increases.</w:t>
      </w:r>
    </w:p>
    <w:p w14:paraId="0E7D207A" w14:textId="77777777" w:rsidR="00F568B4" w:rsidRDefault="00F568B4">
      <w:pPr>
        <w:pStyle w:val="Heading3"/>
      </w:pPr>
      <w:bookmarkStart w:id="53" w:name="_Toc149131685"/>
      <w:r>
        <w:t>Current financial position</w:t>
      </w:r>
      <w:bookmarkEnd w:id="53"/>
    </w:p>
    <w:p w14:paraId="574A841A" w14:textId="41B00A72" w:rsidR="002E70BB" w:rsidRDefault="002E70BB" w:rsidP="002E70BB">
      <w:pPr>
        <w:pStyle w:val="BodyText"/>
      </w:pPr>
      <w:r>
        <w:t>IBAC’s financial position shows total assets of $33.9</w:t>
      </w:r>
      <w:r w:rsidR="009B2C38">
        <w:t xml:space="preserve"> </w:t>
      </w:r>
      <w:r>
        <w:t>m</w:t>
      </w:r>
      <w:r w:rsidR="009B2C38">
        <w:t>illion</w:t>
      </w:r>
      <w:r>
        <w:t>, liabilities at $19.3</w:t>
      </w:r>
      <w:r w:rsidR="009B2C38">
        <w:t xml:space="preserve"> </w:t>
      </w:r>
      <w:r>
        <w:t>m</w:t>
      </w:r>
      <w:r w:rsidR="009B2C38">
        <w:t>illion</w:t>
      </w:r>
      <w:r>
        <w:t xml:space="preserve"> and equity of $14.6</w:t>
      </w:r>
      <w:r w:rsidR="009B2C38">
        <w:t xml:space="preserve"> </w:t>
      </w:r>
      <w:r>
        <w:t>m</w:t>
      </w:r>
      <w:r w:rsidR="009B2C38">
        <w:t>illion</w:t>
      </w:r>
      <w:r>
        <w:t xml:space="preserve">. </w:t>
      </w:r>
    </w:p>
    <w:p w14:paraId="715395CD" w14:textId="40F23A73" w:rsidR="00F568B4" w:rsidRDefault="002E70BB" w:rsidP="002E70BB">
      <w:pPr>
        <w:pStyle w:val="BodyText"/>
      </w:pPr>
      <w:r>
        <w:t>IBAC’s total assets decreased by seven per cent</w:t>
      </w:r>
      <w:r w:rsidR="009B2C38">
        <w:t xml:space="preserve">. This decrease is mainly attributable </w:t>
      </w:r>
      <w:r>
        <w:t>to annual depreciation and amortisation reducing the carrying values of the assets. The $3.3</w:t>
      </w:r>
      <w:r w:rsidR="009B2C38">
        <w:t xml:space="preserve"> </w:t>
      </w:r>
      <w:r>
        <w:t>m</w:t>
      </w:r>
      <w:r w:rsidR="009B2C38">
        <w:t>illion</w:t>
      </w:r>
      <w:r>
        <w:t xml:space="preserve"> or 15 per cent decrease in liabilities relates to repayment of the lease liability during the year.</w:t>
      </w:r>
    </w:p>
    <w:p w14:paraId="2EA6BD21" w14:textId="2CE03DEB" w:rsidR="00F568B4" w:rsidRDefault="00F568B4">
      <w:pPr>
        <w:pStyle w:val="Heading3"/>
      </w:pPr>
      <w:bookmarkStart w:id="54" w:name="_Toc149131686"/>
      <w:r>
        <w:t>Looking forward</w:t>
      </w:r>
      <w:bookmarkEnd w:id="54"/>
    </w:p>
    <w:p w14:paraId="030AD415" w14:textId="16786A24" w:rsidR="001E7076" w:rsidRDefault="001E7076" w:rsidP="006E724D">
      <w:pPr>
        <w:pStyle w:val="BodyText"/>
      </w:pPr>
      <w:r>
        <w:t>With confirmation of ongoing funding as part of</w:t>
      </w:r>
      <w:r w:rsidR="00691A9F">
        <w:t xml:space="preserve"> the </w:t>
      </w:r>
      <w:r>
        <w:t xml:space="preserve">2022/23 State </w:t>
      </w:r>
      <w:r w:rsidR="00691A9F">
        <w:t>B</w:t>
      </w:r>
      <w:r>
        <w:t xml:space="preserve">udget, IBAC has a sustainable funding model to operate </w:t>
      </w:r>
      <w:r w:rsidR="00691A9F">
        <w:t xml:space="preserve">more </w:t>
      </w:r>
      <w:r>
        <w:t>efficiently and effectively compared to previous years whe</w:t>
      </w:r>
      <w:r w:rsidR="00D416F8">
        <w:t>n we</w:t>
      </w:r>
      <w:r>
        <w:t xml:space="preserve"> relied on fixed-term and one-off funding.</w:t>
      </w:r>
    </w:p>
    <w:p w14:paraId="57EAA809" w14:textId="60B6DDCC" w:rsidR="001E7076" w:rsidRDefault="001E7076" w:rsidP="006E724D">
      <w:pPr>
        <w:pStyle w:val="BodyText"/>
      </w:pPr>
      <w:r>
        <w:t xml:space="preserve">Like most </w:t>
      </w:r>
      <w:r w:rsidR="00135409">
        <w:t>g</w:t>
      </w:r>
      <w:r>
        <w:t>overnment agencies, IBAC face</w:t>
      </w:r>
      <w:r w:rsidR="009366CB">
        <w:t>s</w:t>
      </w:r>
      <w:r>
        <w:t xml:space="preserve"> new cost pressures from external factors beyond</w:t>
      </w:r>
      <w:r w:rsidR="00135409">
        <w:t xml:space="preserve"> our</w:t>
      </w:r>
      <w:r>
        <w:t xml:space="preserve"> control</w:t>
      </w:r>
      <w:r w:rsidR="00135409">
        <w:t>,</w:t>
      </w:r>
      <w:r>
        <w:t xml:space="preserve"> such as</w:t>
      </w:r>
      <w:r w:rsidR="00135409">
        <w:t xml:space="preserve"> a</w:t>
      </w:r>
      <w:r>
        <w:t xml:space="preserve"> high</w:t>
      </w:r>
      <w:r w:rsidR="00135409">
        <w:t>er</w:t>
      </w:r>
      <w:r>
        <w:t xml:space="preserve"> consumer price index and an increase in demand for our services.</w:t>
      </w:r>
      <w:r w:rsidR="00135409">
        <w:t xml:space="preserve"> </w:t>
      </w:r>
      <w:r>
        <w:t xml:space="preserve">However, as a responsible public sector agency, </w:t>
      </w:r>
      <w:r w:rsidR="00135409">
        <w:t>we are</w:t>
      </w:r>
      <w:r>
        <w:t xml:space="preserve"> committed to achieving efficiencies and working diligently to identify savings to absorb cost pressures to the extent </w:t>
      </w:r>
      <w:r w:rsidR="00135409">
        <w:t xml:space="preserve">that this is </w:t>
      </w:r>
      <w:r>
        <w:t xml:space="preserve">possible. </w:t>
      </w:r>
    </w:p>
    <w:p w14:paraId="17D3029E" w14:textId="4FE38E56" w:rsidR="003620D0" w:rsidRPr="007E78B5" w:rsidRDefault="001E7076" w:rsidP="007211D6">
      <w:pPr>
        <w:pStyle w:val="BodyText"/>
        <w:sectPr w:rsidR="003620D0" w:rsidRPr="007E78B5" w:rsidSect="007A5EFC">
          <w:headerReference w:type="even" r:id="rId36"/>
          <w:headerReference w:type="default" r:id="rId37"/>
          <w:headerReference w:type="first" r:id="rId38"/>
          <w:pgSz w:w="11907" w:h="16839" w:code="9"/>
          <w:pgMar w:top="1440" w:right="1440" w:bottom="1440" w:left="1440" w:header="720" w:footer="720" w:gutter="0"/>
          <w:cols w:space="720"/>
          <w:docGrid w:linePitch="360"/>
        </w:sectPr>
      </w:pPr>
      <w:r>
        <w:t xml:space="preserve">Any new legislation, recommendations or reform with an impact on demand for IBAC services or resources may necessitate funding requests through the existing </w:t>
      </w:r>
      <w:r w:rsidR="00135409">
        <w:t xml:space="preserve">Victorian </w:t>
      </w:r>
      <w:r>
        <w:t>Government budget processes.</w:t>
      </w:r>
      <w:bookmarkEnd w:id="20"/>
    </w:p>
    <w:p w14:paraId="52276FBB" w14:textId="473A82E7" w:rsidR="009C2188" w:rsidRDefault="009C2188" w:rsidP="00E867B1">
      <w:pPr>
        <w:pStyle w:val="Heading1"/>
      </w:pPr>
      <w:bookmarkStart w:id="55" w:name="_Our_performance"/>
      <w:bookmarkStart w:id="56" w:name="_Toc133920500"/>
      <w:bookmarkStart w:id="57" w:name="_Ref140754076"/>
      <w:bookmarkStart w:id="58" w:name="_Ref140754098"/>
      <w:bookmarkStart w:id="59" w:name="_Ref140754107"/>
      <w:bookmarkStart w:id="60" w:name="_Ref142647007"/>
      <w:bookmarkStart w:id="61" w:name="_Ref142647012"/>
      <w:bookmarkStart w:id="62" w:name="_Toc149131446"/>
      <w:bookmarkEnd w:id="55"/>
      <w:r>
        <w:t>Our performance</w:t>
      </w:r>
      <w:bookmarkEnd w:id="56"/>
      <w:bookmarkEnd w:id="57"/>
      <w:bookmarkEnd w:id="58"/>
      <w:bookmarkEnd w:id="59"/>
      <w:bookmarkEnd w:id="60"/>
      <w:bookmarkEnd w:id="61"/>
      <w:bookmarkEnd w:id="62"/>
    </w:p>
    <w:p w14:paraId="289F88C9" w14:textId="6CDC8470" w:rsidR="00603775" w:rsidRDefault="00D23B17">
      <w:pPr>
        <w:pStyle w:val="TOC2"/>
        <w:rPr>
          <w:rFonts w:asciiTheme="minorHAnsi" w:eastAsiaTheme="minorEastAsia" w:hAnsiTheme="minorHAnsi"/>
          <w:noProof/>
          <w:kern w:val="2"/>
          <w:sz w:val="24"/>
          <w:szCs w:val="24"/>
          <w:lang w:eastAsia="en-GB"/>
          <w14:ligatures w14:val="standardContextual"/>
        </w:rPr>
      </w:pPr>
      <w:r>
        <w:fldChar w:fldCharType="begin"/>
      </w:r>
      <w:r>
        <w:instrText xml:space="preserve"> TOC \</w:instrText>
      </w:r>
      <w:r w:rsidR="000C2328" w:rsidRPr="000C2328">
        <w:instrText>o “1-3” \h \z \u \</w:instrText>
      </w:r>
      <w:r>
        <w:instrText xml:space="preserve">b S2 \* MERGEFORMAT </w:instrText>
      </w:r>
      <w:r>
        <w:fldChar w:fldCharType="separate"/>
      </w:r>
      <w:hyperlink w:anchor="_Toc149127897" w:history="1">
        <w:r w:rsidR="00603775" w:rsidRPr="00135C1D">
          <w:rPr>
            <w:rStyle w:val="Hyperlink"/>
            <w:noProof/>
          </w:rPr>
          <w:t>Victoria Police – sector overview</w:t>
        </w:r>
        <w:r w:rsidR="00603775">
          <w:rPr>
            <w:noProof/>
            <w:webHidden/>
          </w:rPr>
          <w:tab/>
        </w:r>
        <w:r w:rsidR="00603775">
          <w:rPr>
            <w:noProof/>
            <w:webHidden/>
          </w:rPr>
          <w:fldChar w:fldCharType="begin"/>
        </w:r>
        <w:r w:rsidR="00603775">
          <w:rPr>
            <w:noProof/>
            <w:webHidden/>
          </w:rPr>
          <w:instrText xml:space="preserve"> PAGEREF _Toc149127897 \h </w:instrText>
        </w:r>
        <w:r w:rsidR="00603775">
          <w:rPr>
            <w:noProof/>
            <w:webHidden/>
          </w:rPr>
        </w:r>
        <w:r w:rsidR="00603775">
          <w:rPr>
            <w:noProof/>
            <w:webHidden/>
          </w:rPr>
          <w:fldChar w:fldCharType="separate"/>
        </w:r>
        <w:r w:rsidR="00603775">
          <w:rPr>
            <w:noProof/>
            <w:webHidden/>
          </w:rPr>
          <w:t>25</w:t>
        </w:r>
        <w:r w:rsidR="00603775">
          <w:rPr>
            <w:noProof/>
            <w:webHidden/>
          </w:rPr>
          <w:fldChar w:fldCharType="end"/>
        </w:r>
      </w:hyperlink>
    </w:p>
    <w:p w14:paraId="0B4F6150" w14:textId="5DF99E4D" w:rsidR="00603775" w:rsidRDefault="00F31239">
      <w:pPr>
        <w:pStyle w:val="TOC2"/>
        <w:rPr>
          <w:rFonts w:asciiTheme="minorHAnsi" w:eastAsiaTheme="minorEastAsia" w:hAnsiTheme="minorHAnsi"/>
          <w:noProof/>
          <w:kern w:val="2"/>
          <w:sz w:val="24"/>
          <w:szCs w:val="24"/>
          <w:lang w:eastAsia="en-GB"/>
          <w14:ligatures w14:val="standardContextual"/>
        </w:rPr>
      </w:pPr>
      <w:hyperlink w:anchor="_Toc149127898" w:history="1">
        <w:r w:rsidR="00603775" w:rsidRPr="00135C1D">
          <w:rPr>
            <w:rStyle w:val="Hyperlink"/>
            <w:noProof/>
          </w:rPr>
          <w:t>Police oversight</w:t>
        </w:r>
        <w:r w:rsidR="00603775">
          <w:rPr>
            <w:noProof/>
            <w:webHidden/>
          </w:rPr>
          <w:tab/>
        </w:r>
        <w:r w:rsidR="00603775">
          <w:rPr>
            <w:noProof/>
            <w:webHidden/>
          </w:rPr>
          <w:fldChar w:fldCharType="begin"/>
        </w:r>
        <w:r w:rsidR="00603775">
          <w:rPr>
            <w:noProof/>
            <w:webHidden/>
          </w:rPr>
          <w:instrText xml:space="preserve"> PAGEREF _Toc149127898 \h </w:instrText>
        </w:r>
        <w:r w:rsidR="00603775">
          <w:rPr>
            <w:noProof/>
            <w:webHidden/>
          </w:rPr>
        </w:r>
        <w:r w:rsidR="00603775">
          <w:rPr>
            <w:noProof/>
            <w:webHidden/>
          </w:rPr>
          <w:fldChar w:fldCharType="separate"/>
        </w:r>
        <w:r w:rsidR="00603775">
          <w:rPr>
            <w:noProof/>
            <w:webHidden/>
          </w:rPr>
          <w:t>26</w:t>
        </w:r>
        <w:r w:rsidR="00603775">
          <w:rPr>
            <w:noProof/>
            <w:webHidden/>
          </w:rPr>
          <w:fldChar w:fldCharType="end"/>
        </w:r>
      </w:hyperlink>
    </w:p>
    <w:p w14:paraId="7F54E8D0" w14:textId="4AC60A30" w:rsidR="00603775" w:rsidRDefault="00F31239">
      <w:pPr>
        <w:pStyle w:val="TOC3"/>
        <w:rPr>
          <w:rFonts w:asciiTheme="minorHAnsi" w:eastAsiaTheme="minorEastAsia" w:hAnsiTheme="minorHAnsi"/>
          <w:noProof/>
          <w:kern w:val="2"/>
          <w:sz w:val="24"/>
          <w:szCs w:val="24"/>
          <w:lang w:eastAsia="en-GB"/>
          <w14:ligatures w14:val="standardContextual"/>
        </w:rPr>
      </w:pPr>
      <w:hyperlink w:anchor="_Toc149127899" w:history="1">
        <w:r w:rsidR="00603775" w:rsidRPr="00135C1D">
          <w:rPr>
            <w:rStyle w:val="Hyperlink"/>
            <w:noProof/>
          </w:rPr>
          <w:t>Strategic focus areas</w:t>
        </w:r>
        <w:r w:rsidR="00603775">
          <w:rPr>
            <w:noProof/>
            <w:webHidden/>
          </w:rPr>
          <w:tab/>
        </w:r>
        <w:r w:rsidR="00603775">
          <w:rPr>
            <w:noProof/>
            <w:webHidden/>
          </w:rPr>
          <w:fldChar w:fldCharType="begin"/>
        </w:r>
        <w:r w:rsidR="00603775">
          <w:rPr>
            <w:noProof/>
            <w:webHidden/>
          </w:rPr>
          <w:instrText xml:space="preserve"> PAGEREF _Toc149127899 \h </w:instrText>
        </w:r>
        <w:r w:rsidR="00603775">
          <w:rPr>
            <w:noProof/>
            <w:webHidden/>
          </w:rPr>
        </w:r>
        <w:r w:rsidR="00603775">
          <w:rPr>
            <w:noProof/>
            <w:webHidden/>
          </w:rPr>
          <w:fldChar w:fldCharType="separate"/>
        </w:r>
        <w:r w:rsidR="00603775">
          <w:rPr>
            <w:noProof/>
            <w:webHidden/>
          </w:rPr>
          <w:t>26</w:t>
        </w:r>
        <w:r w:rsidR="00603775">
          <w:rPr>
            <w:noProof/>
            <w:webHidden/>
          </w:rPr>
          <w:fldChar w:fldCharType="end"/>
        </w:r>
      </w:hyperlink>
    </w:p>
    <w:p w14:paraId="777480F3" w14:textId="30EE4495" w:rsidR="00603775" w:rsidRDefault="00F31239">
      <w:pPr>
        <w:pStyle w:val="TOC3"/>
        <w:rPr>
          <w:rFonts w:asciiTheme="minorHAnsi" w:eastAsiaTheme="minorEastAsia" w:hAnsiTheme="minorHAnsi"/>
          <w:noProof/>
          <w:kern w:val="2"/>
          <w:sz w:val="24"/>
          <w:szCs w:val="24"/>
          <w:lang w:eastAsia="en-GB"/>
          <w14:ligatures w14:val="standardContextual"/>
        </w:rPr>
      </w:pPr>
      <w:hyperlink w:anchor="_Toc149127900" w:history="1">
        <w:r w:rsidR="00603775" w:rsidRPr="00135C1D">
          <w:rPr>
            <w:rStyle w:val="Hyperlink"/>
            <w:noProof/>
          </w:rPr>
          <w:t>Strategic initiatives</w:t>
        </w:r>
        <w:r w:rsidR="00603775">
          <w:rPr>
            <w:noProof/>
            <w:webHidden/>
          </w:rPr>
          <w:tab/>
        </w:r>
        <w:r w:rsidR="00603775">
          <w:rPr>
            <w:noProof/>
            <w:webHidden/>
          </w:rPr>
          <w:fldChar w:fldCharType="begin"/>
        </w:r>
        <w:r w:rsidR="00603775">
          <w:rPr>
            <w:noProof/>
            <w:webHidden/>
          </w:rPr>
          <w:instrText xml:space="preserve"> PAGEREF _Toc149127900 \h </w:instrText>
        </w:r>
        <w:r w:rsidR="00603775">
          <w:rPr>
            <w:noProof/>
            <w:webHidden/>
          </w:rPr>
        </w:r>
        <w:r w:rsidR="00603775">
          <w:rPr>
            <w:noProof/>
            <w:webHidden/>
          </w:rPr>
          <w:fldChar w:fldCharType="separate"/>
        </w:r>
        <w:r w:rsidR="00603775">
          <w:rPr>
            <w:noProof/>
            <w:webHidden/>
          </w:rPr>
          <w:t>31</w:t>
        </w:r>
        <w:r w:rsidR="00603775">
          <w:rPr>
            <w:noProof/>
            <w:webHidden/>
          </w:rPr>
          <w:fldChar w:fldCharType="end"/>
        </w:r>
      </w:hyperlink>
    </w:p>
    <w:p w14:paraId="4B83E130" w14:textId="69D4A34C" w:rsidR="00603775" w:rsidRDefault="00F31239">
      <w:pPr>
        <w:pStyle w:val="TOC3"/>
        <w:rPr>
          <w:rFonts w:asciiTheme="minorHAnsi" w:eastAsiaTheme="minorEastAsia" w:hAnsiTheme="minorHAnsi"/>
          <w:noProof/>
          <w:kern w:val="2"/>
          <w:sz w:val="24"/>
          <w:szCs w:val="24"/>
          <w:lang w:eastAsia="en-GB"/>
          <w14:ligatures w14:val="standardContextual"/>
        </w:rPr>
      </w:pPr>
      <w:hyperlink w:anchor="_Toc149127901" w:history="1">
        <w:r w:rsidR="00603775" w:rsidRPr="00135C1D">
          <w:rPr>
            <w:rStyle w:val="Hyperlink"/>
            <w:noProof/>
          </w:rPr>
          <w:t>Other core activity</w:t>
        </w:r>
        <w:r w:rsidR="00603775">
          <w:rPr>
            <w:noProof/>
            <w:webHidden/>
          </w:rPr>
          <w:tab/>
        </w:r>
        <w:r w:rsidR="00603775">
          <w:rPr>
            <w:noProof/>
            <w:webHidden/>
          </w:rPr>
          <w:fldChar w:fldCharType="begin"/>
        </w:r>
        <w:r w:rsidR="00603775">
          <w:rPr>
            <w:noProof/>
            <w:webHidden/>
          </w:rPr>
          <w:instrText xml:space="preserve"> PAGEREF _Toc149127901 \h </w:instrText>
        </w:r>
        <w:r w:rsidR="00603775">
          <w:rPr>
            <w:noProof/>
            <w:webHidden/>
          </w:rPr>
        </w:r>
        <w:r w:rsidR="00603775">
          <w:rPr>
            <w:noProof/>
            <w:webHidden/>
          </w:rPr>
          <w:fldChar w:fldCharType="separate"/>
        </w:r>
        <w:r w:rsidR="00603775">
          <w:rPr>
            <w:noProof/>
            <w:webHidden/>
          </w:rPr>
          <w:t>34</w:t>
        </w:r>
        <w:r w:rsidR="00603775">
          <w:rPr>
            <w:noProof/>
            <w:webHidden/>
          </w:rPr>
          <w:fldChar w:fldCharType="end"/>
        </w:r>
      </w:hyperlink>
    </w:p>
    <w:p w14:paraId="1D62D278" w14:textId="1E5BC2B9" w:rsidR="00603775" w:rsidRDefault="00F31239">
      <w:pPr>
        <w:pStyle w:val="TOC2"/>
        <w:rPr>
          <w:rFonts w:asciiTheme="minorHAnsi" w:eastAsiaTheme="minorEastAsia" w:hAnsiTheme="minorHAnsi"/>
          <w:noProof/>
          <w:kern w:val="2"/>
          <w:sz w:val="24"/>
          <w:szCs w:val="24"/>
          <w:lang w:eastAsia="en-GB"/>
          <w14:ligatures w14:val="standardContextual"/>
        </w:rPr>
      </w:pPr>
      <w:hyperlink w:anchor="_Toc149127902" w:history="1">
        <w:r w:rsidR="00603775" w:rsidRPr="00135C1D">
          <w:rPr>
            <w:rStyle w:val="Hyperlink"/>
            <w:noProof/>
          </w:rPr>
          <w:t>Public sector overview</w:t>
        </w:r>
        <w:r w:rsidR="00603775">
          <w:rPr>
            <w:noProof/>
            <w:webHidden/>
          </w:rPr>
          <w:tab/>
        </w:r>
        <w:r w:rsidR="00603775">
          <w:rPr>
            <w:noProof/>
            <w:webHidden/>
          </w:rPr>
          <w:fldChar w:fldCharType="begin"/>
        </w:r>
        <w:r w:rsidR="00603775">
          <w:rPr>
            <w:noProof/>
            <w:webHidden/>
          </w:rPr>
          <w:instrText xml:space="preserve"> PAGEREF _Toc149127902 \h </w:instrText>
        </w:r>
        <w:r w:rsidR="00603775">
          <w:rPr>
            <w:noProof/>
            <w:webHidden/>
          </w:rPr>
        </w:r>
        <w:r w:rsidR="00603775">
          <w:rPr>
            <w:noProof/>
            <w:webHidden/>
          </w:rPr>
          <w:fldChar w:fldCharType="separate"/>
        </w:r>
        <w:r w:rsidR="00603775">
          <w:rPr>
            <w:noProof/>
            <w:webHidden/>
          </w:rPr>
          <w:t>42</w:t>
        </w:r>
        <w:r w:rsidR="00603775">
          <w:rPr>
            <w:noProof/>
            <w:webHidden/>
          </w:rPr>
          <w:fldChar w:fldCharType="end"/>
        </w:r>
      </w:hyperlink>
    </w:p>
    <w:p w14:paraId="73310BE0" w14:textId="496D5CF6" w:rsidR="00603775" w:rsidRDefault="00F31239">
      <w:pPr>
        <w:pStyle w:val="TOC2"/>
        <w:rPr>
          <w:rFonts w:asciiTheme="minorHAnsi" w:eastAsiaTheme="minorEastAsia" w:hAnsiTheme="minorHAnsi"/>
          <w:noProof/>
          <w:kern w:val="2"/>
          <w:sz w:val="24"/>
          <w:szCs w:val="24"/>
          <w:lang w:eastAsia="en-GB"/>
          <w14:ligatures w14:val="standardContextual"/>
        </w:rPr>
      </w:pPr>
      <w:hyperlink w:anchor="_Toc149127903" w:history="1">
        <w:r w:rsidR="00603775" w:rsidRPr="00135C1D">
          <w:rPr>
            <w:rStyle w:val="Hyperlink"/>
            <w:noProof/>
          </w:rPr>
          <w:t>Public sector oversight</w:t>
        </w:r>
        <w:r w:rsidR="00603775">
          <w:rPr>
            <w:noProof/>
            <w:webHidden/>
          </w:rPr>
          <w:tab/>
        </w:r>
        <w:r w:rsidR="00603775">
          <w:rPr>
            <w:noProof/>
            <w:webHidden/>
          </w:rPr>
          <w:fldChar w:fldCharType="begin"/>
        </w:r>
        <w:r w:rsidR="00603775">
          <w:rPr>
            <w:noProof/>
            <w:webHidden/>
          </w:rPr>
          <w:instrText xml:space="preserve"> PAGEREF _Toc149127903 \h </w:instrText>
        </w:r>
        <w:r w:rsidR="00603775">
          <w:rPr>
            <w:noProof/>
            <w:webHidden/>
          </w:rPr>
        </w:r>
        <w:r w:rsidR="00603775">
          <w:rPr>
            <w:noProof/>
            <w:webHidden/>
          </w:rPr>
          <w:fldChar w:fldCharType="separate"/>
        </w:r>
        <w:r w:rsidR="00603775">
          <w:rPr>
            <w:noProof/>
            <w:webHidden/>
          </w:rPr>
          <w:t>43</w:t>
        </w:r>
        <w:r w:rsidR="00603775">
          <w:rPr>
            <w:noProof/>
            <w:webHidden/>
          </w:rPr>
          <w:fldChar w:fldCharType="end"/>
        </w:r>
      </w:hyperlink>
    </w:p>
    <w:p w14:paraId="3BA178C0" w14:textId="195B71E2" w:rsidR="00603775" w:rsidRDefault="00F31239">
      <w:pPr>
        <w:pStyle w:val="TOC3"/>
        <w:rPr>
          <w:rFonts w:asciiTheme="minorHAnsi" w:eastAsiaTheme="minorEastAsia" w:hAnsiTheme="minorHAnsi"/>
          <w:noProof/>
          <w:kern w:val="2"/>
          <w:sz w:val="24"/>
          <w:szCs w:val="24"/>
          <w:lang w:eastAsia="en-GB"/>
          <w14:ligatures w14:val="standardContextual"/>
        </w:rPr>
      </w:pPr>
      <w:hyperlink w:anchor="_Toc149127904" w:history="1">
        <w:r w:rsidR="00603775" w:rsidRPr="00135C1D">
          <w:rPr>
            <w:rStyle w:val="Hyperlink"/>
            <w:noProof/>
          </w:rPr>
          <w:t>Strategic focus areas</w:t>
        </w:r>
        <w:r w:rsidR="00603775">
          <w:rPr>
            <w:noProof/>
            <w:webHidden/>
          </w:rPr>
          <w:tab/>
        </w:r>
        <w:r w:rsidR="00603775">
          <w:rPr>
            <w:noProof/>
            <w:webHidden/>
          </w:rPr>
          <w:fldChar w:fldCharType="begin"/>
        </w:r>
        <w:r w:rsidR="00603775">
          <w:rPr>
            <w:noProof/>
            <w:webHidden/>
          </w:rPr>
          <w:instrText xml:space="preserve"> PAGEREF _Toc149127904 \h </w:instrText>
        </w:r>
        <w:r w:rsidR="00603775">
          <w:rPr>
            <w:noProof/>
            <w:webHidden/>
          </w:rPr>
        </w:r>
        <w:r w:rsidR="00603775">
          <w:rPr>
            <w:noProof/>
            <w:webHidden/>
          </w:rPr>
          <w:fldChar w:fldCharType="separate"/>
        </w:r>
        <w:r w:rsidR="00603775">
          <w:rPr>
            <w:noProof/>
            <w:webHidden/>
          </w:rPr>
          <w:t>43</w:t>
        </w:r>
        <w:r w:rsidR="00603775">
          <w:rPr>
            <w:noProof/>
            <w:webHidden/>
          </w:rPr>
          <w:fldChar w:fldCharType="end"/>
        </w:r>
      </w:hyperlink>
    </w:p>
    <w:p w14:paraId="3CA238A3" w14:textId="4920D2FF" w:rsidR="00603775" w:rsidRDefault="00F31239">
      <w:pPr>
        <w:pStyle w:val="TOC3"/>
        <w:rPr>
          <w:rFonts w:asciiTheme="minorHAnsi" w:eastAsiaTheme="minorEastAsia" w:hAnsiTheme="minorHAnsi"/>
          <w:noProof/>
          <w:kern w:val="2"/>
          <w:sz w:val="24"/>
          <w:szCs w:val="24"/>
          <w:lang w:eastAsia="en-GB"/>
          <w14:ligatures w14:val="standardContextual"/>
        </w:rPr>
      </w:pPr>
      <w:hyperlink w:anchor="_Toc149127905" w:history="1">
        <w:r w:rsidR="00603775" w:rsidRPr="00135C1D">
          <w:rPr>
            <w:rStyle w:val="Hyperlink"/>
            <w:noProof/>
          </w:rPr>
          <w:t>Strategic initiatives</w:t>
        </w:r>
        <w:r w:rsidR="00603775">
          <w:rPr>
            <w:noProof/>
            <w:webHidden/>
          </w:rPr>
          <w:tab/>
        </w:r>
        <w:r w:rsidR="00603775">
          <w:rPr>
            <w:noProof/>
            <w:webHidden/>
          </w:rPr>
          <w:fldChar w:fldCharType="begin"/>
        </w:r>
        <w:r w:rsidR="00603775">
          <w:rPr>
            <w:noProof/>
            <w:webHidden/>
          </w:rPr>
          <w:instrText xml:space="preserve"> PAGEREF _Toc149127905 \h </w:instrText>
        </w:r>
        <w:r w:rsidR="00603775">
          <w:rPr>
            <w:noProof/>
            <w:webHidden/>
          </w:rPr>
        </w:r>
        <w:r w:rsidR="00603775">
          <w:rPr>
            <w:noProof/>
            <w:webHidden/>
          </w:rPr>
          <w:fldChar w:fldCharType="separate"/>
        </w:r>
        <w:r w:rsidR="00603775">
          <w:rPr>
            <w:noProof/>
            <w:webHidden/>
          </w:rPr>
          <w:t>47</w:t>
        </w:r>
        <w:r w:rsidR="00603775">
          <w:rPr>
            <w:noProof/>
            <w:webHidden/>
          </w:rPr>
          <w:fldChar w:fldCharType="end"/>
        </w:r>
      </w:hyperlink>
    </w:p>
    <w:p w14:paraId="3663ABB8" w14:textId="0F89B326" w:rsidR="00603775" w:rsidRDefault="00F31239">
      <w:pPr>
        <w:pStyle w:val="TOC3"/>
        <w:rPr>
          <w:rFonts w:asciiTheme="minorHAnsi" w:eastAsiaTheme="minorEastAsia" w:hAnsiTheme="minorHAnsi"/>
          <w:noProof/>
          <w:kern w:val="2"/>
          <w:sz w:val="24"/>
          <w:szCs w:val="24"/>
          <w:lang w:eastAsia="en-GB"/>
          <w14:ligatures w14:val="standardContextual"/>
        </w:rPr>
      </w:pPr>
      <w:hyperlink w:anchor="_Toc149127906" w:history="1">
        <w:r w:rsidR="00603775" w:rsidRPr="00135C1D">
          <w:rPr>
            <w:rStyle w:val="Hyperlink"/>
            <w:noProof/>
          </w:rPr>
          <w:t>Other core activity</w:t>
        </w:r>
        <w:r w:rsidR="00603775">
          <w:rPr>
            <w:noProof/>
            <w:webHidden/>
          </w:rPr>
          <w:tab/>
        </w:r>
        <w:r w:rsidR="00603775">
          <w:rPr>
            <w:noProof/>
            <w:webHidden/>
          </w:rPr>
          <w:fldChar w:fldCharType="begin"/>
        </w:r>
        <w:r w:rsidR="00603775">
          <w:rPr>
            <w:noProof/>
            <w:webHidden/>
          </w:rPr>
          <w:instrText xml:space="preserve"> PAGEREF _Toc149127906 \h </w:instrText>
        </w:r>
        <w:r w:rsidR="00603775">
          <w:rPr>
            <w:noProof/>
            <w:webHidden/>
          </w:rPr>
        </w:r>
        <w:r w:rsidR="00603775">
          <w:rPr>
            <w:noProof/>
            <w:webHidden/>
          </w:rPr>
          <w:fldChar w:fldCharType="separate"/>
        </w:r>
        <w:r w:rsidR="00603775">
          <w:rPr>
            <w:noProof/>
            <w:webHidden/>
          </w:rPr>
          <w:t>49</w:t>
        </w:r>
        <w:r w:rsidR="00603775">
          <w:rPr>
            <w:noProof/>
            <w:webHidden/>
          </w:rPr>
          <w:fldChar w:fldCharType="end"/>
        </w:r>
      </w:hyperlink>
    </w:p>
    <w:p w14:paraId="2ABCA65F" w14:textId="28BF77E7" w:rsidR="009C1883" w:rsidRPr="004426B3" w:rsidRDefault="00D23B17" w:rsidP="00AB2FF6">
      <w:pPr>
        <w:pStyle w:val="BodyText"/>
      </w:pPr>
      <w:r>
        <w:fldChar w:fldCharType="end"/>
      </w:r>
    </w:p>
    <w:p w14:paraId="4EA1548B" w14:textId="284B58CA" w:rsidR="009C1883" w:rsidRPr="007E78B5" w:rsidRDefault="009C1883" w:rsidP="007E78B5">
      <w:pPr>
        <w:pStyle w:val="BodyText"/>
      </w:pPr>
      <w:r w:rsidRPr="007E78B5">
        <w:br w:type="page"/>
      </w:r>
    </w:p>
    <w:p w14:paraId="0A804654" w14:textId="77BF00CF" w:rsidR="001F70E5" w:rsidRPr="00715E18" w:rsidRDefault="0084341C" w:rsidP="005E444C">
      <w:pPr>
        <w:pStyle w:val="Heading2"/>
      </w:pPr>
      <w:bookmarkStart w:id="63" w:name="_Police_oversight"/>
      <w:bookmarkStart w:id="64" w:name="_Toc149127897"/>
      <w:bookmarkStart w:id="65" w:name="S2"/>
      <w:bookmarkEnd w:id="63"/>
      <w:r>
        <w:t xml:space="preserve">Victoria Police – </w:t>
      </w:r>
      <w:r w:rsidR="007F2998">
        <w:t>s</w:t>
      </w:r>
      <w:r w:rsidR="001F70E5" w:rsidRPr="00715E18">
        <w:t xml:space="preserve">ector </w:t>
      </w:r>
      <w:r w:rsidR="001F70E5" w:rsidRPr="005E444C">
        <w:t>overview</w:t>
      </w:r>
      <w:bookmarkEnd w:id="64"/>
    </w:p>
    <w:p w14:paraId="4A57E81A" w14:textId="012884EE" w:rsidR="002472DE" w:rsidRPr="007F2998" w:rsidRDefault="002472DE" w:rsidP="007F2998">
      <w:pPr>
        <w:pStyle w:val="Heading4"/>
      </w:pPr>
      <w:r w:rsidRPr="007F2998">
        <w:t xml:space="preserve">Strategic pillars </w:t>
      </w:r>
      <w:r w:rsidR="00E7479B" w:rsidRPr="007F2998">
        <w:t>–</w:t>
      </w:r>
      <w:r w:rsidRPr="007F2998">
        <w:t xml:space="preserve"> A targeted approach to police misconduct; A collaborative way forward</w:t>
      </w:r>
    </w:p>
    <w:p w14:paraId="178E42C5" w14:textId="4A1DF1AD" w:rsidR="00A228EA" w:rsidRDefault="00A228EA" w:rsidP="00A228EA">
      <w:pPr>
        <w:pStyle w:val="BodyText"/>
      </w:pPr>
      <w:r>
        <w:t>Victoria’s police oversight system is a ‘mixed civilian review model’ used throughout Australia. It provides a balance between Victoria Police’s responsibility to manage and discipline its own workforce, combined with external, independent oversight by IBAC.</w:t>
      </w:r>
    </w:p>
    <w:p w14:paraId="341B9116" w14:textId="7AEC78C6" w:rsidR="005137E1" w:rsidRDefault="00A228EA" w:rsidP="005137E1">
      <w:pPr>
        <w:pStyle w:val="BodyText"/>
      </w:pPr>
      <w:r>
        <w:t>IBAC works with Victoria Police to assist them to build a strong integrity culture. IBAC takes a targeted approach to police oversight, with a particular focus on the needs of Victorians who may be vulnerable to, or who experience marginalisation</w:t>
      </w:r>
      <w:r w:rsidR="005137E1">
        <w:t>.</w:t>
      </w:r>
    </w:p>
    <w:p w14:paraId="3DBEDF2C" w14:textId="342C8F55" w:rsidR="0006400C" w:rsidRPr="004743C9" w:rsidRDefault="0006400C" w:rsidP="00F9275C">
      <w:pPr>
        <w:pStyle w:val="BodyText"/>
      </w:pPr>
      <w:r>
        <w:t xml:space="preserve">We are Victoria’s independent police oversight body. Our role is to investigate and expose police misconduct, which can include inappropriate or illegal conduct, breaches of Victoria Police policies and procedures, human rights breaches, excessive force, sexual </w:t>
      </w:r>
      <w:r w:rsidR="00726936">
        <w:t>misconduct</w:t>
      </w:r>
      <w:r>
        <w:t xml:space="preserve"> and discrimination. </w:t>
      </w:r>
    </w:p>
    <w:p w14:paraId="5E848010" w14:textId="2D748DC8" w:rsidR="0006400C" w:rsidRPr="007E78B5" w:rsidRDefault="0006400C" w:rsidP="007E78B5">
      <w:pPr>
        <w:pStyle w:val="BodyText"/>
      </w:pPr>
      <w:r w:rsidRPr="007E78B5">
        <w:t xml:space="preserve">Our oversight of Victoria Police helps to ensure police </w:t>
      </w:r>
      <w:r w:rsidR="00171F1D" w:rsidRPr="007E78B5">
        <w:t>personnel</w:t>
      </w:r>
      <w:r w:rsidRPr="007E78B5">
        <w:t xml:space="preserve"> act fairly, impartially and according to the law</w:t>
      </w:r>
      <w:r w:rsidR="00753E03" w:rsidRPr="007E78B5">
        <w:t>. This</w:t>
      </w:r>
      <w:r w:rsidRPr="007E78B5">
        <w:t xml:space="preserve"> has led to Victoria Police taking action to address misconduct issues and risks, including regular drug testing of officers and improvements to its complaints handling processes.</w:t>
      </w:r>
    </w:p>
    <w:p w14:paraId="1C31C0EE" w14:textId="01B03D7F" w:rsidR="0006400C" w:rsidRPr="00B27001" w:rsidRDefault="0006400C" w:rsidP="00F9275C">
      <w:pPr>
        <w:pStyle w:val="BodyText"/>
      </w:pPr>
      <w:r w:rsidRPr="00B27001">
        <w:t xml:space="preserve">The scale of the work we do in this area is </w:t>
      </w:r>
      <w:r>
        <w:t>significant</w:t>
      </w:r>
      <w:r w:rsidRPr="00B27001">
        <w:t xml:space="preserve"> and includes (but is not limited to):</w:t>
      </w:r>
    </w:p>
    <w:p w14:paraId="3BC31924" w14:textId="48C5AED8" w:rsidR="0006400C" w:rsidRPr="00B27001" w:rsidRDefault="0006400C" w:rsidP="00F9275C">
      <w:pPr>
        <w:pStyle w:val="ListBullet"/>
      </w:pPr>
      <w:r w:rsidRPr="00B27001">
        <w:t>receiving complaints</w:t>
      </w:r>
      <w:r w:rsidR="00753E03">
        <w:t xml:space="preserve"> and </w:t>
      </w:r>
      <w:r w:rsidRPr="00B27001">
        <w:t xml:space="preserve">notifications about </w:t>
      </w:r>
      <w:r>
        <w:t xml:space="preserve">the </w:t>
      </w:r>
      <w:r w:rsidRPr="00B27001">
        <w:t>conduct of police personnel and assessing the</w:t>
      </w:r>
      <w:r w:rsidR="00753E03">
        <w:t>se</w:t>
      </w:r>
      <w:r w:rsidRPr="00B27001">
        <w:t xml:space="preserve"> allegations to determine which are to be investigated by </w:t>
      </w:r>
      <w:r>
        <w:t>us</w:t>
      </w:r>
      <w:r w:rsidRPr="00B27001">
        <w:t xml:space="preserve">, referred to Victoria Police for action, </w:t>
      </w:r>
      <w:r>
        <w:t xml:space="preserve">or </w:t>
      </w:r>
      <w:r w:rsidRPr="00B27001">
        <w:t>dismissed</w:t>
      </w:r>
    </w:p>
    <w:p w14:paraId="46A85A23" w14:textId="77777777" w:rsidR="0006400C" w:rsidRPr="00B27001" w:rsidRDefault="0006400C" w:rsidP="00F9275C">
      <w:pPr>
        <w:pStyle w:val="ListBullet"/>
      </w:pPr>
      <w:r w:rsidRPr="00B27001">
        <w:t>conducting investigations into serious or systemic police misconduct</w:t>
      </w:r>
    </w:p>
    <w:p w14:paraId="4396C54F" w14:textId="77777777" w:rsidR="0006400C" w:rsidRPr="00B27001" w:rsidRDefault="0006400C" w:rsidP="00F9275C">
      <w:pPr>
        <w:pStyle w:val="ListBullet"/>
      </w:pPr>
      <w:r w:rsidRPr="00B27001">
        <w:t>auditing how Victoria Police handles complaints</w:t>
      </w:r>
    </w:p>
    <w:p w14:paraId="0A1C4450" w14:textId="011D88E6" w:rsidR="0006400C" w:rsidRPr="00B27001" w:rsidRDefault="00753E03" w:rsidP="00F9275C">
      <w:pPr>
        <w:pStyle w:val="ListBullet"/>
      </w:pPr>
      <w:r>
        <w:t xml:space="preserve">providing </w:t>
      </w:r>
      <w:r w:rsidR="0006400C" w:rsidRPr="00B27001">
        <w:t>prevention education and training for Victoria Police officers and employees.</w:t>
      </w:r>
    </w:p>
    <w:p w14:paraId="79757804" w14:textId="72618584" w:rsidR="0006400C" w:rsidRDefault="00450D4A" w:rsidP="00F9275C">
      <w:pPr>
        <w:pStyle w:val="BodyText"/>
      </w:pPr>
      <w:r>
        <w:t xml:space="preserve">The focus of our police oversight work in </w:t>
      </w:r>
      <w:r w:rsidR="000A1691">
        <w:t>2022/23</w:t>
      </w:r>
      <w:r>
        <w:t xml:space="preserve"> continued to be h</w:t>
      </w:r>
      <w:r w:rsidR="0006400C">
        <w:t>igh-risk police units, divisions and regions</w:t>
      </w:r>
      <w:r w:rsidR="0089606E">
        <w:t>;</w:t>
      </w:r>
      <w:r w:rsidR="0006400C">
        <w:t xml:space="preserve"> use of force</w:t>
      </w:r>
      <w:r w:rsidR="0089606E">
        <w:t>;</w:t>
      </w:r>
      <w:r w:rsidR="0006400C">
        <w:t xml:space="preserve"> and police responses to family violence incidents and predatory behaviour</w:t>
      </w:r>
      <w:r>
        <w:t>.</w:t>
      </w:r>
    </w:p>
    <w:p w14:paraId="12B3EAF3" w14:textId="447E2386" w:rsidR="0006400C" w:rsidRDefault="00A228EA" w:rsidP="00A228EA">
      <w:pPr>
        <w:pStyle w:val="BodyText"/>
      </w:pPr>
      <w:r w:rsidRPr="00A228EA">
        <w:t xml:space="preserve">Following the release of the IBAC audit report, </w:t>
      </w:r>
      <w:r w:rsidRPr="003965EA">
        <w:rPr>
          <w:rStyle w:val="Characteritalic"/>
        </w:rPr>
        <w:t>Victoria Police handling of complaints made by Aboriginal people</w:t>
      </w:r>
      <w:r w:rsidRPr="00A228EA">
        <w:t xml:space="preserve">, we extended our engagement with the </w:t>
      </w:r>
      <w:r w:rsidR="00C2564E" w:rsidRPr="00C2564E">
        <w:t xml:space="preserve">Victoria's Aboriginal and Torres Strait Islander peoples </w:t>
      </w:r>
      <w:r w:rsidRPr="00A228EA">
        <w:t xml:space="preserve">in the </w:t>
      </w:r>
      <w:r w:rsidR="000A1691">
        <w:t>2022/23</w:t>
      </w:r>
      <w:r w:rsidRPr="00A228EA">
        <w:t xml:space="preserve"> period by presenting at the Aboriginal Justice Forum and Regional Aboriginal Justice Advisory Committee events. W</w:t>
      </w:r>
      <w:r w:rsidR="0006400C">
        <w:t>e also worked with</w:t>
      </w:r>
      <w:r w:rsidR="00753E03">
        <w:t xml:space="preserve"> the</w:t>
      </w:r>
      <w:r w:rsidR="0006400C">
        <w:t xml:space="preserve"> Aboriginal-owned creative agency, Little Rocket, to </w:t>
      </w:r>
      <w:r w:rsidR="00753E03">
        <w:t>better understand</w:t>
      </w:r>
      <w:r w:rsidR="0006400C">
        <w:t xml:space="preserve"> the perceptions of IBAC and the barriers to Aboriginal peoples reporting corruption to us.</w:t>
      </w:r>
    </w:p>
    <w:p w14:paraId="1B4936C2" w14:textId="6F0E0E6F" w:rsidR="0006400C" w:rsidRPr="00A228EA" w:rsidRDefault="0006400C" w:rsidP="00A228EA">
      <w:pPr>
        <w:pStyle w:val="BodyText"/>
      </w:pPr>
      <w:r>
        <w:t>The relaunch of our ‘You have the right to not remain silent’ campaign in April 2023 was a further step to target high-risk police units and encourage regional Victorians to speak up against police misconduct.</w:t>
      </w:r>
    </w:p>
    <w:p w14:paraId="62C67915" w14:textId="304C01F4" w:rsidR="0006400C" w:rsidRDefault="0006400C" w:rsidP="00F9275C">
      <w:pPr>
        <w:pStyle w:val="BodyText"/>
      </w:pPr>
      <w:r>
        <w:t xml:space="preserve">In </w:t>
      </w:r>
      <w:r w:rsidR="000A1691">
        <w:t>2022/23</w:t>
      </w:r>
      <w:r>
        <w:t>, we tabled a special report about the ongoing misconduct risks in Victoria Police’s CIRT. This report identified issues with CIRT’s processes and actions – including use</w:t>
      </w:r>
      <w:r w:rsidR="00283730">
        <w:t>-</w:t>
      </w:r>
      <w:r>
        <w:t>of</w:t>
      </w:r>
      <w:r w:rsidR="00283730">
        <w:t>-</w:t>
      </w:r>
      <w:r>
        <w:t xml:space="preserve">force reporting </w:t>
      </w:r>
      <w:r w:rsidR="00E7479B">
        <w:t>–</w:t>
      </w:r>
      <w:r>
        <w:t xml:space="preserve"> and made six recommendations to address these risks.</w:t>
      </w:r>
    </w:p>
    <w:p w14:paraId="731FF4D7" w14:textId="6EE746D2" w:rsidR="0006400C" w:rsidRDefault="0006400C" w:rsidP="007E78B5">
      <w:pPr>
        <w:pStyle w:val="BodyText"/>
      </w:pPr>
      <w:r>
        <w:rPr>
          <w:lang w:eastAsia="en-AU"/>
        </w:rPr>
        <w:t>We also</w:t>
      </w:r>
      <w:r w:rsidRPr="00B27001">
        <w:rPr>
          <w:lang w:eastAsia="en-AU"/>
        </w:rPr>
        <w:t xml:space="preserve"> review</w:t>
      </w:r>
      <w:r w:rsidR="00753E03">
        <w:rPr>
          <w:lang w:eastAsia="en-AU"/>
        </w:rPr>
        <w:t>ed</w:t>
      </w:r>
      <w:r w:rsidRPr="00B27001">
        <w:rPr>
          <w:lang w:eastAsia="en-AU"/>
        </w:rPr>
        <w:t xml:space="preserve"> the outcomes of Victoria Police</w:t>
      </w:r>
      <w:r w:rsidR="00753E03">
        <w:rPr>
          <w:lang w:eastAsia="en-AU"/>
        </w:rPr>
        <w:t>’s</w:t>
      </w:r>
      <w:r w:rsidRPr="00B27001">
        <w:rPr>
          <w:lang w:eastAsia="en-AU"/>
        </w:rPr>
        <w:t xml:space="preserve"> internal investigations to </w:t>
      </w:r>
      <w:r w:rsidR="00B322EF">
        <w:rPr>
          <w:lang w:eastAsia="en-AU"/>
        </w:rPr>
        <w:t xml:space="preserve">ensure </w:t>
      </w:r>
      <w:r w:rsidRPr="00B27001">
        <w:rPr>
          <w:lang w:eastAsia="en-AU"/>
        </w:rPr>
        <w:t xml:space="preserve">they have been investigated thoroughly and fairly. Our reviews may result in </w:t>
      </w:r>
      <w:r w:rsidR="00265C04">
        <w:rPr>
          <w:lang w:eastAsia="en-AU"/>
        </w:rPr>
        <w:t>requests</w:t>
      </w:r>
      <w:r w:rsidR="00265C04" w:rsidRPr="00B27001">
        <w:rPr>
          <w:lang w:eastAsia="en-AU"/>
        </w:rPr>
        <w:t xml:space="preserve"> </w:t>
      </w:r>
      <w:r w:rsidRPr="00B27001">
        <w:rPr>
          <w:lang w:eastAsia="en-AU"/>
        </w:rPr>
        <w:t>for Victoria Police to strengthen its policies and procedures</w:t>
      </w:r>
      <w:r>
        <w:rPr>
          <w:lang w:eastAsia="en-AU"/>
        </w:rPr>
        <w:t>,</w:t>
      </w:r>
      <w:r w:rsidRPr="00B27001">
        <w:rPr>
          <w:lang w:eastAsia="en-AU"/>
        </w:rPr>
        <w:t xml:space="preserve"> address systemic police misconduct risks</w:t>
      </w:r>
      <w:r>
        <w:rPr>
          <w:lang w:eastAsia="en-AU"/>
        </w:rPr>
        <w:t>,</w:t>
      </w:r>
      <w:r w:rsidRPr="00B27001">
        <w:rPr>
          <w:lang w:eastAsia="en-AU"/>
        </w:rPr>
        <w:t xml:space="preserve"> and improve </w:t>
      </w:r>
      <w:r>
        <w:rPr>
          <w:lang w:eastAsia="en-AU"/>
        </w:rPr>
        <w:t xml:space="preserve">the conduct of internal investigations. </w:t>
      </w:r>
      <w:r>
        <w:t xml:space="preserve">Our reviews </w:t>
      </w:r>
      <w:r w:rsidR="00B075C4">
        <w:t xml:space="preserve">form </w:t>
      </w:r>
      <w:r>
        <w:t xml:space="preserve">a significant part of our police oversight role. In </w:t>
      </w:r>
      <w:r w:rsidR="000A1691">
        <w:t>2022/23</w:t>
      </w:r>
      <w:r>
        <w:t xml:space="preserve">, we conducted reviews of </w:t>
      </w:r>
      <w:r w:rsidR="00D05C29">
        <w:t>192</w:t>
      </w:r>
      <w:r>
        <w:t xml:space="preserve"> </w:t>
      </w:r>
      <w:r w:rsidR="00C445FB">
        <w:t>Victoria P</w:t>
      </w:r>
      <w:r>
        <w:t>olice investigations</w:t>
      </w:r>
      <w:r w:rsidR="00F7638C">
        <w:t>.</w:t>
      </w:r>
      <w:r>
        <w:t xml:space="preserve"> </w:t>
      </w:r>
      <w:r w:rsidR="00716BE3">
        <w:t xml:space="preserve">This includes </w:t>
      </w:r>
      <w:r>
        <w:t>oversight of incidents that involve deaths or serious injuries after police contact.</w:t>
      </w:r>
    </w:p>
    <w:p w14:paraId="2C00D09F" w14:textId="4FD8B6A9" w:rsidR="0006400C" w:rsidRPr="005F7068" w:rsidRDefault="0006400C" w:rsidP="00F9275C">
      <w:pPr>
        <w:pStyle w:val="BodyText"/>
        <w:rPr>
          <w:lang w:eastAsia="en-AU"/>
        </w:rPr>
      </w:pPr>
      <w:r w:rsidRPr="005F7068">
        <w:rPr>
          <w:lang w:eastAsia="en-AU"/>
        </w:rPr>
        <w:t xml:space="preserve">Following our thematic review of Victoria Police investigations into allegations of excessive force, we made </w:t>
      </w:r>
      <w:r w:rsidR="00FF2380" w:rsidRPr="00FF2380">
        <w:rPr>
          <w:lang w:eastAsia="en-AU"/>
        </w:rPr>
        <w:t xml:space="preserve">a request </w:t>
      </w:r>
      <w:r w:rsidR="00705BEE" w:rsidRPr="005F7068">
        <w:rPr>
          <w:lang w:eastAsia="en-AU"/>
        </w:rPr>
        <w:t xml:space="preserve">to Victoria Police </w:t>
      </w:r>
      <w:r w:rsidR="00FF2380" w:rsidRPr="00FF2380">
        <w:rPr>
          <w:lang w:eastAsia="en-AU"/>
        </w:rPr>
        <w:t>to take action</w:t>
      </w:r>
      <w:r w:rsidRPr="005F7068">
        <w:rPr>
          <w:lang w:eastAsia="en-AU"/>
        </w:rPr>
        <w:t xml:space="preserve"> </w:t>
      </w:r>
      <w:r w:rsidR="00705BEE">
        <w:rPr>
          <w:lang w:eastAsia="en-AU"/>
        </w:rPr>
        <w:t>to</w:t>
      </w:r>
      <w:r w:rsidRPr="005F7068">
        <w:rPr>
          <w:lang w:eastAsia="en-AU"/>
        </w:rPr>
        <w:t xml:space="preserve"> improv</w:t>
      </w:r>
      <w:r w:rsidR="00705BEE">
        <w:rPr>
          <w:lang w:eastAsia="en-AU"/>
        </w:rPr>
        <w:t>e</w:t>
      </w:r>
      <w:r w:rsidRPr="005F7068">
        <w:rPr>
          <w:lang w:eastAsia="en-AU"/>
        </w:rPr>
        <w:t xml:space="preserve"> its </w:t>
      </w:r>
      <w:r>
        <w:rPr>
          <w:lang w:eastAsia="en-AU"/>
        </w:rPr>
        <w:t xml:space="preserve">policies and </w:t>
      </w:r>
      <w:r w:rsidRPr="005F7068">
        <w:rPr>
          <w:lang w:eastAsia="en-AU"/>
        </w:rPr>
        <w:t>procedures</w:t>
      </w:r>
      <w:r>
        <w:rPr>
          <w:lang w:eastAsia="en-AU"/>
        </w:rPr>
        <w:t xml:space="preserve"> and </w:t>
      </w:r>
      <w:r w:rsidR="00753E03">
        <w:rPr>
          <w:lang w:eastAsia="en-AU"/>
        </w:rPr>
        <w:t xml:space="preserve">to </w:t>
      </w:r>
      <w:r>
        <w:rPr>
          <w:lang w:eastAsia="en-AU"/>
        </w:rPr>
        <w:t>ensur</w:t>
      </w:r>
      <w:r w:rsidR="00753E03">
        <w:rPr>
          <w:lang w:eastAsia="en-AU"/>
        </w:rPr>
        <w:t>e</w:t>
      </w:r>
      <w:r>
        <w:rPr>
          <w:lang w:eastAsia="en-AU"/>
        </w:rPr>
        <w:t xml:space="preserve"> </w:t>
      </w:r>
      <w:r w:rsidR="00753E03">
        <w:rPr>
          <w:lang w:eastAsia="en-AU"/>
        </w:rPr>
        <w:t xml:space="preserve">that </w:t>
      </w:r>
      <w:r>
        <w:rPr>
          <w:lang w:eastAsia="en-AU"/>
        </w:rPr>
        <w:t>police actions are lawful and appropriate</w:t>
      </w:r>
      <w:r w:rsidRPr="005F7068">
        <w:rPr>
          <w:lang w:eastAsia="en-AU"/>
        </w:rPr>
        <w:t xml:space="preserve">. Most of the </w:t>
      </w:r>
      <w:r w:rsidR="0038142C">
        <w:rPr>
          <w:lang w:eastAsia="en-AU"/>
        </w:rPr>
        <w:t xml:space="preserve">actions in our </w:t>
      </w:r>
      <w:r w:rsidR="00576B65">
        <w:rPr>
          <w:lang w:eastAsia="en-AU"/>
        </w:rPr>
        <w:t>request</w:t>
      </w:r>
      <w:r w:rsidR="0038142C">
        <w:rPr>
          <w:lang w:eastAsia="en-AU"/>
        </w:rPr>
        <w:t xml:space="preserve"> </w:t>
      </w:r>
      <w:r w:rsidRPr="005F7068">
        <w:rPr>
          <w:lang w:eastAsia="en-AU"/>
        </w:rPr>
        <w:t xml:space="preserve">were accepted and we </w:t>
      </w:r>
      <w:r w:rsidR="00011412">
        <w:rPr>
          <w:lang w:eastAsia="en-AU"/>
        </w:rPr>
        <w:t xml:space="preserve">plan to </w:t>
      </w:r>
      <w:r w:rsidRPr="005F7068">
        <w:rPr>
          <w:lang w:eastAsia="en-AU"/>
        </w:rPr>
        <w:t>publish th</w:t>
      </w:r>
      <w:r w:rsidR="00E64FBF">
        <w:rPr>
          <w:lang w:eastAsia="en-AU"/>
        </w:rPr>
        <w:t>ese outcomes</w:t>
      </w:r>
      <w:r w:rsidRPr="005F7068">
        <w:rPr>
          <w:lang w:eastAsia="en-AU"/>
        </w:rPr>
        <w:t xml:space="preserve"> in </w:t>
      </w:r>
      <w:r w:rsidR="000A1691">
        <w:rPr>
          <w:lang w:eastAsia="en-AU"/>
        </w:rPr>
        <w:t>2023/24</w:t>
      </w:r>
      <w:r w:rsidRPr="005F7068">
        <w:rPr>
          <w:lang w:eastAsia="en-AU"/>
        </w:rPr>
        <w:t>.</w:t>
      </w:r>
    </w:p>
    <w:p w14:paraId="1B62E6BD" w14:textId="3DC69D3E" w:rsidR="002472DE" w:rsidRDefault="0006400C" w:rsidP="00F9275C">
      <w:pPr>
        <w:pStyle w:val="BodyText"/>
      </w:pPr>
      <w:r>
        <w:t>We play a key role in upholding integrity standards and preventing police misconduct. Our independent police oversight activities will continue to be targeted and transparent to better meet the needs of all Victorians, with a specific focus on those who may be vulnerable or experience marginalisation.</w:t>
      </w:r>
    </w:p>
    <w:p w14:paraId="75AADAFF" w14:textId="03987B95" w:rsidR="007E5C78" w:rsidRPr="00F9275C" w:rsidRDefault="007E5C78" w:rsidP="007E5C78">
      <w:pPr>
        <w:pStyle w:val="Heading2"/>
      </w:pPr>
      <w:bookmarkStart w:id="66" w:name="_Toc149127898"/>
      <w:r>
        <w:t>Police oversight</w:t>
      </w:r>
      <w:bookmarkEnd w:id="66"/>
    </w:p>
    <w:p w14:paraId="61DF5F53" w14:textId="1757B90D" w:rsidR="002165D5" w:rsidRDefault="002165D5" w:rsidP="006B49EE">
      <w:pPr>
        <w:pStyle w:val="Heading3"/>
      </w:pPr>
      <w:bookmarkStart w:id="67" w:name="_Ref143606178"/>
      <w:bookmarkStart w:id="68" w:name="_Toc149127899"/>
      <w:r w:rsidRPr="002165D5">
        <w:t>Strategic focus areas</w:t>
      </w:r>
      <w:bookmarkEnd w:id="67"/>
      <w:bookmarkEnd w:id="68"/>
    </w:p>
    <w:p w14:paraId="33417148" w14:textId="3E32887B" w:rsidR="00AB229A" w:rsidRDefault="00BE459C" w:rsidP="00AB229A">
      <w:pPr>
        <w:pStyle w:val="BodyText"/>
        <w:rPr>
          <w:lang w:eastAsia="en-AU"/>
        </w:rPr>
      </w:pPr>
      <w:r>
        <w:rPr>
          <w:lang w:eastAsia="en-AU"/>
        </w:rPr>
        <w:t xml:space="preserve">In </w:t>
      </w:r>
      <w:r w:rsidR="000A1691">
        <w:rPr>
          <w:lang w:eastAsia="en-AU"/>
        </w:rPr>
        <w:t>2022/23</w:t>
      </w:r>
      <w:r>
        <w:rPr>
          <w:lang w:eastAsia="en-AU"/>
        </w:rPr>
        <w:t>, three s</w:t>
      </w:r>
      <w:r w:rsidR="00AB229A">
        <w:rPr>
          <w:lang w:eastAsia="en-AU"/>
        </w:rPr>
        <w:t>trategic focus areas guide</w:t>
      </w:r>
      <w:r>
        <w:rPr>
          <w:lang w:eastAsia="en-AU"/>
        </w:rPr>
        <w:t>d</w:t>
      </w:r>
      <w:r w:rsidR="00AB229A">
        <w:rPr>
          <w:lang w:eastAsia="en-AU"/>
        </w:rPr>
        <w:t xml:space="preserve"> our work to prevent and expose police misconduct</w:t>
      </w:r>
      <w:r>
        <w:rPr>
          <w:lang w:eastAsia="en-AU"/>
        </w:rPr>
        <w:t>:</w:t>
      </w:r>
    </w:p>
    <w:p w14:paraId="70A3A708" w14:textId="1B41BEF7" w:rsidR="00AB229A" w:rsidRDefault="00BF3C3B" w:rsidP="00873789">
      <w:pPr>
        <w:pStyle w:val="ListBullet"/>
      </w:pPr>
      <w:r>
        <w:t>h</w:t>
      </w:r>
      <w:r w:rsidR="00AB229A">
        <w:t>igh</w:t>
      </w:r>
      <w:r w:rsidR="00F853EC">
        <w:t>-</w:t>
      </w:r>
      <w:r w:rsidR="00AB229A">
        <w:t>risk police units, divisions and regions</w:t>
      </w:r>
    </w:p>
    <w:p w14:paraId="514BC083" w14:textId="2AFF370A" w:rsidR="00AB229A" w:rsidRDefault="00BF3C3B" w:rsidP="00873789">
      <w:pPr>
        <w:pStyle w:val="ListBullet"/>
      </w:pPr>
      <w:r>
        <w:t>u</w:t>
      </w:r>
      <w:r w:rsidR="00AB229A">
        <w:t>se of force on people at risk</w:t>
      </w:r>
    </w:p>
    <w:p w14:paraId="03AC2876" w14:textId="0F80A1FF" w:rsidR="00AB229A" w:rsidRDefault="00BF3C3B" w:rsidP="006A2A41">
      <w:pPr>
        <w:pStyle w:val="ListBullet"/>
        <w:rPr>
          <w:lang w:eastAsia="en-AU"/>
        </w:rPr>
      </w:pPr>
      <w:r>
        <w:t>p</w:t>
      </w:r>
      <w:r w:rsidR="00AB229A">
        <w:t>olice responses to family violence incidents and predatory behaviour</w:t>
      </w:r>
      <w:r>
        <w:t>.</w:t>
      </w:r>
    </w:p>
    <w:p w14:paraId="7A41C105" w14:textId="506768B2" w:rsidR="00AB229A" w:rsidRDefault="00BD3DE1" w:rsidP="00B07072">
      <w:pPr>
        <w:pStyle w:val="Heading4"/>
      </w:pPr>
      <w:r w:rsidRPr="00BD3DE1">
        <w:t>High-risk police units, divisions and regions</w:t>
      </w:r>
    </w:p>
    <w:p w14:paraId="6FAAC4E1" w14:textId="1DE5031D" w:rsidR="00AB229A" w:rsidRDefault="00BD3DE1" w:rsidP="00AB229A">
      <w:pPr>
        <w:pStyle w:val="BodyText"/>
        <w:rPr>
          <w:lang w:eastAsia="en-AU"/>
        </w:rPr>
      </w:pPr>
      <w:r w:rsidRPr="00BD3DE1">
        <w:rPr>
          <w:lang w:eastAsia="en-AU"/>
        </w:rPr>
        <w:t>We focused on police misconduct and corruption in identified high-risk regions, divisions and work units within Victoria Police. Our intelligence inform</w:t>
      </w:r>
      <w:r w:rsidR="00BE459C">
        <w:rPr>
          <w:lang w:eastAsia="en-AU"/>
        </w:rPr>
        <w:t>ed our</w:t>
      </w:r>
      <w:r w:rsidRPr="00BD3DE1">
        <w:rPr>
          <w:lang w:eastAsia="en-AU"/>
        </w:rPr>
        <w:t xml:space="preserve"> investigation priorities and prevention strategies</w:t>
      </w:r>
      <w:r w:rsidR="00F60322">
        <w:rPr>
          <w:lang w:eastAsia="en-AU"/>
        </w:rPr>
        <w:t>, which are</w:t>
      </w:r>
      <w:r w:rsidR="00BE459C">
        <w:rPr>
          <w:lang w:eastAsia="en-AU"/>
        </w:rPr>
        <w:t xml:space="preserve"> aim</w:t>
      </w:r>
      <w:r w:rsidR="00F60322">
        <w:rPr>
          <w:lang w:eastAsia="en-AU"/>
        </w:rPr>
        <w:t>ed</w:t>
      </w:r>
      <w:r w:rsidR="00BE459C">
        <w:rPr>
          <w:lang w:eastAsia="en-AU"/>
        </w:rPr>
        <w:t xml:space="preserve"> </w:t>
      </w:r>
      <w:r w:rsidR="00F60322">
        <w:rPr>
          <w:lang w:eastAsia="en-AU"/>
        </w:rPr>
        <w:t xml:space="preserve">at </w:t>
      </w:r>
      <w:r w:rsidRPr="00BD3DE1">
        <w:rPr>
          <w:lang w:eastAsia="en-AU"/>
        </w:rPr>
        <w:t>strengthen</w:t>
      </w:r>
      <w:r w:rsidR="00BE459C">
        <w:rPr>
          <w:lang w:eastAsia="en-AU"/>
        </w:rPr>
        <w:t>ing</w:t>
      </w:r>
      <w:r w:rsidRPr="00BD3DE1">
        <w:rPr>
          <w:lang w:eastAsia="en-AU"/>
        </w:rPr>
        <w:t xml:space="preserve"> IBAC’s oversight of Victoria Police</w:t>
      </w:r>
      <w:r w:rsidR="00F60322">
        <w:rPr>
          <w:lang w:eastAsia="en-AU"/>
        </w:rPr>
        <w:t>, improving its integrity culture,</w:t>
      </w:r>
      <w:r w:rsidR="00BE459C">
        <w:rPr>
          <w:lang w:eastAsia="en-AU"/>
        </w:rPr>
        <w:t xml:space="preserve"> </w:t>
      </w:r>
      <w:r w:rsidRPr="00BD3DE1">
        <w:rPr>
          <w:lang w:eastAsia="en-AU"/>
        </w:rPr>
        <w:t>and increas</w:t>
      </w:r>
      <w:r w:rsidR="00BE459C">
        <w:rPr>
          <w:lang w:eastAsia="en-AU"/>
        </w:rPr>
        <w:t xml:space="preserve">ing </w:t>
      </w:r>
      <w:r w:rsidRPr="00BD3DE1">
        <w:rPr>
          <w:lang w:eastAsia="en-AU"/>
        </w:rPr>
        <w:t>its resistance</w:t>
      </w:r>
      <w:r w:rsidR="00994509">
        <w:rPr>
          <w:lang w:eastAsia="en-AU"/>
        </w:rPr>
        <w:t xml:space="preserve"> to corruption and misconduct</w:t>
      </w:r>
      <w:r w:rsidRPr="00BD3DE1">
        <w:rPr>
          <w:lang w:eastAsia="en-AU"/>
        </w:rPr>
        <w:t>.</w:t>
      </w:r>
    </w:p>
    <w:p w14:paraId="363215AF" w14:textId="52F21310" w:rsidR="00505B1B" w:rsidRPr="00505B1B" w:rsidRDefault="00C0608F" w:rsidP="00B07072">
      <w:pPr>
        <w:pStyle w:val="Heading5"/>
      </w:pPr>
      <w:r>
        <w:t xml:space="preserve">Police </w:t>
      </w:r>
      <w:r w:rsidR="0040074A">
        <w:t>r</w:t>
      </w:r>
      <w:r w:rsidR="00505B1B" w:rsidRPr="00505B1B">
        <w:t>isk system</w:t>
      </w:r>
    </w:p>
    <w:p w14:paraId="3A769A1E" w14:textId="0A448406" w:rsidR="00505B1B" w:rsidRPr="00505B1B" w:rsidRDefault="00505B1B" w:rsidP="00505B1B">
      <w:pPr>
        <w:pStyle w:val="BodyText"/>
      </w:pPr>
      <w:r w:rsidRPr="00505B1B">
        <w:t>IBAC uses a new</w:t>
      </w:r>
      <w:r w:rsidR="00023225">
        <w:t xml:space="preserve"> </w:t>
      </w:r>
      <w:r w:rsidRPr="00505B1B">
        <w:t>risk system to identify areas with a high risk of police misconduct and corruption.</w:t>
      </w:r>
    </w:p>
    <w:p w14:paraId="73033C93" w14:textId="48578091" w:rsidR="00505B1B" w:rsidRPr="00505B1B" w:rsidRDefault="00505B1B" w:rsidP="00505B1B">
      <w:pPr>
        <w:pStyle w:val="BodyText"/>
      </w:pPr>
      <w:r w:rsidRPr="00505B1B">
        <w:t xml:space="preserve">This new risk system uses a </w:t>
      </w:r>
      <w:r w:rsidR="00FF2380">
        <w:t>combination</w:t>
      </w:r>
      <w:r w:rsidR="00FF2380" w:rsidRPr="00505B1B">
        <w:t xml:space="preserve"> </w:t>
      </w:r>
      <w:r w:rsidRPr="00505B1B">
        <w:t>of open-source</w:t>
      </w:r>
      <w:r w:rsidR="00FF2380">
        <w:t>,</w:t>
      </w:r>
      <w:r w:rsidRPr="00505B1B">
        <w:t xml:space="preserve"> Victoria Police and IBAC data to:</w:t>
      </w:r>
    </w:p>
    <w:p w14:paraId="5E37BEC6" w14:textId="77777777" w:rsidR="00505B1B" w:rsidRPr="00505B1B" w:rsidRDefault="00505B1B" w:rsidP="00505B1B">
      <w:pPr>
        <w:pStyle w:val="ListBullet"/>
        <w:numPr>
          <w:ilvl w:val="0"/>
          <w:numId w:val="3"/>
        </w:numPr>
        <w:rPr>
          <w:rFonts w:eastAsia="Calibri"/>
        </w:rPr>
      </w:pPr>
      <w:r w:rsidRPr="00505B1B">
        <w:t>provide risk scores for general duties stations</w:t>
      </w:r>
    </w:p>
    <w:p w14:paraId="1B9E9703" w14:textId="2ECB2AA3" w:rsidR="00505B1B" w:rsidRPr="00505B1B" w:rsidRDefault="00505B1B" w:rsidP="00505B1B">
      <w:pPr>
        <w:pStyle w:val="ListBullet"/>
        <w:numPr>
          <w:ilvl w:val="0"/>
          <w:numId w:val="3"/>
        </w:numPr>
      </w:pPr>
      <w:r w:rsidRPr="00505B1B">
        <w:t xml:space="preserve">inform </w:t>
      </w:r>
      <w:r w:rsidR="00E306C0">
        <w:t>our</w:t>
      </w:r>
      <w:r w:rsidR="00E306C0" w:rsidRPr="00505B1B">
        <w:t xml:space="preserve"> </w:t>
      </w:r>
      <w:r w:rsidRPr="00505B1B">
        <w:t xml:space="preserve">decision-making processes, particularly those related to the assessment of complaints, notifications and </w:t>
      </w:r>
      <w:r w:rsidR="00E306C0">
        <w:t>our</w:t>
      </w:r>
      <w:r w:rsidR="00E306C0" w:rsidRPr="00505B1B">
        <w:t xml:space="preserve"> </w:t>
      </w:r>
      <w:r w:rsidRPr="00505B1B">
        <w:t>prevention activities</w:t>
      </w:r>
    </w:p>
    <w:p w14:paraId="2E1402D7" w14:textId="77777777" w:rsidR="00505B1B" w:rsidRPr="00505B1B" w:rsidRDefault="00505B1B" w:rsidP="00505B1B">
      <w:pPr>
        <w:pStyle w:val="ListBullet"/>
        <w:numPr>
          <w:ilvl w:val="0"/>
          <w:numId w:val="3"/>
        </w:numPr>
        <w:rPr>
          <w:rFonts w:eastAsia="Calibri"/>
        </w:rPr>
      </w:pPr>
      <w:r w:rsidRPr="00505B1B">
        <w:rPr>
          <w:rFonts w:eastAsia="Calibri"/>
        </w:rPr>
        <w:t>prioritise resources and understand the drivers of risk</w:t>
      </w:r>
    </w:p>
    <w:p w14:paraId="50BDC726" w14:textId="5EDD2ACB" w:rsidR="00505B1B" w:rsidRPr="00505B1B" w:rsidRDefault="00505B1B" w:rsidP="00505B1B">
      <w:pPr>
        <w:pStyle w:val="ListBullet"/>
        <w:numPr>
          <w:ilvl w:val="0"/>
          <w:numId w:val="3"/>
        </w:numPr>
        <w:rPr>
          <w:rFonts w:eastAsia="Calibri"/>
        </w:rPr>
      </w:pPr>
      <w:r w:rsidRPr="00505B1B">
        <w:rPr>
          <w:rFonts w:eastAsia="Calibri"/>
        </w:rPr>
        <w:t xml:space="preserve">provide insights about </w:t>
      </w:r>
      <w:r w:rsidR="00E306C0">
        <w:rPr>
          <w:rFonts w:eastAsia="Calibri"/>
        </w:rPr>
        <w:t>our</w:t>
      </w:r>
      <w:r w:rsidR="00E306C0" w:rsidRPr="00505B1B">
        <w:rPr>
          <w:rFonts w:eastAsia="Calibri"/>
        </w:rPr>
        <w:t xml:space="preserve"> </w:t>
      </w:r>
      <w:r w:rsidRPr="00505B1B">
        <w:rPr>
          <w:rFonts w:eastAsia="Calibri"/>
        </w:rPr>
        <w:t>strategic focus areas.</w:t>
      </w:r>
    </w:p>
    <w:p w14:paraId="63F568E7" w14:textId="5FEC0E85" w:rsidR="00CC3B52" w:rsidRDefault="00E306C0" w:rsidP="00505B1B">
      <w:pPr>
        <w:pStyle w:val="BodyText"/>
      </w:pPr>
      <w:r>
        <w:t>We</w:t>
      </w:r>
      <w:r w:rsidRPr="00505B1B">
        <w:t xml:space="preserve"> </w:t>
      </w:r>
      <w:r w:rsidR="00505B1B" w:rsidRPr="00505B1B">
        <w:t xml:space="preserve">will review this system </w:t>
      </w:r>
      <w:r w:rsidR="007A501E">
        <w:t>regularly</w:t>
      </w:r>
      <w:r w:rsidR="0040074A">
        <w:t xml:space="preserve"> </w:t>
      </w:r>
      <w:r w:rsidR="00505B1B" w:rsidRPr="00505B1B">
        <w:t xml:space="preserve">and </w:t>
      </w:r>
      <w:r w:rsidR="007A501E">
        <w:t>conduct</w:t>
      </w:r>
      <w:r w:rsidR="00505B1B" w:rsidRPr="00505B1B">
        <w:t xml:space="preserve"> periodic internal performance review</w:t>
      </w:r>
      <w:r w:rsidR="007A501E">
        <w:t>s</w:t>
      </w:r>
      <w:r w:rsidR="00FF2380">
        <w:t xml:space="preserve"> and refreshes</w:t>
      </w:r>
      <w:r w:rsidR="00505B1B" w:rsidRPr="00505B1B">
        <w:t xml:space="preserve"> to ensure it remains an effective, efficient and accurate tool.</w:t>
      </w:r>
    </w:p>
    <w:p w14:paraId="43670069" w14:textId="262E7337" w:rsidR="00EB01A2" w:rsidRDefault="00EB01A2" w:rsidP="00B07072">
      <w:pPr>
        <w:pStyle w:val="Heading5"/>
      </w:pPr>
      <w:r>
        <w:t xml:space="preserve">Special report – </w:t>
      </w:r>
      <w:r w:rsidR="009D795A" w:rsidRPr="2A052051">
        <w:t>Critical Incident Response Team</w:t>
      </w:r>
    </w:p>
    <w:p w14:paraId="57558722" w14:textId="217E2E45" w:rsidR="00EB01A2" w:rsidRDefault="00EB01A2" w:rsidP="00EB01A2">
      <w:pPr>
        <w:pStyle w:val="BodyText"/>
        <w:rPr>
          <w:rFonts w:cs="Calibri"/>
        </w:rPr>
      </w:pPr>
      <w:r w:rsidRPr="2A052051">
        <w:rPr>
          <w:rFonts w:cs="Calibri"/>
        </w:rPr>
        <w:t xml:space="preserve">In October 2022, </w:t>
      </w:r>
      <w:r>
        <w:rPr>
          <w:rFonts w:cs="Calibri"/>
        </w:rPr>
        <w:t>we</w:t>
      </w:r>
      <w:r w:rsidRPr="2A052051">
        <w:rPr>
          <w:rFonts w:cs="Calibri"/>
        </w:rPr>
        <w:t xml:space="preserve"> published a special report on misconduct issues and risks associated with Victoria Police's CIRT.</w:t>
      </w:r>
    </w:p>
    <w:p w14:paraId="072E0A9B" w14:textId="77777777" w:rsidR="00EB01A2" w:rsidRDefault="00EB01A2" w:rsidP="00EB01A2">
      <w:pPr>
        <w:pStyle w:val="BodyText"/>
        <w:rPr>
          <w:rFonts w:cs="Calibri"/>
        </w:rPr>
      </w:pPr>
      <w:r w:rsidRPr="2A052051">
        <w:rPr>
          <w:rFonts w:cs="Calibri"/>
        </w:rPr>
        <w:t xml:space="preserve">The report used findings from several incidents involving CIRT officers that highlighted misconduct issues and risks, including: </w:t>
      </w:r>
    </w:p>
    <w:p w14:paraId="0C599B54" w14:textId="534D8B52" w:rsidR="00EB01A2" w:rsidRPr="00536681" w:rsidRDefault="00EB01A2" w:rsidP="00EB01A2">
      <w:pPr>
        <w:pStyle w:val="ListBullet"/>
      </w:pPr>
      <w:r w:rsidRPr="00536681">
        <w:t xml:space="preserve">inaccurate </w:t>
      </w:r>
      <w:r w:rsidR="00FC03A7" w:rsidRPr="00536681">
        <w:t xml:space="preserve">reporting </w:t>
      </w:r>
      <w:r w:rsidR="00FC03A7">
        <w:t>o</w:t>
      </w:r>
      <w:r w:rsidR="0000047A">
        <w:t>n</w:t>
      </w:r>
      <w:r w:rsidR="00FC03A7">
        <w:t xml:space="preserve"> </w:t>
      </w:r>
      <w:r w:rsidRPr="00536681">
        <w:t>use</w:t>
      </w:r>
      <w:r w:rsidR="008E03F6">
        <w:t xml:space="preserve"> </w:t>
      </w:r>
      <w:r w:rsidRPr="00536681">
        <w:t>of</w:t>
      </w:r>
      <w:r w:rsidR="008E03F6">
        <w:t xml:space="preserve"> </w:t>
      </w:r>
      <w:r w:rsidRPr="00536681">
        <w:t>force</w:t>
      </w:r>
    </w:p>
    <w:p w14:paraId="64A88FC6" w14:textId="77777777" w:rsidR="00EB01A2" w:rsidRPr="00536681" w:rsidRDefault="00EB01A2" w:rsidP="00EB01A2">
      <w:pPr>
        <w:pStyle w:val="ListBullet"/>
      </w:pPr>
      <w:r w:rsidRPr="00536681">
        <w:t>inadequate risk assessment processes, which can increase the risk of using force on members of the public</w:t>
      </w:r>
    </w:p>
    <w:p w14:paraId="29B5AD9D" w14:textId="1348B500" w:rsidR="00BE78D0" w:rsidRDefault="00EB01A2" w:rsidP="00EB01A2">
      <w:pPr>
        <w:pStyle w:val="ListBullet"/>
      </w:pPr>
      <w:r w:rsidRPr="00536681">
        <w:t>poor communication by CIRT officers when responding to incidents</w:t>
      </w:r>
    </w:p>
    <w:p w14:paraId="31A089DB" w14:textId="48243783" w:rsidR="00EB01A2" w:rsidRPr="00536681" w:rsidRDefault="00EB01A2" w:rsidP="00EB01A2">
      <w:pPr>
        <w:pStyle w:val="ListBullet"/>
      </w:pPr>
      <w:r w:rsidRPr="00536681">
        <w:t>CIRT officers acting inconsistently with the Charter of Human Rights.</w:t>
      </w:r>
    </w:p>
    <w:p w14:paraId="76D551C0" w14:textId="7DF5E7F8" w:rsidR="00EB01A2" w:rsidRDefault="00EB01A2" w:rsidP="00EB01A2">
      <w:pPr>
        <w:pStyle w:val="BodyText"/>
        <w:rPr>
          <w:rFonts w:cs="Calibri"/>
        </w:rPr>
      </w:pPr>
      <w:r w:rsidRPr="1F751BE5">
        <w:rPr>
          <w:rFonts w:cs="Calibri"/>
        </w:rPr>
        <w:t>The report made six recommendations to Victoria Police</w:t>
      </w:r>
      <w:r w:rsidR="0017386E">
        <w:rPr>
          <w:rFonts w:cs="Calibri"/>
        </w:rPr>
        <w:t xml:space="preserve">, which </w:t>
      </w:r>
      <w:r w:rsidR="00FF2380" w:rsidRPr="00FF2380">
        <w:rPr>
          <w:rFonts w:cs="Calibri"/>
        </w:rPr>
        <w:t>are currently being implemented</w:t>
      </w:r>
      <w:r w:rsidRPr="1F751BE5">
        <w:rPr>
          <w:rFonts w:cs="Calibri"/>
        </w:rPr>
        <w:t>.</w:t>
      </w:r>
    </w:p>
    <w:p w14:paraId="5A1810D9" w14:textId="6E0698F1" w:rsidR="006B49EE" w:rsidRPr="002325EE" w:rsidRDefault="00497C5B" w:rsidP="00B07072">
      <w:pPr>
        <w:pStyle w:val="Heading5"/>
      </w:pPr>
      <w:r w:rsidRPr="00497C5B">
        <w:t>Perceptions of corruption surveys</w:t>
      </w:r>
      <w:r>
        <w:t xml:space="preserve"> </w:t>
      </w:r>
    </w:p>
    <w:p w14:paraId="7A7889B6" w14:textId="44E47718" w:rsidR="00EC4607" w:rsidRDefault="00EC4607" w:rsidP="00EC4607">
      <w:pPr>
        <w:pStyle w:val="BodyText"/>
      </w:pPr>
      <w:r>
        <w:t xml:space="preserve">In August 2022, 1,001 Victoria Police employees participated in the perceptions of corruption surveys. </w:t>
      </w:r>
    </w:p>
    <w:p w14:paraId="7D4803D3" w14:textId="74961AF3" w:rsidR="00EC4607" w:rsidRDefault="00EC4607" w:rsidP="00EC4607">
      <w:pPr>
        <w:pStyle w:val="BodyText"/>
      </w:pPr>
      <w:r>
        <w:t xml:space="preserve">In addition to the findings from surveys conducted in May 2022 (with public sector and local government employees, business suppliers and the Victorian community), the findings from the </w:t>
      </w:r>
      <w:hyperlink r:id="rId39" w:history="1">
        <w:r w:rsidRPr="004A3395">
          <w:rPr>
            <w:rStyle w:val="Hyperlink"/>
          </w:rPr>
          <w:t>Victoria Police survey</w:t>
        </w:r>
      </w:hyperlink>
      <w:r>
        <w:t xml:space="preserve"> and an </w:t>
      </w:r>
      <w:r w:rsidR="004A3395" w:rsidRPr="004A3395">
        <w:t>easy-to-read infographic</w:t>
      </w:r>
      <w:r>
        <w:t xml:space="preserve"> were published on</w:t>
      </w:r>
      <w:r w:rsidR="00E91200">
        <w:t xml:space="preserve"> the</w:t>
      </w:r>
      <w:r>
        <w:t xml:space="preserve"> </w:t>
      </w:r>
      <w:r w:rsidRPr="00037344">
        <w:t>IBAC website</w:t>
      </w:r>
      <w:r>
        <w:t xml:space="preserve"> (</w:t>
      </w:r>
      <w:r w:rsidR="009D01DB" w:rsidRPr="009D01DB">
        <w:t>www.ibac.vic.gov.au/perceptions-corruption-2022-victoria-police</w:t>
      </w:r>
      <w:r>
        <w:t xml:space="preserve">) in December 2022. </w:t>
      </w:r>
    </w:p>
    <w:p w14:paraId="4EC7A778" w14:textId="14E49774" w:rsidR="00EC4607" w:rsidRDefault="00EC4607" w:rsidP="00EC4607">
      <w:pPr>
        <w:pStyle w:val="BodyText"/>
      </w:pPr>
      <w:r>
        <w:t>A report outlining the findings was provided to Victoria Police.</w:t>
      </w:r>
    </w:p>
    <w:p w14:paraId="5C707D22" w14:textId="6BBD4E27" w:rsidR="00EC4607" w:rsidRDefault="00EC4607" w:rsidP="00EC4607">
      <w:pPr>
        <w:pStyle w:val="BodyText"/>
      </w:pPr>
      <w:r>
        <w:t>We have incorporated discussion on the key findings into our Victoria Police education program, which includes sessions delivered to new recruits</w:t>
      </w:r>
      <w:r w:rsidR="00726936">
        <w:t>,</w:t>
      </w:r>
      <w:r>
        <w:t xml:space="preserve"> the Police Managers Qualifying Program</w:t>
      </w:r>
      <w:r w:rsidR="00726936">
        <w:t>, and inspector and superintendent development programs</w:t>
      </w:r>
      <w:r>
        <w:t xml:space="preserve">. </w:t>
      </w:r>
    </w:p>
    <w:p w14:paraId="627D79AF" w14:textId="44669572" w:rsidR="00EC4607" w:rsidRDefault="00EC4607" w:rsidP="00EC4607">
      <w:pPr>
        <w:pStyle w:val="BodyText"/>
      </w:pPr>
      <w:r>
        <w:t>We delivered a public webinar in March 2023 to communicate the key findings and opportunities for prevention activities identified in the perceptions of corruption survey.</w:t>
      </w:r>
    </w:p>
    <w:p w14:paraId="048FCFFA" w14:textId="5DD10543" w:rsidR="00EC4607" w:rsidRPr="00D91F9B" w:rsidRDefault="00FF2380" w:rsidP="00B07072">
      <w:pPr>
        <w:pStyle w:val="Heading5"/>
      </w:pPr>
      <w:r w:rsidRPr="00FF2380">
        <w:t>Collaboration with Victoria Police</w:t>
      </w:r>
    </w:p>
    <w:p w14:paraId="64A61F36" w14:textId="0A2DE85D" w:rsidR="006A2A41" w:rsidRPr="006A2A41" w:rsidRDefault="00FF2380" w:rsidP="006A2A41">
      <w:pPr>
        <w:pStyle w:val="BodyText"/>
        <w:rPr>
          <w:lang w:eastAsia="en-AU"/>
        </w:rPr>
      </w:pPr>
      <w:r w:rsidRPr="00FF2380">
        <w:t xml:space="preserve">Throughout </w:t>
      </w:r>
      <w:r w:rsidR="000A1691">
        <w:t>2022/23</w:t>
      </w:r>
      <w:r w:rsidRPr="00FF2380">
        <w:t xml:space="preserve">, we drafted the police sector profile.  This is one of the corruption prevention resources that will be launched in </w:t>
      </w:r>
      <w:r w:rsidR="000A1691">
        <w:t>2023/24</w:t>
      </w:r>
      <w:r w:rsidRPr="00FF2380">
        <w:t xml:space="preserve"> to provide insights into specific corruption and misconduct risks and prevention strategies. We liaised with Victoria Police on the content and commenced drafting a revised memorandum of understanding to support the way we work with Victoria Police</w:t>
      </w:r>
      <w:r w:rsidR="00EC4607">
        <w:t>.</w:t>
      </w:r>
    </w:p>
    <w:p w14:paraId="75EED73E" w14:textId="0F0CFC7F" w:rsidR="00BB50E0" w:rsidRDefault="003D1216" w:rsidP="00B07072">
      <w:pPr>
        <w:pStyle w:val="Heading5"/>
      </w:pPr>
      <w:bookmarkStart w:id="69" w:name="_Ref149166291"/>
      <w:r>
        <w:t>R</w:t>
      </w:r>
      <w:r w:rsidR="00BB50E0" w:rsidRPr="00BD3DE1">
        <w:t>eview</w:t>
      </w:r>
      <w:r>
        <w:t>s</w:t>
      </w:r>
      <w:bookmarkEnd w:id="69"/>
      <w:r w:rsidR="00BB50E0" w:rsidRPr="00BD3DE1">
        <w:t xml:space="preserve"> </w:t>
      </w:r>
    </w:p>
    <w:p w14:paraId="66C45EAE" w14:textId="77777777" w:rsidR="00BB50E0" w:rsidRDefault="00BB50E0" w:rsidP="00BB50E0">
      <w:pPr>
        <w:pStyle w:val="BodyText"/>
        <w:rPr>
          <w:lang w:eastAsia="en-AU"/>
        </w:rPr>
      </w:pPr>
      <w:r>
        <w:t>As part of our independent oversight of Victoria Police, we review selected internal police investigations</w:t>
      </w:r>
      <w:r w:rsidRPr="0072145B">
        <w:rPr>
          <w:lang w:eastAsia="en-AU"/>
        </w:rPr>
        <w:t xml:space="preserve"> </w:t>
      </w:r>
      <w:r>
        <w:rPr>
          <w:lang w:eastAsia="en-AU"/>
        </w:rPr>
        <w:t>to assess whether:</w:t>
      </w:r>
    </w:p>
    <w:p w14:paraId="16712E7A" w14:textId="77777777" w:rsidR="00BB50E0" w:rsidRDefault="00BB50E0" w:rsidP="00BB50E0">
      <w:pPr>
        <w:pStyle w:val="ListBullet"/>
      </w:pPr>
      <w:r>
        <w:t>they are thorough, impartial and fair</w:t>
      </w:r>
    </w:p>
    <w:p w14:paraId="0F10BC11" w14:textId="77777777" w:rsidR="00BB50E0" w:rsidRDefault="00BB50E0" w:rsidP="00BB50E0">
      <w:pPr>
        <w:pStyle w:val="ListBullet"/>
      </w:pPr>
      <w:r>
        <w:t>findings are evidence-based</w:t>
      </w:r>
    </w:p>
    <w:p w14:paraId="100B7F11" w14:textId="77777777" w:rsidR="00BB50E0" w:rsidRDefault="00BB50E0" w:rsidP="00BB50E0">
      <w:pPr>
        <w:pStyle w:val="ListBullet"/>
      </w:pPr>
      <w:r>
        <w:t>outcomes are reasonable and in accordance with public expectations.</w:t>
      </w:r>
    </w:p>
    <w:p w14:paraId="24166D12" w14:textId="77777777" w:rsidR="00BB50E0" w:rsidRDefault="00BB50E0" w:rsidP="00BB50E0">
      <w:pPr>
        <w:pStyle w:val="BodyText"/>
      </w:pPr>
      <w:r>
        <w:t>When areas of concern indicating possible systemic problems are identified, we conduct a thematic review. This involves an analysis of a series of reviews on a specific theme or topic and usually results in a report identifying systemic and emerging issues for Victoria Police.</w:t>
      </w:r>
    </w:p>
    <w:p w14:paraId="0B63005E" w14:textId="26AB902C" w:rsidR="00BB50E0" w:rsidRDefault="00BB50E0" w:rsidP="00BB50E0">
      <w:pPr>
        <w:pStyle w:val="BodyText"/>
      </w:pPr>
      <w:r>
        <w:rPr>
          <w:lang w:eastAsia="en-AU"/>
        </w:rPr>
        <w:t>Following any review, we consider whether any action is required. Section 160 of the IBAC Act allows us to request that the Chief Commissioner of Police take certain actions. W</w:t>
      </w:r>
      <w:r>
        <w:t>e also work with Victoria Police to drive improvements and provide input into the development of police policies to reduce misconduct, strengthen investigation processes and increase accountability.</w:t>
      </w:r>
      <w:r w:rsidRPr="00BD3DE1">
        <w:t xml:space="preserve"> </w:t>
      </w:r>
      <w:r w:rsidRPr="008237BD">
        <w:t xml:space="preserve"> </w:t>
      </w:r>
    </w:p>
    <w:p w14:paraId="04CB56D3" w14:textId="2FC3F197" w:rsidR="00497C5B" w:rsidRDefault="00BB50E0" w:rsidP="006B49EE">
      <w:pPr>
        <w:pStyle w:val="BodyText"/>
      </w:pPr>
      <w:r>
        <w:t xml:space="preserve">In </w:t>
      </w:r>
      <w:r w:rsidR="000A1691">
        <w:t>2022/23</w:t>
      </w:r>
      <w:r w:rsidR="006A2A41">
        <w:t>,</w:t>
      </w:r>
      <w:r>
        <w:t xml:space="preserve"> we completed a thematic review of Victoria Police investigations into the use of oleoresin capsicum </w:t>
      </w:r>
      <w:r w:rsidR="00D13AAF">
        <w:t xml:space="preserve">(OC) </w:t>
      </w:r>
      <w:r>
        <w:t xml:space="preserve">spray. Publication of this review is planned for </w:t>
      </w:r>
      <w:r w:rsidR="000A1691">
        <w:t>2023/24</w:t>
      </w:r>
      <w:r>
        <w:t xml:space="preserve">. </w:t>
      </w:r>
    </w:p>
    <w:p w14:paraId="14B309D5" w14:textId="37988055" w:rsidR="00892BDB" w:rsidRPr="001E4C95" w:rsidRDefault="00892BDB" w:rsidP="00892BDB">
      <w:pPr>
        <w:pStyle w:val="BodyText"/>
      </w:pPr>
      <w:bookmarkStart w:id="70" w:name="_Ref144732548"/>
      <w:r w:rsidRPr="001E4C95">
        <w:t xml:space="preserve">We are </w:t>
      </w:r>
      <w:r w:rsidR="00DF25C1">
        <w:t xml:space="preserve">also </w:t>
      </w:r>
      <w:r w:rsidRPr="001E4C95">
        <w:t xml:space="preserve">completing a review of Victoria Police’s responses to our recommendations and will publish the findings in a special report in </w:t>
      </w:r>
      <w:r w:rsidR="000A1691">
        <w:t>2023/24</w:t>
      </w:r>
      <w:r w:rsidRPr="001E4C95">
        <w:t>.</w:t>
      </w:r>
    </w:p>
    <w:p w14:paraId="06602682" w14:textId="77777777" w:rsidR="004E5B5E" w:rsidRPr="007211D6" w:rsidRDefault="004E5B5E" w:rsidP="007211D6">
      <w:pPr>
        <w:pStyle w:val="BodyText"/>
      </w:pPr>
      <w:r>
        <w:br w:type="page"/>
      </w:r>
    </w:p>
    <w:p w14:paraId="1EED5D97" w14:textId="4C6CD625" w:rsidR="005771C6" w:rsidRDefault="005771C6" w:rsidP="00B07072">
      <w:pPr>
        <w:pStyle w:val="Heading5"/>
        <w:rPr>
          <w:rFonts w:eastAsia="Calibri"/>
        </w:rPr>
      </w:pPr>
      <w:r>
        <w:rPr>
          <w:rFonts w:eastAsia="Calibri"/>
        </w:rPr>
        <w:t xml:space="preserve">Regional Victorian </w:t>
      </w:r>
      <w:r>
        <w:t>public awareness campaign</w:t>
      </w:r>
    </w:p>
    <w:p w14:paraId="132C384F" w14:textId="77777777" w:rsidR="005771C6" w:rsidRDefault="005771C6" w:rsidP="005771C6">
      <w:pPr>
        <w:pStyle w:val="BodyText"/>
      </w:pPr>
      <w:r>
        <w:t>In April 2023, we relaunched our ‘You have the right to not remain silent’ campaign to encourage regional Victorians to speak out against police misconduct.</w:t>
      </w:r>
    </w:p>
    <w:p w14:paraId="2278E8FF" w14:textId="77777777" w:rsidR="005771C6" w:rsidRDefault="005771C6" w:rsidP="005771C6">
      <w:pPr>
        <w:pStyle w:val="BodyText"/>
      </w:pPr>
      <w:r>
        <w:t>Using short videos, audio clips and digital banners, the campaign raised awareness of our police oversight role and aimed to empower the community to report suspected police misconduct or provide information anonymously.</w:t>
      </w:r>
    </w:p>
    <w:p w14:paraId="138F3E41" w14:textId="77777777" w:rsidR="005771C6" w:rsidRPr="007211D6" w:rsidRDefault="005771C6" w:rsidP="005771C6">
      <w:pPr>
        <w:pStyle w:val="BodyText"/>
      </w:pPr>
      <w:r>
        <w:t>The campaign was promoted again to support our strategic focus area of high-risk police units, divisions and regions, and responded to intelligence that shows it is likely some instances of police misconduct go unreported.</w:t>
      </w:r>
    </w:p>
    <w:p w14:paraId="7953FF41" w14:textId="26F6954B" w:rsidR="005771C6" w:rsidRDefault="005771C6" w:rsidP="005771C6">
      <w:pPr>
        <w:pStyle w:val="BodyText"/>
      </w:pPr>
      <w:r>
        <w:t>The campaign targeted regional areas that may not be familiar with IBAC and was promoted on social media and digital radio channels. It also appeared on shopping centre screens in parts of regional Victoria, including Ballarat, Bairnsdale, Sale, Bendigo, Morwell, Mildura and Shepparton.</w:t>
      </w:r>
    </w:p>
    <w:p w14:paraId="267450EF" w14:textId="082705C3" w:rsidR="005771C6" w:rsidRDefault="005771C6" w:rsidP="005771C6">
      <w:pPr>
        <w:pStyle w:val="BodyText"/>
      </w:pPr>
      <w:r>
        <w:t xml:space="preserve">In line with IBAC’s </w:t>
      </w:r>
      <w:r w:rsidR="002D7E8D" w:rsidRPr="00AF1E70">
        <w:rPr>
          <w:rStyle w:val="Characteritalic"/>
        </w:rPr>
        <w:t>Focus Communities Strategy 2021–23</w:t>
      </w:r>
      <w:r>
        <w:t xml:space="preserve">, a key objective of the </w:t>
      </w:r>
      <w:r w:rsidR="00A45026">
        <w:t xml:space="preserve">‘You have the right to not remain silent’ </w:t>
      </w:r>
      <w:r>
        <w:t xml:space="preserve">campaign was to ensure it was accessible to Victorians who are part of culturally diverse communities. </w:t>
      </w:r>
    </w:p>
    <w:p w14:paraId="57519F17" w14:textId="4112DCDB" w:rsidR="005771C6" w:rsidRDefault="005771C6" w:rsidP="005771C6">
      <w:pPr>
        <w:pStyle w:val="BodyText"/>
      </w:pPr>
      <w:r>
        <w:t xml:space="preserve">The campaign was translated into Arabic, Cantonese, Dari, Hindi, Karen, Mandarin and Vietnamese, and was </w:t>
      </w:r>
      <w:r w:rsidR="007554CA">
        <w:t>broadcast</w:t>
      </w:r>
      <w:r>
        <w:t xml:space="preserve"> on multicultural radio stations.</w:t>
      </w:r>
      <w:r w:rsidRPr="007F0E02">
        <w:t xml:space="preserve"> </w:t>
      </w:r>
      <w:r>
        <w:t xml:space="preserve">We also delivered </w:t>
      </w:r>
      <w:r w:rsidRPr="001808A7">
        <w:t xml:space="preserve">a series of presentations to </w:t>
      </w:r>
      <w:r>
        <w:t>r</w:t>
      </w:r>
      <w:r w:rsidRPr="001808A7">
        <w:t xml:space="preserve">egional Aboriginal </w:t>
      </w:r>
      <w:r>
        <w:t>j</w:t>
      </w:r>
      <w:r w:rsidRPr="001808A7">
        <w:t xml:space="preserve">ustice </w:t>
      </w:r>
      <w:r>
        <w:t>a</w:t>
      </w:r>
      <w:r w:rsidRPr="001808A7">
        <w:t xml:space="preserve">dvisory </w:t>
      </w:r>
      <w:r>
        <w:t>c</w:t>
      </w:r>
      <w:r w:rsidRPr="001808A7">
        <w:t>ommittees around Victoria.</w:t>
      </w:r>
    </w:p>
    <w:p w14:paraId="3481ACB8" w14:textId="55AA30E8" w:rsidR="00EC4607" w:rsidRDefault="00EC4607" w:rsidP="00B07072">
      <w:pPr>
        <w:pStyle w:val="Heading4"/>
      </w:pPr>
      <w:r w:rsidRPr="00EC4607">
        <w:t>Use of force on people at risk</w:t>
      </w:r>
      <w:bookmarkEnd w:id="70"/>
    </w:p>
    <w:p w14:paraId="5DA7C473" w14:textId="47B6CB72" w:rsidR="00DD2E96" w:rsidRDefault="00EC4607" w:rsidP="006B49EE">
      <w:pPr>
        <w:pStyle w:val="BodyText"/>
      </w:pPr>
      <w:r w:rsidRPr="00EC4607">
        <w:t xml:space="preserve">We continued to </w:t>
      </w:r>
      <w:r w:rsidR="00FF2380">
        <w:t>identify</w:t>
      </w:r>
      <w:r w:rsidR="00FF2380" w:rsidRPr="00EC4607">
        <w:t xml:space="preserve"> </w:t>
      </w:r>
      <w:r w:rsidRPr="00EC4607">
        <w:t xml:space="preserve">and </w:t>
      </w:r>
      <w:r w:rsidR="009114F6">
        <w:t xml:space="preserve">assist in the </w:t>
      </w:r>
      <w:r w:rsidRPr="00EC4607">
        <w:t>prevent</w:t>
      </w:r>
      <w:r w:rsidR="009114F6">
        <w:t xml:space="preserve">ion of </w:t>
      </w:r>
      <w:r w:rsidR="00DD2E96">
        <w:t xml:space="preserve">Victoria Police using </w:t>
      </w:r>
      <w:r w:rsidRPr="00EC4607">
        <w:t xml:space="preserve">excessive force against </w:t>
      </w:r>
      <w:r w:rsidR="00AC6702">
        <w:t xml:space="preserve">people from </w:t>
      </w:r>
      <w:r w:rsidRPr="00EC4607">
        <w:t>vulnerab</w:t>
      </w:r>
      <w:r w:rsidR="00DD2E96">
        <w:t xml:space="preserve">le </w:t>
      </w:r>
      <w:r w:rsidRPr="00EC4607">
        <w:t>or marginalis</w:t>
      </w:r>
      <w:r w:rsidR="00DD2E96">
        <w:t xml:space="preserve">ed </w:t>
      </w:r>
      <w:r w:rsidR="00F70BB6">
        <w:t>communities,</w:t>
      </w:r>
      <w:r w:rsidR="00DD2E96">
        <w:t xml:space="preserve"> including:</w:t>
      </w:r>
    </w:p>
    <w:p w14:paraId="13050E52" w14:textId="7FCF63EC" w:rsidR="00DD2E96" w:rsidRDefault="00EC4607" w:rsidP="006A2A41">
      <w:pPr>
        <w:pStyle w:val="ListBullet"/>
      </w:pPr>
      <w:r w:rsidRPr="00EC4607">
        <w:t>Aboriginal people</w:t>
      </w:r>
    </w:p>
    <w:p w14:paraId="2B22DE05" w14:textId="1EAF82BF" w:rsidR="00F70BB6" w:rsidRDefault="00EC4607" w:rsidP="006A2A41">
      <w:pPr>
        <w:pStyle w:val="ListBullet"/>
      </w:pPr>
      <w:r w:rsidRPr="00EC4607">
        <w:t>LGBTIQ+</w:t>
      </w:r>
      <w:r w:rsidR="00DD2E96">
        <w:t xml:space="preserve"> communit</w:t>
      </w:r>
      <w:r w:rsidR="00F70BB6">
        <w:t>ies</w:t>
      </w:r>
    </w:p>
    <w:p w14:paraId="37D39807" w14:textId="3C07E455" w:rsidR="00F70BB6" w:rsidRDefault="00EC4607" w:rsidP="006A2A41">
      <w:pPr>
        <w:pStyle w:val="ListBullet"/>
      </w:pPr>
      <w:r w:rsidRPr="00EC4607">
        <w:t>culturally and linguistically diverse communit</w:t>
      </w:r>
      <w:r w:rsidR="00F70BB6">
        <w:t>ies</w:t>
      </w:r>
    </w:p>
    <w:p w14:paraId="03EEFF59" w14:textId="73DCF082" w:rsidR="00497C5B" w:rsidRDefault="00F70BB6" w:rsidP="006A2A41">
      <w:pPr>
        <w:pStyle w:val="ListBullet"/>
      </w:pPr>
      <w:r>
        <w:t xml:space="preserve">people </w:t>
      </w:r>
      <w:r w:rsidR="00EC4607" w:rsidRPr="00EC4607">
        <w:t>experiencing mental illness, many of whom may have limited capacity or confidence to report misconduct.</w:t>
      </w:r>
    </w:p>
    <w:p w14:paraId="09BAE9BC" w14:textId="450CF566" w:rsidR="00992B08" w:rsidRDefault="00992B08" w:rsidP="00B07072">
      <w:pPr>
        <w:pStyle w:val="Heading5"/>
      </w:pPr>
      <w:r w:rsidRPr="0078122A">
        <w:rPr>
          <w:rFonts w:eastAsia="Calibri"/>
        </w:rPr>
        <w:t>Building understanding of Aboriginal communities</w:t>
      </w:r>
      <w:r>
        <w:rPr>
          <w:rFonts w:eastAsia="Calibri"/>
        </w:rPr>
        <w:t xml:space="preserve"> </w:t>
      </w:r>
    </w:p>
    <w:p w14:paraId="62A58B70" w14:textId="3783872F" w:rsidR="00992B08" w:rsidRPr="0078122A" w:rsidRDefault="00992B08" w:rsidP="00992B08">
      <w:pPr>
        <w:pStyle w:val="BodyText"/>
      </w:pPr>
      <w:r w:rsidRPr="0078122A">
        <w:t xml:space="preserve">In </w:t>
      </w:r>
      <w:r w:rsidR="000A1691">
        <w:t>2022/23</w:t>
      </w:r>
      <w:r w:rsidRPr="0078122A">
        <w:t xml:space="preserve">, </w:t>
      </w:r>
      <w:r>
        <w:t>we</w:t>
      </w:r>
      <w:r w:rsidRPr="0078122A">
        <w:t xml:space="preserve"> worked with Aboriginal-owned creative agency, Little Rocket, to gather insights to better understand the needs of Aboriginal people</w:t>
      </w:r>
      <w:r>
        <w:t>s</w:t>
      </w:r>
      <w:r w:rsidRPr="0078122A">
        <w:t xml:space="preserve"> in Victoria, in the context of our police oversight role.</w:t>
      </w:r>
      <w:r w:rsidR="00E77AC5">
        <w:t xml:space="preserve"> The research included focus groups and one-on-one interviews with Aboriginal community members and leaders of community service organisations to explore perceptions of IBAC, police misconduct, and barriers and drivers to reporting </w:t>
      </w:r>
      <w:r w:rsidR="00E77AC5" w:rsidRPr="00E77AC5">
        <w:t>information</w:t>
      </w:r>
      <w:r w:rsidR="00E77AC5">
        <w:t xml:space="preserve"> to IBAC</w:t>
      </w:r>
      <w:r w:rsidR="00E77AC5" w:rsidRPr="007E78B5">
        <w:t>.</w:t>
      </w:r>
    </w:p>
    <w:p w14:paraId="28C06BC1" w14:textId="1D2F1296" w:rsidR="00EC4607" w:rsidRDefault="00EC4607" w:rsidP="00B07072">
      <w:pPr>
        <w:pStyle w:val="Heading5"/>
      </w:pPr>
      <w:r w:rsidRPr="00EC4607">
        <w:t xml:space="preserve">Thematic review </w:t>
      </w:r>
      <w:r w:rsidR="00BF2124">
        <w:t xml:space="preserve">and </w:t>
      </w:r>
      <w:r w:rsidR="00610160">
        <w:t>s</w:t>
      </w:r>
      <w:r w:rsidR="00BF2124">
        <w:t xml:space="preserve">pecial report </w:t>
      </w:r>
    </w:p>
    <w:p w14:paraId="0AB65FC8" w14:textId="29C48868" w:rsidR="00D00A79" w:rsidRDefault="00D00A79" w:rsidP="00D00A79">
      <w:pPr>
        <w:pStyle w:val="BodyText"/>
      </w:pPr>
      <w:r w:rsidRPr="00EC4607">
        <w:t xml:space="preserve">During </w:t>
      </w:r>
      <w:r w:rsidR="000A1691">
        <w:t>2022/23</w:t>
      </w:r>
      <w:r w:rsidRPr="00EC4607">
        <w:t>, we developed a special report on Victoria Police’s use of force</w:t>
      </w:r>
      <w:r w:rsidR="00F154E6">
        <w:t xml:space="preserve"> and completed a </w:t>
      </w:r>
      <w:r w:rsidR="00F154E6" w:rsidRPr="006B49EE">
        <w:t>thematic review of Victoria Police investigations into allegations involving excessive force against persons at risk</w:t>
      </w:r>
      <w:r w:rsidR="00F15872">
        <w:t>. The special report</w:t>
      </w:r>
      <w:r w:rsidR="00F154E6" w:rsidRPr="006B49EE">
        <w:t xml:space="preserve"> </w:t>
      </w:r>
      <w:r w:rsidRPr="00EC4607">
        <w:t>identifies a range of misconduct risks and vulnerabilities concerning how police officers use force.</w:t>
      </w:r>
    </w:p>
    <w:p w14:paraId="002CAAB5" w14:textId="0BD8989E" w:rsidR="00AC624D" w:rsidRPr="006B49EE" w:rsidRDefault="00EC4607" w:rsidP="00BF2124">
      <w:pPr>
        <w:pStyle w:val="BodyText"/>
      </w:pPr>
      <w:r w:rsidRPr="006B49EE">
        <w:t xml:space="preserve">Victoria Police accepted </w:t>
      </w:r>
      <w:r w:rsidR="004C28E4" w:rsidRPr="006B49EE">
        <w:t>most of</w:t>
      </w:r>
      <w:r w:rsidRPr="006B49EE">
        <w:t xml:space="preserve"> </w:t>
      </w:r>
      <w:r w:rsidR="004C66C5">
        <w:t xml:space="preserve">IBAC’s </w:t>
      </w:r>
      <w:r w:rsidR="00E77AC5" w:rsidRPr="00E77AC5">
        <w:t>requests to take action</w:t>
      </w:r>
      <w:r w:rsidRPr="006B49EE">
        <w:t xml:space="preserve"> to improve its policies and procedures.</w:t>
      </w:r>
      <w:r w:rsidR="00816636">
        <w:t xml:space="preserve"> </w:t>
      </w:r>
      <w:r w:rsidR="00B91B9A">
        <w:t xml:space="preserve">Publication of these </w:t>
      </w:r>
      <w:r w:rsidR="0072600A">
        <w:t>outcomes</w:t>
      </w:r>
      <w:r w:rsidR="00B91B9A">
        <w:t xml:space="preserve"> is planned</w:t>
      </w:r>
      <w:r w:rsidRPr="006B49EE">
        <w:t xml:space="preserve"> </w:t>
      </w:r>
      <w:r w:rsidR="00816636">
        <w:t>for</w:t>
      </w:r>
      <w:r w:rsidRPr="006B49EE">
        <w:t xml:space="preserve"> </w:t>
      </w:r>
      <w:r w:rsidR="000A1691">
        <w:t>2023/24</w:t>
      </w:r>
      <w:r w:rsidRPr="006B49EE">
        <w:t>.</w:t>
      </w:r>
    </w:p>
    <w:p w14:paraId="7D1BD9A2" w14:textId="28996E19" w:rsidR="00EC4607" w:rsidRPr="00AC53E8" w:rsidRDefault="00EC4607" w:rsidP="00B07072">
      <w:pPr>
        <w:pStyle w:val="Heading5"/>
      </w:pPr>
      <w:r w:rsidRPr="00AC53E8">
        <w:t>Education program case studies</w:t>
      </w:r>
      <w:r>
        <w:t xml:space="preserve"> </w:t>
      </w:r>
    </w:p>
    <w:p w14:paraId="30790E0B" w14:textId="7B6E6E81" w:rsidR="00EC4607" w:rsidRPr="00EB3C18" w:rsidRDefault="00EC4607" w:rsidP="00EC4607">
      <w:pPr>
        <w:pStyle w:val="BodyText"/>
      </w:pPr>
      <w:r w:rsidRPr="31BABAC6">
        <w:rPr>
          <w:rFonts w:eastAsia="Calibri" w:cs="Calibri"/>
          <w:szCs w:val="22"/>
        </w:rPr>
        <w:t xml:space="preserve">In </w:t>
      </w:r>
      <w:r w:rsidR="000A1691">
        <w:rPr>
          <w:rFonts w:eastAsia="Calibri" w:cs="Calibri"/>
          <w:szCs w:val="22"/>
        </w:rPr>
        <w:t>2022/23</w:t>
      </w:r>
      <w:r w:rsidRPr="31BABAC6">
        <w:rPr>
          <w:rFonts w:eastAsia="Calibri" w:cs="Calibri"/>
          <w:szCs w:val="22"/>
        </w:rPr>
        <w:t xml:space="preserve">, </w:t>
      </w:r>
      <w:r>
        <w:rPr>
          <w:rFonts w:eastAsia="Calibri" w:cs="Calibri"/>
          <w:szCs w:val="22"/>
        </w:rPr>
        <w:t>we</w:t>
      </w:r>
      <w:r w:rsidRPr="31BABAC6">
        <w:rPr>
          <w:rFonts w:eastAsia="Calibri" w:cs="Calibri"/>
          <w:szCs w:val="22"/>
        </w:rPr>
        <w:t xml:space="preserve"> </w:t>
      </w:r>
      <w:r w:rsidR="00582204">
        <w:rPr>
          <w:rFonts w:eastAsia="Calibri" w:cs="Calibri"/>
          <w:szCs w:val="22"/>
        </w:rPr>
        <w:t>present</w:t>
      </w:r>
      <w:r w:rsidR="006E1571">
        <w:rPr>
          <w:rFonts w:eastAsia="Calibri" w:cs="Calibri"/>
          <w:szCs w:val="22"/>
        </w:rPr>
        <w:t xml:space="preserve">ed to </w:t>
      </w:r>
      <w:r w:rsidR="00EF1D93">
        <w:rPr>
          <w:rFonts w:eastAsia="Calibri" w:cs="Calibri"/>
          <w:szCs w:val="22"/>
        </w:rPr>
        <w:t>each police recrui</w:t>
      </w:r>
      <w:r w:rsidR="00963F82">
        <w:rPr>
          <w:rFonts w:eastAsia="Calibri" w:cs="Calibri"/>
          <w:szCs w:val="22"/>
        </w:rPr>
        <w:t>t</w:t>
      </w:r>
      <w:r w:rsidR="00EF1D93">
        <w:rPr>
          <w:rFonts w:eastAsia="Calibri" w:cs="Calibri"/>
          <w:szCs w:val="22"/>
        </w:rPr>
        <w:t xml:space="preserve"> squad </w:t>
      </w:r>
      <w:r w:rsidR="00470894">
        <w:rPr>
          <w:rFonts w:eastAsia="Calibri" w:cs="Calibri"/>
          <w:szCs w:val="22"/>
        </w:rPr>
        <w:t>before th</w:t>
      </w:r>
      <w:r w:rsidR="00FA2C5E">
        <w:rPr>
          <w:rFonts w:eastAsia="Calibri" w:cs="Calibri"/>
          <w:szCs w:val="22"/>
        </w:rPr>
        <w:t xml:space="preserve">ey graduated the </w:t>
      </w:r>
      <w:r w:rsidR="00AD5811">
        <w:rPr>
          <w:rFonts w:eastAsia="Calibri" w:cs="Calibri"/>
          <w:szCs w:val="22"/>
        </w:rPr>
        <w:t>Vic</w:t>
      </w:r>
      <w:r w:rsidR="00FB729A">
        <w:rPr>
          <w:rFonts w:eastAsia="Calibri" w:cs="Calibri"/>
          <w:szCs w:val="22"/>
        </w:rPr>
        <w:t xml:space="preserve">toria </w:t>
      </w:r>
      <w:r w:rsidR="00AD5811">
        <w:rPr>
          <w:rFonts w:eastAsia="Calibri" w:cs="Calibri"/>
          <w:szCs w:val="22"/>
        </w:rPr>
        <w:t>Pol</w:t>
      </w:r>
      <w:r w:rsidR="00FB729A">
        <w:rPr>
          <w:rFonts w:eastAsia="Calibri" w:cs="Calibri"/>
          <w:szCs w:val="22"/>
        </w:rPr>
        <w:t xml:space="preserve">ice </w:t>
      </w:r>
      <w:r w:rsidR="00AD5811">
        <w:rPr>
          <w:rFonts w:eastAsia="Calibri" w:cs="Calibri"/>
          <w:szCs w:val="22"/>
        </w:rPr>
        <w:t xml:space="preserve">Academy. </w:t>
      </w:r>
      <w:r w:rsidR="006F49D3">
        <w:rPr>
          <w:rFonts w:eastAsia="Calibri" w:cs="Calibri"/>
          <w:szCs w:val="22"/>
        </w:rPr>
        <w:t>This presentation include</w:t>
      </w:r>
      <w:r w:rsidR="0098329F">
        <w:rPr>
          <w:rFonts w:eastAsia="Calibri" w:cs="Calibri"/>
          <w:szCs w:val="22"/>
        </w:rPr>
        <w:t>d</w:t>
      </w:r>
      <w:r w:rsidR="006F49D3">
        <w:rPr>
          <w:rFonts w:eastAsia="Calibri" w:cs="Calibri"/>
          <w:szCs w:val="22"/>
        </w:rPr>
        <w:t xml:space="preserve"> </w:t>
      </w:r>
      <w:r w:rsidRPr="31BABAC6">
        <w:rPr>
          <w:rFonts w:eastAsia="Calibri" w:cs="Calibri"/>
          <w:szCs w:val="22"/>
        </w:rPr>
        <w:t xml:space="preserve">a case study on the use of force on </w:t>
      </w:r>
      <w:r w:rsidR="006370C3">
        <w:rPr>
          <w:rFonts w:eastAsia="Calibri" w:cs="Calibri"/>
          <w:szCs w:val="22"/>
        </w:rPr>
        <w:t>vulnerable or marginalised</w:t>
      </w:r>
      <w:r w:rsidRPr="31BABAC6">
        <w:rPr>
          <w:rFonts w:eastAsia="Calibri" w:cs="Calibri"/>
          <w:szCs w:val="22"/>
        </w:rPr>
        <w:t xml:space="preserve"> people.</w:t>
      </w:r>
    </w:p>
    <w:p w14:paraId="4D6C2365" w14:textId="24D8A204" w:rsidR="0033199D" w:rsidRDefault="000010C4" w:rsidP="00B07072">
      <w:pPr>
        <w:pStyle w:val="Heading4"/>
      </w:pPr>
      <w:r>
        <w:t>Police responses to police family violence incidents and predatory behaviour</w:t>
      </w:r>
    </w:p>
    <w:p w14:paraId="3490099A" w14:textId="77777777" w:rsidR="00C138F1" w:rsidRDefault="00C138F1" w:rsidP="00C138F1">
      <w:pPr>
        <w:pStyle w:val="BodyText"/>
      </w:pPr>
      <w:r>
        <w:t xml:space="preserve">We aimed to prevent and expose inappropriate Victoria Police responses to family violence and predatory behaviour incidents involving police personnel. </w:t>
      </w:r>
    </w:p>
    <w:p w14:paraId="14CD272C" w14:textId="77777777" w:rsidR="00C138F1" w:rsidRDefault="00C138F1" w:rsidP="00C138F1">
      <w:pPr>
        <w:pStyle w:val="BodyText"/>
      </w:pPr>
      <w:r>
        <w:t>Consistent police responses are critical to:</w:t>
      </w:r>
    </w:p>
    <w:p w14:paraId="1D648EBD" w14:textId="77777777" w:rsidR="00C138F1" w:rsidRDefault="00C138F1" w:rsidP="00610160">
      <w:pPr>
        <w:pStyle w:val="ListBullet"/>
      </w:pPr>
      <w:r>
        <w:t>maintaining integrity and ethical standards</w:t>
      </w:r>
    </w:p>
    <w:p w14:paraId="35C4B4A3" w14:textId="41CA5F90" w:rsidR="00C138F1" w:rsidRDefault="00C138F1" w:rsidP="00610160">
      <w:pPr>
        <w:pStyle w:val="ListBullet"/>
      </w:pPr>
      <w:r>
        <w:t>removing perceived conflicts of interest</w:t>
      </w:r>
    </w:p>
    <w:p w14:paraId="5652B219" w14:textId="77777777" w:rsidR="00C138F1" w:rsidRDefault="00C138F1" w:rsidP="00610160">
      <w:pPr>
        <w:pStyle w:val="ListBullet"/>
      </w:pPr>
      <w:r>
        <w:t>reducing the prevalence of these behaviours.</w:t>
      </w:r>
    </w:p>
    <w:p w14:paraId="35E39D1B" w14:textId="1D02219A" w:rsidR="003C4D9B" w:rsidRDefault="00C803F5" w:rsidP="00B07072">
      <w:pPr>
        <w:pStyle w:val="Heading5"/>
      </w:pPr>
      <w:r w:rsidRPr="00C803F5">
        <w:t>Thematic review</w:t>
      </w:r>
      <w:r w:rsidR="00AB62E1">
        <w:t>s</w:t>
      </w:r>
      <w:r w:rsidRPr="00C803F5">
        <w:t xml:space="preserve"> </w:t>
      </w:r>
    </w:p>
    <w:p w14:paraId="6AEC616D" w14:textId="77777777" w:rsidR="00B025DD" w:rsidRDefault="00C803F5" w:rsidP="00C803F5">
      <w:pPr>
        <w:pStyle w:val="BodyText"/>
      </w:pPr>
      <w:r>
        <w:t>We</w:t>
      </w:r>
      <w:r w:rsidRPr="007170F8">
        <w:t xml:space="preserve"> commenced a thematic review on family violence</w:t>
      </w:r>
      <w:r>
        <w:t>,</w:t>
      </w:r>
      <w:r w:rsidRPr="007170F8">
        <w:t xml:space="preserve"> which will inform a </w:t>
      </w:r>
      <w:r>
        <w:t xml:space="preserve">future </w:t>
      </w:r>
      <w:r w:rsidRPr="007170F8">
        <w:t>research project</w:t>
      </w:r>
      <w:r>
        <w:t xml:space="preserve">. </w:t>
      </w:r>
    </w:p>
    <w:p w14:paraId="2AFA8D80" w14:textId="4CD203CD" w:rsidR="00C803F5" w:rsidRDefault="00C803F5" w:rsidP="00C803F5">
      <w:pPr>
        <w:pStyle w:val="BodyText"/>
      </w:pPr>
      <w:r>
        <w:t>We also</w:t>
      </w:r>
      <w:r w:rsidRPr="007170F8">
        <w:t xml:space="preserve"> published a thematic review into </w:t>
      </w:r>
      <w:r w:rsidR="00B025DD">
        <w:t>p</w:t>
      </w:r>
      <w:r w:rsidRPr="007170F8">
        <w:t xml:space="preserve">redatory behaviour by </w:t>
      </w:r>
      <w:r w:rsidR="00C445FB">
        <w:t>Victoria P</w:t>
      </w:r>
      <w:r w:rsidR="00B025DD">
        <w:t>olice personnel.</w:t>
      </w:r>
      <w:r w:rsidRPr="007170F8">
        <w:t xml:space="preserve"> The </w:t>
      </w:r>
      <w:hyperlink r:id="rId40" w:history="1">
        <w:r w:rsidRPr="00496389">
          <w:rPr>
            <w:rStyle w:val="Hyperlink"/>
          </w:rPr>
          <w:t>full review</w:t>
        </w:r>
      </w:hyperlink>
      <w:r w:rsidRPr="007170F8">
        <w:t xml:space="preserve"> is available on the </w:t>
      </w:r>
      <w:r w:rsidRPr="00D02A37">
        <w:t>IBAC website</w:t>
      </w:r>
      <w:r>
        <w:t xml:space="preserve"> (</w:t>
      </w:r>
      <w:r w:rsidR="00496389" w:rsidRPr="00496389">
        <w:t>www.ibac.vic.gov.au/predatory-behaviour-by-police</w:t>
      </w:r>
      <w:r>
        <w:t>)</w:t>
      </w:r>
      <w:r w:rsidRPr="007170F8">
        <w:t>. A case study describing one of the investigations reviewed is</w:t>
      </w:r>
      <w:r w:rsidR="009037C1">
        <w:t xml:space="preserve"> provided</w:t>
      </w:r>
      <w:r w:rsidRPr="007170F8">
        <w:t xml:space="preserve"> below.</w:t>
      </w:r>
    </w:p>
    <w:tbl>
      <w:tblPr>
        <w:tblStyle w:val="CustomTablecasestudy"/>
        <w:tblW w:w="0" w:type="auto"/>
        <w:tblLook w:val="04A0" w:firstRow="1" w:lastRow="0" w:firstColumn="1" w:lastColumn="0" w:noHBand="0" w:noVBand="1"/>
      </w:tblPr>
      <w:tblGrid>
        <w:gridCol w:w="9027"/>
      </w:tblGrid>
      <w:tr w:rsidR="00C803F5" w14:paraId="10E30B7E" w14:textId="77777777" w:rsidTr="1F751BE5">
        <w:trPr>
          <w:cnfStyle w:val="100000000000" w:firstRow="1" w:lastRow="0" w:firstColumn="0" w:lastColumn="0" w:oddVBand="0" w:evenVBand="0" w:oddHBand="0" w:evenHBand="0" w:firstRowFirstColumn="0" w:firstRowLastColumn="0" w:lastRowFirstColumn="0" w:lastRowLastColumn="0"/>
        </w:trPr>
        <w:tc>
          <w:tcPr>
            <w:tcW w:w="9027" w:type="dxa"/>
          </w:tcPr>
          <w:p w14:paraId="6913392B" w14:textId="61335F9C" w:rsidR="00C803F5" w:rsidRPr="004A3395" w:rsidRDefault="00C803F5" w:rsidP="004A3395">
            <w:pPr>
              <w:pStyle w:val="Headingcasestudy"/>
            </w:pPr>
            <w:r w:rsidRPr="004A3395">
              <w:t>Predatory behaviour by Victoria Police officers</w:t>
            </w:r>
          </w:p>
          <w:p w14:paraId="57C0B3BB" w14:textId="42144FFD" w:rsidR="00C803F5" w:rsidRDefault="00C803F5">
            <w:pPr>
              <w:pStyle w:val="BodyText"/>
              <w:rPr>
                <w:lang w:eastAsia="en-AU"/>
              </w:rPr>
            </w:pPr>
            <w:r>
              <w:rPr>
                <w:lang w:eastAsia="en-AU"/>
              </w:rPr>
              <w:t xml:space="preserve">In May 2023, we published a thematic review of </w:t>
            </w:r>
            <w:r w:rsidRPr="000A29B1">
              <w:rPr>
                <w:lang w:eastAsia="en-AU"/>
              </w:rPr>
              <w:t>27</w:t>
            </w:r>
            <w:r>
              <w:rPr>
                <w:lang w:eastAsia="en-AU"/>
              </w:rPr>
              <w:t xml:space="preserve"> Victoria Police investigations into allegations of predatory behaviour by Victoria Police personnel. The reviews conducted examined whether the investigations were thorough, impartial and timely, that findings were evidence-based, and that outcomes were fair and reasonable.</w:t>
            </w:r>
            <w:r w:rsidR="00E77AC5">
              <w:rPr>
                <w:lang w:eastAsia="en-AU"/>
              </w:rPr>
              <w:t xml:space="preserve"> </w:t>
            </w:r>
            <w:r w:rsidR="00E77AC5" w:rsidRPr="00E77AC5">
              <w:rPr>
                <w:lang w:eastAsia="en-AU"/>
              </w:rPr>
              <w:t>IBAC determined 26 of the 27 investigations to be adequate.</w:t>
            </w:r>
          </w:p>
          <w:p w14:paraId="2997CC66" w14:textId="16FDE852" w:rsidR="00C803F5" w:rsidRDefault="00C803F5">
            <w:pPr>
              <w:pStyle w:val="BodyText"/>
              <w:rPr>
                <w:lang w:eastAsia="en-AU"/>
              </w:rPr>
            </w:pPr>
            <w:r>
              <w:rPr>
                <w:lang w:eastAsia="en-AU"/>
              </w:rPr>
              <w:t>We also considered:</w:t>
            </w:r>
          </w:p>
          <w:p w14:paraId="3F8936CD" w14:textId="5727EC54" w:rsidR="00C803F5" w:rsidRDefault="00C803F5" w:rsidP="00F42920">
            <w:pPr>
              <w:pStyle w:val="ListBullet"/>
            </w:pPr>
            <w:r>
              <w:t>whether the investigations reflected human rights</w:t>
            </w:r>
          </w:p>
          <w:p w14:paraId="0E0836D5" w14:textId="78BAEF4B" w:rsidR="00C803F5" w:rsidRDefault="00C803F5" w:rsidP="00F42920">
            <w:pPr>
              <w:pStyle w:val="ListBullet"/>
            </w:pPr>
            <w:r>
              <w:t>if any disciplinary action was appropriate</w:t>
            </w:r>
          </w:p>
          <w:p w14:paraId="6C2C537B" w14:textId="77777777" w:rsidR="00C803F5" w:rsidRDefault="00C803F5" w:rsidP="00F42920">
            <w:pPr>
              <w:pStyle w:val="ListBullet"/>
            </w:pPr>
            <w:r>
              <w:t>whether risk mitigation strategies were likely to be effective.</w:t>
            </w:r>
          </w:p>
          <w:p w14:paraId="32F3EECE" w14:textId="607EAE86" w:rsidR="00C803F5" w:rsidRDefault="00C803F5">
            <w:pPr>
              <w:pStyle w:val="BodyText"/>
              <w:rPr>
                <w:lang w:eastAsia="en-AU"/>
              </w:rPr>
            </w:pPr>
            <w:r>
              <w:rPr>
                <w:lang w:eastAsia="en-AU"/>
              </w:rPr>
              <w:t xml:space="preserve">In completing this thematic review, we made several requests for further action </w:t>
            </w:r>
            <w:r w:rsidR="00554932">
              <w:rPr>
                <w:lang w:eastAsia="en-AU"/>
              </w:rPr>
              <w:t>under</w:t>
            </w:r>
            <w:r>
              <w:rPr>
                <w:lang w:eastAsia="en-AU"/>
              </w:rPr>
              <w:t xml:space="preserve"> s</w:t>
            </w:r>
            <w:r w:rsidR="004A3395">
              <w:rPr>
                <w:lang w:eastAsia="en-AU"/>
              </w:rPr>
              <w:t xml:space="preserve">ection </w:t>
            </w:r>
            <w:r>
              <w:rPr>
                <w:lang w:eastAsia="en-AU"/>
              </w:rPr>
              <w:t xml:space="preserve">160 of the IBAC Act to Victoria Police, </w:t>
            </w:r>
            <w:r w:rsidR="00E77AC5">
              <w:rPr>
                <w:lang w:eastAsia="en-AU"/>
              </w:rPr>
              <w:t xml:space="preserve">all of </w:t>
            </w:r>
            <w:r>
              <w:rPr>
                <w:lang w:eastAsia="en-AU"/>
              </w:rPr>
              <w:t xml:space="preserve">which </w:t>
            </w:r>
            <w:r w:rsidR="00B025DD">
              <w:rPr>
                <w:lang w:eastAsia="en-AU"/>
              </w:rPr>
              <w:t xml:space="preserve">were </w:t>
            </w:r>
            <w:r>
              <w:rPr>
                <w:lang w:eastAsia="en-AU"/>
              </w:rPr>
              <w:t>accepted. Some of these</w:t>
            </w:r>
            <w:r w:rsidR="0078701D">
              <w:rPr>
                <w:lang w:eastAsia="en-AU"/>
              </w:rPr>
              <w:t xml:space="preserve"> requests</w:t>
            </w:r>
            <w:r>
              <w:rPr>
                <w:lang w:eastAsia="en-AU"/>
              </w:rPr>
              <w:t xml:space="preserve"> have already been implemented to improve the way Victoria Police manages and investigates similar matters in the future.</w:t>
            </w:r>
            <w:r w:rsidR="00365FA6">
              <w:rPr>
                <w:lang w:eastAsia="en-AU"/>
              </w:rPr>
              <w:t xml:space="preserve"> </w:t>
            </w:r>
            <w:r w:rsidR="00E77AC5" w:rsidRPr="00E77AC5">
              <w:rPr>
                <w:lang w:eastAsia="en-AU"/>
              </w:rPr>
              <w:t>We called on Victoria Police to</w:t>
            </w:r>
            <w:r w:rsidR="00365FA6">
              <w:rPr>
                <w:lang w:eastAsia="en-AU"/>
              </w:rPr>
              <w:t>:</w:t>
            </w:r>
          </w:p>
          <w:p w14:paraId="531D2130" w14:textId="1EE7C36F" w:rsidR="00C803F5" w:rsidRPr="00A96711" w:rsidRDefault="004A3395" w:rsidP="00A96711">
            <w:pPr>
              <w:pStyle w:val="ListBullet"/>
            </w:pPr>
            <w:bookmarkStart w:id="71" w:name="_Hlk142005841"/>
            <w:r>
              <w:t>u</w:t>
            </w:r>
            <w:r w:rsidR="00C803F5" w:rsidRPr="00A96711">
              <w:t xml:space="preserve">se relevant, de-identified case studies in integrity management training for investigators and </w:t>
            </w:r>
            <w:r>
              <w:t>for e</w:t>
            </w:r>
            <w:r w:rsidR="00C803F5" w:rsidRPr="00A96711">
              <w:t xml:space="preserve">thics and </w:t>
            </w:r>
            <w:r>
              <w:t>p</w:t>
            </w:r>
            <w:r w:rsidR="00C803F5" w:rsidRPr="00A96711">
              <w:t xml:space="preserve">rofessional </w:t>
            </w:r>
            <w:r>
              <w:t>s</w:t>
            </w:r>
            <w:r w:rsidR="00C803F5" w:rsidRPr="00A96711">
              <w:t xml:space="preserve">tandards </w:t>
            </w:r>
            <w:r>
              <w:t>o</w:t>
            </w:r>
            <w:r w:rsidR="00C803F5" w:rsidRPr="00A96711">
              <w:t>fficers, and in broader training for Victoria Police employees, to encourage a ‘speak</w:t>
            </w:r>
            <w:r w:rsidR="00FD4240">
              <w:t>-</w:t>
            </w:r>
            <w:r w:rsidR="00C803F5" w:rsidRPr="00A96711">
              <w:t>up’ culture and to minimise under-reporting of predatory behaviour</w:t>
            </w:r>
          </w:p>
          <w:bookmarkEnd w:id="71"/>
          <w:p w14:paraId="1F8F0BCD" w14:textId="27638052" w:rsidR="00C803F5" w:rsidRPr="00A96711" w:rsidRDefault="004A3395" w:rsidP="00A96711">
            <w:pPr>
              <w:pStyle w:val="ListBullet"/>
            </w:pPr>
            <w:r>
              <w:t>c</w:t>
            </w:r>
            <w:r w:rsidR="00C803F5" w:rsidRPr="00A96711">
              <w:t xml:space="preserve">onsider a new, separate section on harm in </w:t>
            </w:r>
            <w:r>
              <w:rPr>
                <w:lang w:eastAsia="en-AU"/>
              </w:rPr>
              <w:t>Victoria Police</w:t>
            </w:r>
            <w:r>
              <w:t>’s</w:t>
            </w:r>
            <w:r w:rsidR="00C803F5" w:rsidRPr="00A96711">
              <w:t xml:space="preserve"> complaint investigation report template, to enable investigators to address more broadly the impact of the alleged conduct on victims and workplaces</w:t>
            </w:r>
          </w:p>
          <w:p w14:paraId="5195D12A" w14:textId="77777777" w:rsidR="00E77AC5" w:rsidRDefault="004A3395" w:rsidP="00A96711">
            <w:pPr>
              <w:pStyle w:val="ListBullet"/>
            </w:pPr>
            <w:r>
              <w:t>e</w:t>
            </w:r>
            <w:r w:rsidR="00C803F5" w:rsidRPr="00A96711">
              <w:t xml:space="preserve">nsure that an ‘ethical health profile’ is undertaken in respect of any officer </w:t>
            </w:r>
            <w:r w:rsidR="00CF56A6" w:rsidRPr="00A96711">
              <w:t>who is the subject of a complaint of a sexual nature</w:t>
            </w:r>
          </w:p>
          <w:p w14:paraId="00D76D40" w14:textId="2061A542" w:rsidR="00E77AC5" w:rsidRDefault="00E77AC5" w:rsidP="00E77AC5">
            <w:pPr>
              <w:pStyle w:val="ListBullet"/>
            </w:pPr>
            <w:r>
              <w:t>ensure that staff of the Legal Discipline Advisory Unit provide advice that is consistent with Victoria Police’s zero</w:t>
            </w:r>
            <w:r w:rsidR="0075053A">
              <w:t>-</w:t>
            </w:r>
            <w:r>
              <w:t>tolerance approach to predatory behaviour</w:t>
            </w:r>
          </w:p>
          <w:p w14:paraId="6386E572" w14:textId="324A3F24" w:rsidR="00E77AC5" w:rsidRDefault="00E77AC5" w:rsidP="00E77AC5">
            <w:pPr>
              <w:pStyle w:val="ListBullet"/>
            </w:pPr>
            <w:r>
              <w:t>improve record</w:t>
            </w:r>
            <w:r w:rsidR="00FD3973">
              <w:t xml:space="preserve"> </w:t>
            </w:r>
            <w:r>
              <w:t>keeping at internal meetings discussing allegations of predatory behaviour, to ensure that recommendations about discipline sanctions and outcomes are transparent and reasons are recorded</w:t>
            </w:r>
          </w:p>
          <w:p w14:paraId="4DC47763" w14:textId="38593034" w:rsidR="00C803F5" w:rsidRPr="00A96711" w:rsidRDefault="00E77AC5" w:rsidP="00E77AC5">
            <w:pPr>
              <w:pStyle w:val="ListBullet"/>
            </w:pPr>
            <w:r>
              <w:t>provide clearer guidance for employees on the declaration and management of intimate or personal workplace relationships that are consensual but could be perceived as predatory behaviour</w:t>
            </w:r>
            <w:r w:rsidR="004E1435">
              <w:t>.</w:t>
            </w:r>
          </w:p>
          <w:p w14:paraId="0524E87C" w14:textId="51B399A0" w:rsidR="00C803F5" w:rsidRDefault="00C803F5">
            <w:pPr>
              <w:pStyle w:val="BodyText"/>
              <w:rPr>
                <w:lang w:eastAsia="en-AU"/>
              </w:rPr>
            </w:pPr>
            <w:r>
              <w:rPr>
                <w:lang w:eastAsia="en-AU"/>
              </w:rPr>
              <w:t xml:space="preserve">One review that we conducted considered a case involving a </w:t>
            </w:r>
            <w:r w:rsidR="00FD3973">
              <w:rPr>
                <w:lang w:eastAsia="en-AU"/>
              </w:rPr>
              <w:t>l</w:t>
            </w:r>
            <w:r>
              <w:rPr>
                <w:lang w:eastAsia="en-AU"/>
              </w:rPr>
              <w:t xml:space="preserve">eading </w:t>
            </w:r>
            <w:r w:rsidR="00FD3973">
              <w:rPr>
                <w:lang w:eastAsia="en-AU"/>
              </w:rPr>
              <w:t>s</w:t>
            </w:r>
            <w:r>
              <w:rPr>
                <w:lang w:eastAsia="en-AU"/>
              </w:rPr>
              <w:t xml:space="preserve">enior </w:t>
            </w:r>
            <w:r w:rsidR="00FD3973">
              <w:rPr>
                <w:lang w:eastAsia="en-AU"/>
              </w:rPr>
              <w:t>c</w:t>
            </w:r>
            <w:r>
              <w:rPr>
                <w:lang w:eastAsia="en-AU"/>
              </w:rPr>
              <w:t xml:space="preserve">onstable from Victoria Police who was investigated for allegations </w:t>
            </w:r>
            <w:r w:rsidR="00E77AC5">
              <w:rPr>
                <w:lang w:eastAsia="en-AU"/>
              </w:rPr>
              <w:t xml:space="preserve">of </w:t>
            </w:r>
            <w:r w:rsidR="00E77AC5" w:rsidRPr="00E77AC5">
              <w:rPr>
                <w:lang w:eastAsia="en-AU"/>
              </w:rPr>
              <w:t xml:space="preserve">inappropriate and predatory behaviour, including unauthorised information access and disclosure. The allegations were not substantiated, however, investigators met with the </w:t>
            </w:r>
            <w:r w:rsidR="003235D6">
              <w:rPr>
                <w:lang w:eastAsia="en-AU"/>
              </w:rPr>
              <w:t>leading senior constable</w:t>
            </w:r>
            <w:r w:rsidR="00E77AC5" w:rsidRPr="00E77AC5">
              <w:rPr>
                <w:lang w:eastAsia="en-AU"/>
              </w:rPr>
              <w:t xml:space="preserve"> and made appropriate recommendations for them to attend training, receive ongoing guidance and mentoring</w:t>
            </w:r>
            <w:r w:rsidR="0007703D">
              <w:rPr>
                <w:lang w:eastAsia="en-AU"/>
              </w:rPr>
              <w:t>,</w:t>
            </w:r>
            <w:r w:rsidR="00E77AC5" w:rsidRPr="00E77AC5">
              <w:rPr>
                <w:lang w:eastAsia="en-AU"/>
              </w:rPr>
              <w:t xml:space="preserve"> and monitor their ethical health in conjunction with Professional Standards Command</w:t>
            </w:r>
            <w:r>
              <w:rPr>
                <w:lang w:eastAsia="en-AU"/>
              </w:rPr>
              <w:t>.</w:t>
            </w:r>
          </w:p>
          <w:p w14:paraId="73F79684" w14:textId="4FD13C90" w:rsidR="00C803F5" w:rsidRDefault="00C803F5">
            <w:pPr>
              <w:pStyle w:val="BodyText"/>
              <w:rPr>
                <w:lang w:eastAsia="en-AU"/>
              </w:rPr>
            </w:pPr>
            <w:r>
              <w:rPr>
                <w:lang w:eastAsia="en-AU"/>
              </w:rPr>
              <w:t xml:space="preserve">The final Victoria Police </w:t>
            </w:r>
            <w:r w:rsidR="00B73337">
              <w:rPr>
                <w:lang w:eastAsia="en-AU"/>
              </w:rPr>
              <w:t xml:space="preserve">investigation </w:t>
            </w:r>
            <w:r>
              <w:rPr>
                <w:lang w:eastAsia="en-AU"/>
              </w:rPr>
              <w:t xml:space="preserve">report contained a </w:t>
            </w:r>
            <w:r w:rsidR="00D8632D">
              <w:rPr>
                <w:lang w:eastAsia="en-AU"/>
              </w:rPr>
              <w:t xml:space="preserve">specific </w:t>
            </w:r>
            <w:r>
              <w:rPr>
                <w:lang w:eastAsia="en-AU"/>
              </w:rPr>
              <w:t>section titled ‘</w:t>
            </w:r>
            <w:r w:rsidR="00F5269C">
              <w:rPr>
                <w:lang w:eastAsia="en-AU"/>
              </w:rPr>
              <w:t>H</w:t>
            </w:r>
            <w:r>
              <w:rPr>
                <w:lang w:eastAsia="en-AU"/>
              </w:rPr>
              <w:t xml:space="preserve">arm’, which allowed the investigator a dedicated space to discuss harm caused to the victim, subject, workplace and organisation. IBAC acknowledged this as a positive initiative to ensure that the appropriate focus is given to recognising the serious harm to the victim that can be caused by predatory behaviour. </w:t>
            </w:r>
          </w:p>
          <w:p w14:paraId="7C562C01" w14:textId="04CF972D" w:rsidR="00C803F5" w:rsidRDefault="00C803F5">
            <w:pPr>
              <w:pStyle w:val="BodyText"/>
              <w:rPr>
                <w:lang w:eastAsia="en-AU"/>
              </w:rPr>
            </w:pPr>
            <w:r>
              <w:rPr>
                <w:lang w:eastAsia="en-AU"/>
              </w:rPr>
              <w:t>While IBAC considers the inclusion of the section on harm to be an appropriate inclusion in matters of this kind, our review identified other issues in respect to the analysis of the Charter of Human Rights, which did not contain sufficient analysis to explain how certain rights were engaged but not breached.</w:t>
            </w:r>
          </w:p>
        </w:tc>
      </w:tr>
    </w:tbl>
    <w:p w14:paraId="2107B65B" w14:textId="04BB7396" w:rsidR="00C803F5" w:rsidRDefault="00C803F5" w:rsidP="00B07072">
      <w:pPr>
        <w:pStyle w:val="Heading5"/>
      </w:pPr>
      <w:r w:rsidRPr="00C803F5">
        <w:t>Education program case studies</w:t>
      </w:r>
    </w:p>
    <w:p w14:paraId="4FF51296" w14:textId="0516FB60" w:rsidR="00C803F5" w:rsidRPr="00224EFB" w:rsidRDefault="00C803F5" w:rsidP="00224EFB">
      <w:pPr>
        <w:pStyle w:val="BodyText"/>
        <w:rPr>
          <w:rFonts w:eastAsia="Calibri" w:cs="Calibri"/>
        </w:rPr>
      </w:pPr>
      <w:r w:rsidRPr="1F751BE5">
        <w:rPr>
          <w:rFonts w:eastAsia="Calibri" w:cs="Calibri"/>
        </w:rPr>
        <w:t xml:space="preserve">In </w:t>
      </w:r>
      <w:r w:rsidR="000A1691">
        <w:rPr>
          <w:rFonts w:eastAsia="Calibri" w:cs="Calibri"/>
        </w:rPr>
        <w:t>2022/23</w:t>
      </w:r>
      <w:r w:rsidRPr="1F751BE5">
        <w:rPr>
          <w:rFonts w:eastAsia="Calibri" w:cs="Calibri"/>
        </w:rPr>
        <w:t>, we continued to use both ‘police family violence perpetrator’ and ‘predatory behaviour’ examples in our education programs delivered to senior sergeants during the Police Managers Qualifying Program and to inspectors during their Inspectors</w:t>
      </w:r>
      <w:r w:rsidR="004A3395">
        <w:rPr>
          <w:rFonts w:eastAsia="Calibri" w:cs="Calibri"/>
        </w:rPr>
        <w:t>’</w:t>
      </w:r>
      <w:r w:rsidRPr="1F751BE5">
        <w:rPr>
          <w:rFonts w:eastAsia="Calibri" w:cs="Calibri"/>
        </w:rPr>
        <w:t xml:space="preserve"> </w:t>
      </w:r>
      <w:r w:rsidR="0017386E">
        <w:rPr>
          <w:rFonts w:eastAsia="Calibri" w:cs="Calibri"/>
        </w:rPr>
        <w:t>and Superintendents</w:t>
      </w:r>
      <w:r w:rsidR="004A3395">
        <w:rPr>
          <w:rFonts w:eastAsia="Calibri" w:cs="Calibri"/>
        </w:rPr>
        <w:t>’</w:t>
      </w:r>
      <w:r w:rsidR="0017386E">
        <w:rPr>
          <w:rFonts w:eastAsia="Calibri" w:cs="Calibri"/>
        </w:rPr>
        <w:t xml:space="preserve"> </w:t>
      </w:r>
      <w:r w:rsidRPr="1F751BE5">
        <w:rPr>
          <w:rFonts w:eastAsia="Calibri" w:cs="Calibri"/>
        </w:rPr>
        <w:t>Development Program. Examples were also incorporated into the education program delivered to each police recruit squad at the Victoria Police Academy.</w:t>
      </w:r>
    </w:p>
    <w:p w14:paraId="2B7BB872" w14:textId="77777777" w:rsidR="005C342D" w:rsidRDefault="005C342D">
      <w:pPr>
        <w:pStyle w:val="Heading3"/>
      </w:pPr>
      <w:bookmarkStart w:id="72" w:name="_Toc149127900"/>
      <w:bookmarkStart w:id="73" w:name="_Ref149134411"/>
      <w:r>
        <w:t>Strategic initiatives</w:t>
      </w:r>
      <w:bookmarkEnd w:id="72"/>
      <w:bookmarkEnd w:id="73"/>
    </w:p>
    <w:p w14:paraId="31EB37BB" w14:textId="403E72AB" w:rsidR="00E43BBE" w:rsidRDefault="00E43BBE" w:rsidP="007D1BCD">
      <w:pPr>
        <w:pStyle w:val="BodyText"/>
      </w:pPr>
      <w:r>
        <w:t xml:space="preserve">Many of our strategic initiatives </w:t>
      </w:r>
      <w:r w:rsidR="000973A5">
        <w:t xml:space="preserve">included </w:t>
      </w:r>
      <w:r w:rsidR="0093238A">
        <w:t>here</w:t>
      </w:r>
      <w:r w:rsidR="000973A5">
        <w:t xml:space="preserve"> </w:t>
      </w:r>
      <w:r>
        <w:t>benefit both our police oversight work as well as our public sector oversight work.</w:t>
      </w:r>
    </w:p>
    <w:p w14:paraId="05C020D2" w14:textId="1B875597" w:rsidR="006F1BE0" w:rsidRPr="00BE2E75" w:rsidRDefault="006F1BE0" w:rsidP="00B07072">
      <w:pPr>
        <w:pStyle w:val="Heading4"/>
      </w:pPr>
      <w:bookmarkStart w:id="74" w:name="_Ref149166189"/>
      <w:r w:rsidRPr="00BE2E75">
        <w:t xml:space="preserve">RCMPI and </w:t>
      </w:r>
      <w:r w:rsidR="00C445FB">
        <w:t>p</w:t>
      </w:r>
      <w:r w:rsidRPr="00BE2E75">
        <w:t>olice oversight reforms</w:t>
      </w:r>
      <w:bookmarkEnd w:id="74"/>
    </w:p>
    <w:p w14:paraId="6C81DEF9" w14:textId="6A302C8D" w:rsidR="00BE2E75" w:rsidRDefault="00BE2E75" w:rsidP="003F3046">
      <w:pPr>
        <w:pStyle w:val="BodyText"/>
      </w:pPr>
      <w:r w:rsidRPr="1EFBF1D2">
        <w:t xml:space="preserve">In </w:t>
      </w:r>
      <w:r w:rsidR="000A1691">
        <w:t>2022/23</w:t>
      </w:r>
      <w:r w:rsidRPr="1EFBF1D2">
        <w:t xml:space="preserve">, the Victorian Government passed the </w:t>
      </w:r>
      <w:r w:rsidRPr="00610160">
        <w:rPr>
          <w:rStyle w:val="Characteritalic"/>
        </w:rPr>
        <w:t>Human Source Management Act 202</w:t>
      </w:r>
      <w:r w:rsidR="009832CB" w:rsidRPr="00610160">
        <w:rPr>
          <w:rStyle w:val="Characteritalic"/>
        </w:rPr>
        <w:t>3</w:t>
      </w:r>
      <w:r w:rsidRPr="1EFBF1D2">
        <w:t>, which establishes a new monitoring and reporting function for IBAC</w:t>
      </w:r>
      <w:r w:rsidR="001D030B">
        <w:t xml:space="preserve"> in relation to Victoria Police</w:t>
      </w:r>
      <w:r w:rsidRPr="1EFBF1D2">
        <w:t>. While this function will not commence until late 2024</w:t>
      </w:r>
      <w:r w:rsidR="00AD5132">
        <w:t xml:space="preserve">, </w:t>
      </w:r>
      <w:r w:rsidR="00BE6FC4">
        <w:t>we have</w:t>
      </w:r>
      <w:r w:rsidRPr="1EFBF1D2">
        <w:t xml:space="preserve"> already </w:t>
      </w:r>
      <w:r>
        <w:t>commenced</w:t>
      </w:r>
      <w:r w:rsidRPr="1EFBF1D2">
        <w:t xml:space="preserve"> planning </w:t>
      </w:r>
      <w:r w:rsidR="001A2C1B">
        <w:t>and prepa</w:t>
      </w:r>
      <w:r w:rsidR="00DB6A9A">
        <w:t xml:space="preserve">ratory </w:t>
      </w:r>
      <w:r w:rsidR="0078007F">
        <w:t xml:space="preserve">work for </w:t>
      </w:r>
      <w:r w:rsidR="00BE6FC4">
        <w:t>our</w:t>
      </w:r>
      <w:r w:rsidR="00BE6FC4" w:rsidRPr="1EFBF1D2">
        <w:t xml:space="preserve"> </w:t>
      </w:r>
      <w:r w:rsidR="00AD5132">
        <w:t xml:space="preserve">oversight of </w:t>
      </w:r>
      <w:r w:rsidRPr="1EFBF1D2">
        <w:t xml:space="preserve">Victoria Police's </w:t>
      </w:r>
      <w:r w:rsidR="00AD5132">
        <w:t>h</w:t>
      </w:r>
      <w:r w:rsidRPr="003F3046">
        <w:t>uman source management framework</w:t>
      </w:r>
      <w:r>
        <w:t>.</w:t>
      </w:r>
    </w:p>
    <w:p w14:paraId="2927A359" w14:textId="79B1AD94" w:rsidR="00BE2E75" w:rsidRDefault="00BE6FC4" w:rsidP="00BE2E75">
      <w:pPr>
        <w:pStyle w:val="BodyText"/>
      </w:pPr>
      <w:r>
        <w:t>We</w:t>
      </w:r>
      <w:r w:rsidRPr="1EFBF1D2">
        <w:t xml:space="preserve"> </w:t>
      </w:r>
      <w:r w:rsidR="00BE2E75" w:rsidRPr="1EFBF1D2">
        <w:t xml:space="preserve">continue to consult with key stakeholders, including the Department of Justice and Community Safety, on the development of </w:t>
      </w:r>
      <w:r w:rsidR="00DA5091">
        <w:t>h</w:t>
      </w:r>
      <w:r w:rsidR="00BE2E75" w:rsidRPr="1EFBF1D2">
        <w:t xml:space="preserve">uman </w:t>
      </w:r>
      <w:r w:rsidR="00DA5091">
        <w:t>s</w:t>
      </w:r>
      <w:r w:rsidR="00BE2E75" w:rsidRPr="1EFBF1D2">
        <w:t xml:space="preserve">ource </w:t>
      </w:r>
      <w:r w:rsidR="00DA5091">
        <w:t>m</w:t>
      </w:r>
      <w:r w:rsidR="00BE2E75" w:rsidRPr="1EFBF1D2">
        <w:t xml:space="preserve">anagement </w:t>
      </w:r>
      <w:r w:rsidR="00DA5091">
        <w:t>r</w:t>
      </w:r>
      <w:r w:rsidR="00BE2E75" w:rsidRPr="1EFBF1D2">
        <w:t>egulations</w:t>
      </w:r>
      <w:r w:rsidR="00DA5091">
        <w:t>,</w:t>
      </w:r>
      <w:r w:rsidR="00BE2E75">
        <w:t xml:space="preserve"> which will form an essential part of </w:t>
      </w:r>
      <w:r>
        <w:t xml:space="preserve">our </w:t>
      </w:r>
      <w:r w:rsidR="00BE2E75">
        <w:t>ability to effectively oversee the framework</w:t>
      </w:r>
      <w:r w:rsidR="00BE2E75" w:rsidRPr="1EFBF1D2">
        <w:t>.</w:t>
      </w:r>
    </w:p>
    <w:p w14:paraId="0410987C" w14:textId="1C185979" w:rsidR="00BE2E75" w:rsidRDefault="00BE2E75" w:rsidP="00BE2E75">
      <w:pPr>
        <w:pStyle w:val="BodyText"/>
        <w:rPr>
          <w:lang w:val="en-US"/>
        </w:rPr>
      </w:pPr>
      <w:r>
        <w:rPr>
          <w:lang w:val="en-US"/>
        </w:rPr>
        <w:t xml:space="preserve">IBAC </w:t>
      </w:r>
      <w:r w:rsidR="00EE54A3">
        <w:rPr>
          <w:lang w:val="en-US"/>
        </w:rPr>
        <w:t xml:space="preserve">understands that </w:t>
      </w:r>
      <w:r>
        <w:rPr>
          <w:lang w:val="en-US"/>
        </w:rPr>
        <w:t>t</w:t>
      </w:r>
      <w:r w:rsidRPr="1EFBF1D2">
        <w:rPr>
          <w:lang w:val="en-US"/>
        </w:rPr>
        <w:t>he Victorian Government</w:t>
      </w:r>
      <w:r w:rsidR="00870F50">
        <w:rPr>
          <w:lang w:val="en-US"/>
        </w:rPr>
        <w:t xml:space="preserve"> </w:t>
      </w:r>
      <w:r w:rsidR="00550C2D">
        <w:rPr>
          <w:lang w:val="en-US"/>
        </w:rPr>
        <w:t>will revisit the</w:t>
      </w:r>
      <w:r w:rsidR="00EA4E01">
        <w:rPr>
          <w:lang w:val="en-US"/>
        </w:rPr>
        <w:t xml:space="preserve"> </w:t>
      </w:r>
      <w:r w:rsidR="00C350F0">
        <w:rPr>
          <w:lang w:val="en-US"/>
        </w:rPr>
        <w:t xml:space="preserve">police oversight reforms </w:t>
      </w:r>
      <w:r w:rsidR="00B41E34">
        <w:rPr>
          <w:lang w:val="en-US"/>
        </w:rPr>
        <w:t>a</w:t>
      </w:r>
      <w:r w:rsidR="002E4A4D" w:rsidRPr="002E4A4D">
        <w:rPr>
          <w:lang w:val="en-US"/>
        </w:rPr>
        <w:t>fter the Yoorrook Justice Commission delivers its report into injustices against First Peoples in the criminal justice system, due in August 2023</w:t>
      </w:r>
      <w:r w:rsidRPr="1EFBF1D2">
        <w:rPr>
          <w:lang w:val="en-US"/>
        </w:rPr>
        <w:t xml:space="preserve">. </w:t>
      </w:r>
      <w:r w:rsidR="000A64E2">
        <w:rPr>
          <w:lang w:val="en-US"/>
        </w:rPr>
        <w:t>We</w:t>
      </w:r>
      <w:r w:rsidR="000A64E2" w:rsidRPr="1EFBF1D2">
        <w:rPr>
          <w:lang w:val="en-US"/>
        </w:rPr>
        <w:t xml:space="preserve"> </w:t>
      </w:r>
      <w:r w:rsidR="006705CF">
        <w:rPr>
          <w:lang w:val="en-US"/>
        </w:rPr>
        <w:t>expect</w:t>
      </w:r>
      <w:r w:rsidRPr="1EFBF1D2">
        <w:rPr>
          <w:lang w:val="en-US"/>
        </w:rPr>
        <w:t xml:space="preserve"> consult</w:t>
      </w:r>
      <w:r w:rsidR="00A37872">
        <w:rPr>
          <w:lang w:val="en-US"/>
        </w:rPr>
        <w:t>ation</w:t>
      </w:r>
      <w:r w:rsidRPr="1EFBF1D2">
        <w:rPr>
          <w:lang w:val="en-US"/>
        </w:rPr>
        <w:t xml:space="preserve"> with government </w:t>
      </w:r>
      <w:r w:rsidR="002B01BB">
        <w:rPr>
          <w:lang w:val="en-US"/>
        </w:rPr>
        <w:t xml:space="preserve">to </w:t>
      </w:r>
      <w:r w:rsidR="00A37872">
        <w:rPr>
          <w:lang w:val="en-US"/>
        </w:rPr>
        <w:t xml:space="preserve">continue </w:t>
      </w:r>
      <w:r w:rsidRPr="1EFBF1D2">
        <w:rPr>
          <w:lang w:val="en-US"/>
        </w:rPr>
        <w:t>on this important piece of work and ha</w:t>
      </w:r>
      <w:r w:rsidR="000A64E2">
        <w:rPr>
          <w:lang w:val="en-US"/>
        </w:rPr>
        <w:t>ve</w:t>
      </w:r>
      <w:r w:rsidRPr="1EFBF1D2">
        <w:rPr>
          <w:lang w:val="en-US"/>
        </w:rPr>
        <w:t xml:space="preserve"> taken </w:t>
      </w:r>
      <w:r>
        <w:rPr>
          <w:lang w:val="en-US"/>
        </w:rPr>
        <w:t xml:space="preserve">a number of </w:t>
      </w:r>
      <w:r w:rsidRPr="1EFBF1D2">
        <w:rPr>
          <w:lang w:val="en-US"/>
        </w:rPr>
        <w:t>steps to address some of the key issues raised during consultation in previous years.</w:t>
      </w:r>
    </w:p>
    <w:p w14:paraId="58E5D1C2" w14:textId="64F0B775" w:rsidR="00C803F5" w:rsidRDefault="00C803F5" w:rsidP="00B07072">
      <w:pPr>
        <w:pStyle w:val="Heading4"/>
        <w:rPr>
          <w:lang w:val="en-US"/>
        </w:rPr>
      </w:pPr>
      <w:r w:rsidRPr="00C803F5">
        <w:rPr>
          <w:lang w:val="en-US"/>
        </w:rPr>
        <w:t>Corruption Prevention Strategy</w:t>
      </w:r>
    </w:p>
    <w:p w14:paraId="62B25116" w14:textId="00F4DBDF" w:rsidR="00C803F5" w:rsidRPr="00FC3D31" w:rsidRDefault="00C803F5" w:rsidP="00C803F5">
      <w:pPr>
        <w:pStyle w:val="BodyText"/>
      </w:pPr>
      <w:r>
        <w:t xml:space="preserve">In </w:t>
      </w:r>
      <w:r w:rsidR="000A1691">
        <w:t>2022/23</w:t>
      </w:r>
      <w:r>
        <w:t xml:space="preserve">, we implemented year two and moved into year three of </w:t>
      </w:r>
      <w:r w:rsidR="007D7B57">
        <w:t xml:space="preserve">our </w:t>
      </w:r>
      <w:r w:rsidRPr="006B49EE">
        <w:t>Corruption Prevention Strategy</w:t>
      </w:r>
      <w:r w:rsidR="007D7B57">
        <w:t>,</w:t>
      </w:r>
      <w:r w:rsidRPr="006B49EE">
        <w:t xml:space="preserve"> </w:t>
      </w:r>
      <w:r w:rsidRPr="00641974">
        <w:t>which aims to</w:t>
      </w:r>
      <w:r w:rsidRPr="006B49EE">
        <w:t xml:space="preserve"> </w:t>
      </w:r>
      <w:r w:rsidRPr="2A052051">
        <w:t xml:space="preserve">build the corruption prevention capability of </w:t>
      </w:r>
      <w:r w:rsidR="00C445FB">
        <w:t>Victoria P</w:t>
      </w:r>
      <w:r w:rsidRPr="2A052051">
        <w:t>olice and the public sector</w:t>
      </w:r>
      <w:r w:rsidRPr="006B49EE">
        <w:t>.</w:t>
      </w:r>
      <w:r>
        <w:t xml:space="preserve"> </w:t>
      </w:r>
      <w:r w:rsidRPr="2A052051">
        <w:t>This strategy</w:t>
      </w:r>
      <w:r>
        <w:t xml:space="preserve"> supports a proactive, integrated and intelligence-led approach to </w:t>
      </w:r>
      <w:r w:rsidR="0007703D">
        <w:t xml:space="preserve">the </w:t>
      </w:r>
      <w:r>
        <w:t>prevention</w:t>
      </w:r>
      <w:r w:rsidR="0007703D">
        <w:t xml:space="preserve"> of corruption and police misconduct</w:t>
      </w:r>
      <w:r>
        <w:t xml:space="preserve">. It focuses our efforts on data collection and </w:t>
      </w:r>
      <w:r w:rsidR="00893225">
        <w:t>analysis and</w:t>
      </w:r>
      <w:r>
        <w:t xml:space="preserve"> informs the educational materials we develop and the targeted engagement we provide.</w:t>
      </w:r>
    </w:p>
    <w:p w14:paraId="6DDDB179" w14:textId="0C0E35F0" w:rsidR="00C803F5" w:rsidRDefault="00C803F5" w:rsidP="00C803F5">
      <w:pPr>
        <w:pStyle w:val="BodyText"/>
      </w:pPr>
      <w:r>
        <w:t>In year one, we commenced several multi-year projects with a focus on the enhancement of our internal capabilities.</w:t>
      </w:r>
    </w:p>
    <w:p w14:paraId="6CEE7227" w14:textId="1A62A8FC" w:rsidR="00C803F5" w:rsidRPr="00FC3D31" w:rsidRDefault="00C803F5" w:rsidP="00C803F5">
      <w:pPr>
        <w:pStyle w:val="BodyText"/>
      </w:pPr>
      <w:r>
        <w:t>In years two and three, we concentrated on several key areas, including:</w:t>
      </w:r>
    </w:p>
    <w:p w14:paraId="129E4479" w14:textId="4698D54B" w:rsidR="00C803F5" w:rsidRPr="00FC3D31" w:rsidRDefault="00C803F5" w:rsidP="00C803F5">
      <w:pPr>
        <w:pStyle w:val="ListBullet"/>
        <w:numPr>
          <w:ilvl w:val="0"/>
          <w:numId w:val="3"/>
        </w:numPr>
      </w:pPr>
      <w:r>
        <w:t xml:space="preserve">building our internal data analytics capability and applying these insights to our </w:t>
      </w:r>
      <w:r w:rsidR="0007703D" w:rsidRPr="0007703D">
        <w:t>activities to prevent and identify corruption and police misconduct</w:t>
      </w:r>
    </w:p>
    <w:p w14:paraId="5CB584A3" w14:textId="77777777" w:rsidR="00C803F5" w:rsidRPr="00FC3D31" w:rsidRDefault="00C803F5" w:rsidP="00C803F5">
      <w:pPr>
        <w:pStyle w:val="ListBullet"/>
        <w:numPr>
          <w:ilvl w:val="0"/>
          <w:numId w:val="3"/>
        </w:numPr>
      </w:pPr>
      <w:r>
        <w:t xml:space="preserve">expanding our communication and engagement activities, including: </w:t>
      </w:r>
    </w:p>
    <w:p w14:paraId="3AAE4146" w14:textId="77777777" w:rsidR="00C803F5" w:rsidRPr="00FC3D31" w:rsidRDefault="00C803F5" w:rsidP="00C803F5">
      <w:pPr>
        <w:pStyle w:val="ListBullet2"/>
      </w:pPr>
      <w:r>
        <w:t>presentations to different police cohorts at forums and training</w:t>
      </w:r>
    </w:p>
    <w:p w14:paraId="4A0AEF06" w14:textId="77777777" w:rsidR="00C803F5" w:rsidRPr="006B49EE" w:rsidRDefault="00C803F5" w:rsidP="00C803F5">
      <w:pPr>
        <w:pStyle w:val="ListBullet2"/>
        <w:rPr>
          <w:rFonts w:eastAsia="Calibri"/>
        </w:rPr>
      </w:pPr>
      <w:r>
        <w:t>new and more accessible educational materials on our police oversight role for both Victoria Police and the community</w:t>
      </w:r>
    </w:p>
    <w:p w14:paraId="208095CB" w14:textId="62BCF229" w:rsidR="00C803F5" w:rsidRPr="006B49EE" w:rsidRDefault="00C803F5" w:rsidP="00C803F5">
      <w:pPr>
        <w:pStyle w:val="ListBullet2"/>
        <w:rPr>
          <w:rFonts w:eastAsia="Calibri"/>
        </w:rPr>
      </w:pPr>
      <w:r>
        <w:t>police oversight awareness campaigns, videos, podcasts and information sheets</w:t>
      </w:r>
    </w:p>
    <w:p w14:paraId="7FFF53B3" w14:textId="77777777" w:rsidR="00C803F5" w:rsidRPr="006B49EE" w:rsidRDefault="00C803F5" w:rsidP="00C803F5">
      <w:pPr>
        <w:pStyle w:val="ListBullet2"/>
        <w:rPr>
          <w:rFonts w:eastAsia="Calibri"/>
        </w:rPr>
      </w:pPr>
      <w:r w:rsidRPr="006B49EE">
        <w:rPr>
          <w:rFonts w:eastAsia="Calibri"/>
        </w:rPr>
        <w:t>reports and case studies</w:t>
      </w:r>
    </w:p>
    <w:p w14:paraId="013AFAC2" w14:textId="77777777" w:rsidR="00C803F5" w:rsidRPr="00FC3D31" w:rsidRDefault="00C803F5" w:rsidP="00C803F5">
      <w:pPr>
        <w:pStyle w:val="ListBullet"/>
        <w:numPr>
          <w:ilvl w:val="0"/>
          <w:numId w:val="3"/>
        </w:numPr>
      </w:pPr>
      <w:r>
        <w:t>exploring opportunities to collaborate with Victoria Police on prevention and education initiatives.</w:t>
      </w:r>
    </w:p>
    <w:p w14:paraId="6069D692" w14:textId="77777777" w:rsidR="0007703D" w:rsidRDefault="0007703D" w:rsidP="0007703D">
      <w:pPr>
        <w:pStyle w:val="BodyText"/>
      </w:pPr>
      <w:r>
        <w:t>We launched a new website in April 2023, making it easier for people to report corruption and police misconduct. Key enhancements include:</w:t>
      </w:r>
    </w:p>
    <w:p w14:paraId="57598B62" w14:textId="77777777" w:rsidR="0007703D" w:rsidRDefault="0007703D" w:rsidP="0007703D">
      <w:pPr>
        <w:pStyle w:val="ListBullet"/>
        <w:numPr>
          <w:ilvl w:val="0"/>
          <w:numId w:val="108"/>
        </w:numPr>
      </w:pPr>
      <w:r>
        <w:t>forms supported by clearer, step-by-step instructions</w:t>
      </w:r>
    </w:p>
    <w:p w14:paraId="21452178" w14:textId="77777777" w:rsidR="0007703D" w:rsidRDefault="0007703D" w:rsidP="0007703D">
      <w:pPr>
        <w:pStyle w:val="ListBullet"/>
        <w:numPr>
          <w:ilvl w:val="0"/>
          <w:numId w:val="108"/>
        </w:numPr>
      </w:pPr>
      <w:r>
        <w:t>improvements to accessibility of the complaint form and the ability to provide information anonymously</w:t>
      </w:r>
    </w:p>
    <w:p w14:paraId="7421BD86" w14:textId="77777777" w:rsidR="0007703D" w:rsidRDefault="0007703D" w:rsidP="0007703D">
      <w:pPr>
        <w:pStyle w:val="ListBullet"/>
        <w:numPr>
          <w:ilvl w:val="0"/>
          <w:numId w:val="108"/>
        </w:numPr>
        <w:rPr>
          <w:rFonts w:eastAsia="Calibri" w:cs="Arial"/>
        </w:rPr>
      </w:pPr>
      <w:r>
        <w:t>a more user-friendly resource centre to access our publications and resources.</w:t>
      </w:r>
    </w:p>
    <w:p w14:paraId="7E6F700C" w14:textId="4CA3B02F" w:rsidR="00FD7B2B" w:rsidRDefault="00FD7B2B" w:rsidP="0007703D">
      <w:pPr>
        <w:pStyle w:val="BodyText"/>
      </w:pPr>
      <w:r w:rsidRPr="00FD7B2B">
        <w:t xml:space="preserve">We also delivered a project to update some of our key public resources to ensure they are accessible and user-friendly. The project included the redevelopment of information sheets and videos on topics including public interest disclosures, witness wellbeing and key corruption risk themes, such as conflict of interest, procurement, recruitment and criminal networks. We will begin distributing these refreshed resources in </w:t>
      </w:r>
      <w:r w:rsidR="000A1691">
        <w:t>2023/24</w:t>
      </w:r>
      <w:r w:rsidRPr="00FD7B2B">
        <w:t xml:space="preserve">. </w:t>
      </w:r>
    </w:p>
    <w:p w14:paraId="4D70C214" w14:textId="6C9E3FB5" w:rsidR="0007703D" w:rsidRDefault="0007703D" w:rsidP="0007703D">
      <w:pPr>
        <w:pStyle w:val="BodyText"/>
      </w:pPr>
      <w:r>
        <w:t>A new stakeholder management system was implemented across the organisation to enhance our internal information</w:t>
      </w:r>
      <w:r w:rsidR="0028143C">
        <w:t>-</w:t>
      </w:r>
      <w:r>
        <w:t xml:space="preserve">sharing capability, while also allowing us to better </w:t>
      </w:r>
      <w:r>
        <w:rPr>
          <w:rFonts w:cs="Calibri"/>
        </w:rPr>
        <w:t>track and manage contact and activities with our stakeholders.</w:t>
      </w:r>
    </w:p>
    <w:p w14:paraId="79D2519A" w14:textId="24FD21D7" w:rsidR="0007703D" w:rsidRDefault="0007703D" w:rsidP="0007703D">
      <w:pPr>
        <w:pStyle w:val="BodyText"/>
        <w:rPr>
          <w:lang w:val="en-US"/>
        </w:rPr>
      </w:pPr>
      <w:r>
        <w:t>We delivered key initiatives in the final year of our Focus Communities Strategy</w:t>
      </w:r>
      <w:r w:rsidRPr="009A74C9">
        <w:rPr>
          <w:rStyle w:val="Characteritalic"/>
        </w:rPr>
        <w:t>.</w:t>
      </w:r>
      <w:r>
        <w:t xml:space="preserve"> These included:</w:t>
      </w:r>
    </w:p>
    <w:p w14:paraId="14918712" w14:textId="77777777" w:rsidR="0007703D" w:rsidRDefault="0007703D" w:rsidP="0007703D">
      <w:pPr>
        <w:pStyle w:val="ListBullet"/>
        <w:numPr>
          <w:ilvl w:val="0"/>
          <w:numId w:val="108"/>
        </w:numPr>
      </w:pPr>
      <w:r>
        <w:t>attendance at the Midsumma Festival (January 2023)</w:t>
      </w:r>
    </w:p>
    <w:p w14:paraId="2DF77669" w14:textId="77777777" w:rsidR="0007703D" w:rsidRDefault="0007703D" w:rsidP="0007703D">
      <w:pPr>
        <w:pStyle w:val="ListBullet"/>
        <w:numPr>
          <w:ilvl w:val="0"/>
          <w:numId w:val="108"/>
        </w:numPr>
      </w:pPr>
      <w:r>
        <w:t>our regional ‘You have the right to not remain silent’ campaign, encouraging regional communities at risk of police misconduct to speak out and report to us</w:t>
      </w:r>
    </w:p>
    <w:p w14:paraId="09866ED1" w14:textId="77777777" w:rsidR="0007703D" w:rsidRDefault="0007703D" w:rsidP="0007703D">
      <w:pPr>
        <w:pStyle w:val="ListBullet"/>
        <w:numPr>
          <w:ilvl w:val="0"/>
          <w:numId w:val="108"/>
        </w:numPr>
      </w:pPr>
      <w:r>
        <w:t>the development of new materials on complaint handling and translation of resources.</w:t>
      </w:r>
    </w:p>
    <w:p w14:paraId="05560525" w14:textId="3C96FC8C" w:rsidR="0007703D" w:rsidRPr="007E78B5" w:rsidRDefault="0007703D" w:rsidP="0007703D">
      <w:pPr>
        <w:pStyle w:val="BodyText"/>
      </w:pPr>
      <w:r>
        <w:t xml:space="preserve">We delivered a range of prevention and education initiatives related to our police oversight role and strategic focus areas in </w:t>
      </w:r>
      <w:r w:rsidR="000A1691">
        <w:t>2022/23</w:t>
      </w:r>
      <w:r>
        <w:t xml:space="preserve"> (see details in the </w:t>
      </w:r>
      <w:r>
        <w:fldChar w:fldCharType="begin"/>
      </w:r>
      <w:r>
        <w:instrText xml:space="preserve"> REF _Ref143606178 \h </w:instrText>
      </w:r>
      <w:r>
        <w:fldChar w:fldCharType="separate"/>
      </w:r>
      <w:r>
        <w:t>Strategic focus areas</w:t>
      </w:r>
      <w:r>
        <w:fldChar w:fldCharType="end"/>
      </w:r>
      <w:r>
        <w:t xml:space="preserve"> section). </w:t>
      </w:r>
      <w:r w:rsidRPr="007E78B5">
        <w:t xml:space="preserve">In </w:t>
      </w:r>
      <w:r w:rsidR="000A1691" w:rsidRPr="007E78B5">
        <w:t>2023/24</w:t>
      </w:r>
      <w:r w:rsidRPr="007E78B5">
        <w:t>, we will develop our next community strategy.</w:t>
      </w:r>
    </w:p>
    <w:p w14:paraId="50101F47" w14:textId="77777777" w:rsidR="0007703D" w:rsidRDefault="0007703D" w:rsidP="00B07072">
      <w:pPr>
        <w:pStyle w:val="Heading4"/>
      </w:pPr>
      <w:r>
        <w:t>Enhanced witness liaison</w:t>
      </w:r>
    </w:p>
    <w:p w14:paraId="158CC189" w14:textId="77777777" w:rsidR="0007703D" w:rsidRDefault="0007703D" w:rsidP="0007703D">
      <w:pPr>
        <w:pStyle w:val="BodyText"/>
      </w:pPr>
      <w:r>
        <w:t>In 2023, we enhanced our witness liaison capability to support the health, safety and wellbeing of witnesses. This initiative included an updated Witness Wellbeing Policy, which outlines our commitment to the health and psychological wellbeing of witnesses. We also developed a new witness wellbeing procedure that provides guidance to IBAC officers on witness risk assessments, supports and escalation.</w:t>
      </w:r>
    </w:p>
    <w:p w14:paraId="53E956F8" w14:textId="77777777" w:rsidR="0007703D" w:rsidRDefault="0007703D" w:rsidP="0007703D">
      <w:pPr>
        <w:pStyle w:val="BodyText"/>
      </w:pPr>
      <w:r>
        <w:t>We established a dedicated witness liaison team in February 2023, delivering a coordinated approach to witness wellbeing with a focus on communication and risk management.</w:t>
      </w:r>
    </w:p>
    <w:p w14:paraId="39BA5CC2" w14:textId="77777777" w:rsidR="0007703D" w:rsidRDefault="0007703D" w:rsidP="0007703D">
      <w:pPr>
        <w:pStyle w:val="BodyText"/>
      </w:pPr>
      <w:r>
        <w:t>Our witness liaison team collaborates with teams across the organisation to ensure:</w:t>
      </w:r>
    </w:p>
    <w:p w14:paraId="3D855133" w14:textId="77777777" w:rsidR="0007703D" w:rsidRDefault="0007703D" w:rsidP="0007703D">
      <w:pPr>
        <w:pStyle w:val="ListBullet"/>
        <w:numPr>
          <w:ilvl w:val="0"/>
          <w:numId w:val="108"/>
        </w:numPr>
        <w:rPr>
          <w:rFonts w:eastAsia="Calibri"/>
        </w:rPr>
      </w:pPr>
      <w:r>
        <w:rPr>
          <w:rFonts w:eastAsia="Calibri"/>
        </w:rPr>
        <w:t>communication with witnesses is maintained throughout an operation, including during the drafting and tabling of a report</w:t>
      </w:r>
    </w:p>
    <w:p w14:paraId="3E88D962" w14:textId="77777777" w:rsidR="0007703D" w:rsidRDefault="0007703D" w:rsidP="0007703D">
      <w:pPr>
        <w:pStyle w:val="ListBullet"/>
        <w:numPr>
          <w:ilvl w:val="0"/>
          <w:numId w:val="108"/>
        </w:numPr>
        <w:rPr>
          <w:rFonts w:eastAsia="Calibri" w:cs="Arial"/>
        </w:rPr>
      </w:pPr>
      <w:r>
        <w:rPr>
          <w:rFonts w:eastAsia="Calibri"/>
        </w:rPr>
        <w:t>witnesses understand the potential pathways and processes they may be subject to</w:t>
      </w:r>
    </w:p>
    <w:p w14:paraId="230865DC" w14:textId="77777777" w:rsidR="0007703D" w:rsidRDefault="0007703D" w:rsidP="0007703D">
      <w:pPr>
        <w:pStyle w:val="ListBullet"/>
        <w:numPr>
          <w:ilvl w:val="0"/>
          <w:numId w:val="108"/>
        </w:numPr>
        <w:rPr>
          <w:rFonts w:eastAsia="Calibri"/>
        </w:rPr>
      </w:pPr>
      <w:r>
        <w:rPr>
          <w:rFonts w:eastAsia="Calibri"/>
        </w:rPr>
        <w:t>witnesses are aware of the supports available to them and how to access them.</w:t>
      </w:r>
    </w:p>
    <w:p w14:paraId="143879EC" w14:textId="77777777" w:rsidR="0007703D" w:rsidRDefault="0007703D" w:rsidP="0007703D">
      <w:pPr>
        <w:rPr>
          <w:rFonts w:eastAsia="Calibri" w:cs="Calibri"/>
          <w:szCs w:val="22"/>
        </w:rPr>
      </w:pPr>
      <w:r>
        <w:rPr>
          <w:rFonts w:eastAsia="Calibri" w:cs="Calibri"/>
          <w:szCs w:val="22"/>
        </w:rPr>
        <w:t>The witness liaison team has also worked with an external provider to deliver training to our frontline employees and people managers to enhance their ability to screen for risks and manage witness wellbeing.</w:t>
      </w:r>
    </w:p>
    <w:p w14:paraId="55AA13C5" w14:textId="77777777" w:rsidR="0007703D" w:rsidRDefault="0007703D" w:rsidP="00B07072">
      <w:pPr>
        <w:pStyle w:val="Heading4"/>
      </w:pPr>
      <w:r>
        <w:t>Enhanced complainant experience</w:t>
      </w:r>
    </w:p>
    <w:p w14:paraId="78C55FE1" w14:textId="5828F73D" w:rsidR="0007703D" w:rsidRDefault="0007703D" w:rsidP="0007703D">
      <w:pPr>
        <w:pStyle w:val="BodyText"/>
      </w:pPr>
      <w:r>
        <w:t xml:space="preserve">We </w:t>
      </w:r>
      <w:r w:rsidR="007E2C29">
        <w:t xml:space="preserve">continued </w:t>
      </w:r>
      <w:r>
        <w:t>work on a multi-year strategic initiative aimed at enhancing the complainant experience, including:</w:t>
      </w:r>
    </w:p>
    <w:p w14:paraId="46FC297B" w14:textId="48B60C49" w:rsidR="0007703D" w:rsidRDefault="0007703D" w:rsidP="0007703D">
      <w:pPr>
        <w:pStyle w:val="ListBullet"/>
        <w:numPr>
          <w:ilvl w:val="0"/>
          <w:numId w:val="108"/>
        </w:numPr>
      </w:pPr>
      <w:r>
        <w:t xml:space="preserve">an in-depth review of information relevant to the </w:t>
      </w:r>
      <w:r w:rsidR="00591416">
        <w:t>PID</w:t>
      </w:r>
      <w:r>
        <w:t xml:space="preserve"> scheme</w:t>
      </w:r>
    </w:p>
    <w:p w14:paraId="52D03F81" w14:textId="77777777" w:rsidR="0007703D" w:rsidRDefault="0007703D" w:rsidP="0007703D">
      <w:pPr>
        <w:pStyle w:val="ListBullet"/>
        <w:numPr>
          <w:ilvl w:val="0"/>
          <w:numId w:val="108"/>
        </w:numPr>
      </w:pPr>
      <w:r>
        <w:t>the redesign of our website</w:t>
      </w:r>
    </w:p>
    <w:p w14:paraId="1A212051" w14:textId="77777777" w:rsidR="0007703D" w:rsidRDefault="0007703D" w:rsidP="0007703D">
      <w:pPr>
        <w:pStyle w:val="ListBullet"/>
        <w:numPr>
          <w:ilvl w:val="0"/>
          <w:numId w:val="108"/>
        </w:numPr>
      </w:pPr>
      <w:r>
        <w:t>a review of correspondence to complainants.</w:t>
      </w:r>
    </w:p>
    <w:p w14:paraId="03E17ED9" w14:textId="77777777" w:rsidR="0007703D" w:rsidRDefault="0007703D" w:rsidP="0007703D">
      <w:pPr>
        <w:pStyle w:val="BodyText"/>
      </w:pPr>
      <w:r>
        <w:t>We have also commenced a review of our policies and procedures relating to the assessment of complaints and introduced conditions for some referrals of the complaints we refer to other bodies for investigation. This ensures that referrals are managed and investigated in accordance with the relevant conditions.</w:t>
      </w:r>
    </w:p>
    <w:p w14:paraId="7CCBFFE1" w14:textId="71742688" w:rsidR="0007703D" w:rsidRDefault="0007703D" w:rsidP="0007703D">
      <w:pPr>
        <w:pStyle w:val="BodyText"/>
      </w:pPr>
      <w:r>
        <w:t>We also conducted training for our staff to improve the experience for complain</w:t>
      </w:r>
      <w:r w:rsidR="00591416">
        <w:t>an</w:t>
      </w:r>
      <w:r>
        <w:t>ts, covering topics such as:</w:t>
      </w:r>
    </w:p>
    <w:p w14:paraId="39244BA8" w14:textId="77777777" w:rsidR="0007703D" w:rsidRDefault="0007703D" w:rsidP="0007703D">
      <w:pPr>
        <w:pStyle w:val="ListBullet"/>
        <w:numPr>
          <w:ilvl w:val="0"/>
          <w:numId w:val="108"/>
        </w:numPr>
      </w:pPr>
      <w:r>
        <w:t>wellbeing and welfare</w:t>
      </w:r>
    </w:p>
    <w:p w14:paraId="40773BAE" w14:textId="77777777" w:rsidR="0007703D" w:rsidRDefault="0007703D" w:rsidP="0007703D">
      <w:pPr>
        <w:pStyle w:val="ListBullet"/>
        <w:numPr>
          <w:ilvl w:val="0"/>
          <w:numId w:val="108"/>
        </w:numPr>
      </w:pPr>
      <w:r>
        <w:t>engaging with vulnerable complainants on the telephone</w:t>
      </w:r>
    </w:p>
    <w:p w14:paraId="39395F46" w14:textId="77777777" w:rsidR="0007703D" w:rsidRDefault="0007703D" w:rsidP="0007703D">
      <w:pPr>
        <w:pStyle w:val="ListBullet"/>
        <w:numPr>
          <w:ilvl w:val="0"/>
          <w:numId w:val="108"/>
        </w:numPr>
      </w:pPr>
      <w:r>
        <w:t xml:space="preserve">dealing with complex behaviours. </w:t>
      </w:r>
    </w:p>
    <w:p w14:paraId="6908CAD5" w14:textId="07635A8F" w:rsidR="0007703D" w:rsidRDefault="0007703D" w:rsidP="0007703D">
      <w:pPr>
        <w:pStyle w:val="BodyText"/>
      </w:pPr>
      <w:r>
        <w:t xml:space="preserve">During </w:t>
      </w:r>
      <w:r w:rsidR="000A1691">
        <w:t>2022/23</w:t>
      </w:r>
      <w:r>
        <w:t xml:space="preserve">, we also implemented a quality assurance framework and an audit plan that includes regular monitoring. </w:t>
      </w:r>
    </w:p>
    <w:p w14:paraId="4CBEA893" w14:textId="77777777" w:rsidR="0007703D" w:rsidRDefault="0007703D" w:rsidP="00B07072">
      <w:pPr>
        <w:pStyle w:val="Heading4"/>
      </w:pPr>
      <w:r>
        <w:t>Intelligence framework</w:t>
      </w:r>
    </w:p>
    <w:p w14:paraId="4955DD2D" w14:textId="4DDB7259" w:rsidR="0007703D" w:rsidRDefault="0007703D" w:rsidP="0007703D">
      <w:pPr>
        <w:pStyle w:val="BodyText"/>
      </w:pPr>
      <w:r>
        <w:t xml:space="preserve">We continued to refine our intelligence framework </w:t>
      </w:r>
      <w:r w:rsidR="00B60726">
        <w:t>in</w:t>
      </w:r>
      <w:r>
        <w:t xml:space="preserve"> </w:t>
      </w:r>
      <w:r w:rsidR="000A1691">
        <w:t>2022/23</w:t>
      </w:r>
      <w:r>
        <w:t>. The framework will describe how we give effect to the operating model that is at the centre of the IBAC Plan.</w:t>
      </w:r>
    </w:p>
    <w:p w14:paraId="7E12F603" w14:textId="067C6924" w:rsidR="0007703D" w:rsidRDefault="0007703D" w:rsidP="0007703D">
      <w:pPr>
        <w:pStyle w:val="BodyText"/>
      </w:pPr>
      <w:r>
        <w:t xml:space="preserve">The intelligence framework is a multi-year program, which will be finalised in </w:t>
      </w:r>
      <w:r w:rsidR="000A1691">
        <w:t>2023/24</w:t>
      </w:r>
      <w:r>
        <w:t xml:space="preserve"> and implemented over the following two years. To support the new framework, we will develop a training roadmap to ensure relevant IBAC employees have the skills and capabilities necessary for their </w:t>
      </w:r>
      <w:r w:rsidR="00E672C1">
        <w:t>roles and</w:t>
      </w:r>
      <w:r>
        <w:t xml:space="preserve"> are supported through established processes and systems.</w:t>
      </w:r>
    </w:p>
    <w:p w14:paraId="3874DC28" w14:textId="77777777" w:rsidR="0007703D" w:rsidRDefault="0007703D" w:rsidP="0007703D">
      <w:pPr>
        <w:pStyle w:val="BodyText"/>
      </w:pPr>
      <w:r>
        <w:t>We will enhance our information sharing internally and with external stakeholders to build understanding and generate timely intelligence insights. The intelligence framework will lead to clear operational and prevention outcomes across IBAC.</w:t>
      </w:r>
    </w:p>
    <w:p w14:paraId="762EC92A" w14:textId="77777777" w:rsidR="0007703D" w:rsidRDefault="0007703D" w:rsidP="00B07072">
      <w:pPr>
        <w:pStyle w:val="Heading4"/>
      </w:pPr>
      <w:r>
        <w:t>Investigations framework</w:t>
      </w:r>
    </w:p>
    <w:p w14:paraId="514D50CD" w14:textId="02F8923F" w:rsidR="00C803F5" w:rsidRPr="007E78B5" w:rsidRDefault="0007703D" w:rsidP="0007703D">
      <w:pPr>
        <w:pStyle w:val="BodyText"/>
      </w:pPr>
      <w:r>
        <w:t xml:space="preserve">The investigations framework was approved in </w:t>
      </w:r>
      <w:r w:rsidR="000A1691">
        <w:t>2022/23</w:t>
      </w:r>
      <w:r>
        <w:t xml:space="preserve"> and implementation has commenced. The implementation of this framework and </w:t>
      </w:r>
      <w:r w:rsidR="00E672C1">
        <w:t>related</w:t>
      </w:r>
      <w:r>
        <w:t xml:space="preserve"> policies, procedures and performance monitoring will </w:t>
      </w:r>
      <w:r w:rsidR="00C21FB8">
        <w:t xml:space="preserve">continue </w:t>
      </w:r>
      <w:r>
        <w:t xml:space="preserve">during </w:t>
      </w:r>
      <w:r w:rsidR="000A1691">
        <w:t>2023/24</w:t>
      </w:r>
      <w:r w:rsidR="00042088">
        <w:t>.</w:t>
      </w:r>
    </w:p>
    <w:p w14:paraId="4FF5BDFB" w14:textId="56D46946" w:rsidR="00C803F5" w:rsidRDefault="00C803F5" w:rsidP="00C803F5">
      <w:pPr>
        <w:pStyle w:val="Heading3"/>
      </w:pPr>
      <w:bookmarkStart w:id="75" w:name="_Toc149127901"/>
      <w:bookmarkStart w:id="76" w:name="_Ref149135282"/>
      <w:r>
        <w:t>Other core activity</w:t>
      </w:r>
      <w:bookmarkEnd w:id="75"/>
      <w:bookmarkEnd w:id="76"/>
    </w:p>
    <w:p w14:paraId="629F4835" w14:textId="77777777" w:rsidR="00F67CAE" w:rsidRPr="00F67CAE" w:rsidRDefault="00F67CAE" w:rsidP="00B07072">
      <w:pPr>
        <w:pStyle w:val="Heading4"/>
      </w:pPr>
      <w:r w:rsidRPr="00F67CAE">
        <w:t>Prevention and education</w:t>
      </w:r>
    </w:p>
    <w:p w14:paraId="37E310B5" w14:textId="13E05A3E" w:rsidR="00E56014" w:rsidRDefault="00E56014" w:rsidP="00B07072">
      <w:pPr>
        <w:pStyle w:val="Heading5"/>
        <w:rPr>
          <w:rFonts w:eastAsia="Calibri"/>
        </w:rPr>
      </w:pPr>
      <w:r w:rsidRPr="31BABAC6">
        <w:rPr>
          <w:rFonts w:eastAsia="Calibri"/>
        </w:rPr>
        <w:t>Making IBAC’s resources easier to understand</w:t>
      </w:r>
    </w:p>
    <w:p w14:paraId="1D04BD88" w14:textId="57985518" w:rsidR="00E56014" w:rsidRDefault="00E56014" w:rsidP="00E56014">
      <w:pPr>
        <w:pStyle w:val="BodyText"/>
        <w:rPr>
          <w:lang w:val="en-GB"/>
        </w:rPr>
      </w:pPr>
      <w:r w:rsidRPr="31BABAC6">
        <w:t xml:space="preserve">In 2023, </w:t>
      </w:r>
      <w:r w:rsidR="000A64E2">
        <w:t>we</w:t>
      </w:r>
      <w:r w:rsidR="000A64E2" w:rsidRPr="31BABAC6">
        <w:t xml:space="preserve"> </w:t>
      </w:r>
      <w:r w:rsidRPr="31BABAC6">
        <w:t xml:space="preserve">updated </w:t>
      </w:r>
      <w:r w:rsidRPr="31BABAC6">
        <w:rPr>
          <w:lang w:val="en-GB"/>
        </w:rPr>
        <w:t xml:space="preserve">some of </w:t>
      </w:r>
      <w:r w:rsidR="000A64E2">
        <w:rPr>
          <w:lang w:val="en-GB"/>
        </w:rPr>
        <w:t>our</w:t>
      </w:r>
      <w:r w:rsidR="000A64E2" w:rsidRPr="31BABAC6">
        <w:rPr>
          <w:lang w:val="en-GB"/>
        </w:rPr>
        <w:t xml:space="preserve"> </w:t>
      </w:r>
      <w:r w:rsidRPr="31BABAC6">
        <w:rPr>
          <w:lang w:val="en-GB"/>
        </w:rPr>
        <w:t xml:space="preserve">key public resources to ensure they are accessible and user-friendly. The project included a refresh of resources for Victoria Police personnel to inform them about IBAC’s role and why they must report misconduct. </w:t>
      </w:r>
      <w:r w:rsidR="006D2CB1">
        <w:rPr>
          <w:lang w:val="en-GB"/>
        </w:rPr>
        <w:t>We</w:t>
      </w:r>
      <w:r w:rsidR="006D2CB1" w:rsidRPr="31BABAC6">
        <w:rPr>
          <w:lang w:val="en-GB"/>
        </w:rPr>
        <w:t xml:space="preserve"> </w:t>
      </w:r>
      <w:r w:rsidRPr="31BABAC6">
        <w:rPr>
          <w:lang w:val="en-GB"/>
        </w:rPr>
        <w:t xml:space="preserve">will begin distributing these refreshed resources in </w:t>
      </w:r>
      <w:r w:rsidR="000A1691">
        <w:rPr>
          <w:lang w:val="en-GB"/>
        </w:rPr>
        <w:t>2023/24</w:t>
      </w:r>
      <w:r w:rsidRPr="31BABAC6">
        <w:rPr>
          <w:lang w:val="en-GB"/>
        </w:rPr>
        <w:t>.</w:t>
      </w:r>
    </w:p>
    <w:p w14:paraId="59E7D2B6" w14:textId="55A06D5B" w:rsidR="00E56014" w:rsidRDefault="00E56014" w:rsidP="00B07072">
      <w:pPr>
        <w:pStyle w:val="Heading5"/>
      </w:pPr>
      <w:r>
        <w:t>P</w:t>
      </w:r>
      <w:r w:rsidRPr="31BABAC6">
        <w:t>olice engagement and community education</w:t>
      </w:r>
    </w:p>
    <w:p w14:paraId="2D8B74D2" w14:textId="23229B9F" w:rsidR="00E56014" w:rsidRPr="00AC07D0" w:rsidRDefault="006D2CB1" w:rsidP="00E56014">
      <w:pPr>
        <w:pStyle w:val="BodyText"/>
      </w:pPr>
      <w:r>
        <w:t>Our</w:t>
      </w:r>
      <w:r w:rsidRPr="00AC07D0">
        <w:t xml:space="preserve"> </w:t>
      </w:r>
      <w:r w:rsidR="00E56014" w:rsidRPr="00AC07D0">
        <w:t xml:space="preserve">Victoria Police education program continued in </w:t>
      </w:r>
      <w:r w:rsidR="000A1691">
        <w:t>2022/23</w:t>
      </w:r>
      <w:r w:rsidR="00E56014" w:rsidRPr="00AC07D0">
        <w:t xml:space="preserve">. </w:t>
      </w:r>
      <w:r>
        <w:t>We</w:t>
      </w:r>
      <w:r w:rsidRPr="00AC07D0">
        <w:t xml:space="preserve"> </w:t>
      </w:r>
      <w:r w:rsidR="00E56014" w:rsidRPr="00AC07D0">
        <w:t xml:space="preserve">presented at </w:t>
      </w:r>
      <w:r w:rsidR="00E56014" w:rsidRPr="00FB5CF9">
        <w:t xml:space="preserve">over </w:t>
      </w:r>
      <w:r w:rsidR="00E56014" w:rsidRPr="007D1BCD">
        <w:t>30</w:t>
      </w:r>
      <w:r w:rsidR="00E56014" w:rsidRPr="00AC07D0">
        <w:t xml:space="preserve"> forums or speaking engagements for Victoria Police employees. This included regular presentations to new recruits in the probationary constables training</w:t>
      </w:r>
      <w:r w:rsidR="00E56014">
        <w:t>,</w:t>
      </w:r>
      <w:r w:rsidR="00E56014" w:rsidRPr="00AC07D0">
        <w:t xml:space="preserve"> and presentations to various ranks in leadership or promotional programs, including the Police Managers Qualifying Program, Inspector Development Program, and new detectives and superintendents. </w:t>
      </w:r>
    </w:p>
    <w:p w14:paraId="5A0D7AEC" w14:textId="1C34C797" w:rsidR="00E56014" w:rsidRPr="00AC07D0" w:rsidRDefault="00E56014" w:rsidP="00E56014">
      <w:pPr>
        <w:pStyle w:val="BodyText"/>
      </w:pPr>
      <w:r w:rsidRPr="00AC07D0">
        <w:t xml:space="preserve">In </w:t>
      </w:r>
      <w:r w:rsidR="000A1691">
        <w:t>2022/23</w:t>
      </w:r>
      <w:r w:rsidRPr="00AC07D0">
        <w:t xml:space="preserve">, </w:t>
      </w:r>
      <w:r w:rsidR="00D92F3F">
        <w:t>we</w:t>
      </w:r>
      <w:r w:rsidR="00D92F3F" w:rsidRPr="00AC07D0">
        <w:t xml:space="preserve"> </w:t>
      </w:r>
      <w:r w:rsidRPr="00AC07D0">
        <w:t xml:space="preserve">progressed discussions with Victoria Police to expand </w:t>
      </w:r>
      <w:r w:rsidR="00D92F3F">
        <w:t>our</w:t>
      </w:r>
      <w:r w:rsidR="00D92F3F" w:rsidRPr="00AC07D0">
        <w:t xml:space="preserve"> </w:t>
      </w:r>
      <w:r w:rsidRPr="00AC07D0">
        <w:t>education program to deliver content in other Victoria Police training</w:t>
      </w:r>
      <w:r w:rsidR="00177D9A">
        <w:t xml:space="preserve"> programs</w:t>
      </w:r>
      <w:r w:rsidRPr="00AC07D0">
        <w:t xml:space="preserve">, including the Taking Charge </w:t>
      </w:r>
      <w:r w:rsidR="00074E4E">
        <w:t xml:space="preserve">Course </w:t>
      </w:r>
      <w:r w:rsidR="00BD424A">
        <w:t xml:space="preserve">which is part of the Probationary </w:t>
      </w:r>
      <w:r w:rsidR="00D2256C">
        <w:t xml:space="preserve">Constables Extended Training Program. </w:t>
      </w:r>
      <w:r w:rsidR="00165D46">
        <w:t>We are a</w:t>
      </w:r>
      <w:r w:rsidR="00076551">
        <w:t>l</w:t>
      </w:r>
      <w:r w:rsidR="00165D46">
        <w:t xml:space="preserve">so working with Victoria Police </w:t>
      </w:r>
      <w:r w:rsidRPr="00AC07D0">
        <w:t xml:space="preserve">to incorporate </w:t>
      </w:r>
      <w:r w:rsidR="001F49EA" w:rsidRPr="00AC07D0">
        <w:t xml:space="preserve">a video </w:t>
      </w:r>
      <w:r w:rsidRPr="00AC07D0">
        <w:t xml:space="preserve">into a new </w:t>
      </w:r>
      <w:r w:rsidR="00177D9A">
        <w:t>E</w:t>
      </w:r>
      <w:r w:rsidRPr="00AC07D0">
        <w:t xml:space="preserve">thical </w:t>
      </w:r>
      <w:r w:rsidR="00177D9A">
        <w:t>L</w:t>
      </w:r>
      <w:r w:rsidRPr="00AC07D0">
        <w:t xml:space="preserve">eadership </w:t>
      </w:r>
      <w:r w:rsidR="00177D9A">
        <w:t>O</w:t>
      </w:r>
      <w:r w:rsidRPr="00AC07D0">
        <w:t xml:space="preserve">nline e-module </w:t>
      </w:r>
      <w:r w:rsidR="006D444B">
        <w:t xml:space="preserve">which will be mandatory </w:t>
      </w:r>
      <w:r w:rsidRPr="00AC07D0">
        <w:t>for all Victoria Police employees.</w:t>
      </w:r>
    </w:p>
    <w:p w14:paraId="53D622C9" w14:textId="19B6DCDC" w:rsidR="00E56014" w:rsidRPr="00AC07D0" w:rsidRDefault="0040496B" w:rsidP="00E56014">
      <w:pPr>
        <w:pStyle w:val="BodyText"/>
      </w:pPr>
      <w:r>
        <w:t>We</w:t>
      </w:r>
      <w:r w:rsidRPr="00AC07D0">
        <w:t xml:space="preserve"> </w:t>
      </w:r>
      <w:r w:rsidR="00E56014" w:rsidRPr="00AC07D0">
        <w:t xml:space="preserve">also </w:t>
      </w:r>
      <w:r w:rsidR="00784DD5">
        <w:t xml:space="preserve">held </w:t>
      </w:r>
      <w:r w:rsidR="00784DD5" w:rsidRPr="00AC07D0">
        <w:t>a public webinar ‘Who oversees the integrity of Victoria Police</w:t>
      </w:r>
      <w:r w:rsidR="00E31B38">
        <w:t>?</w:t>
      </w:r>
      <w:r w:rsidR="00784DD5" w:rsidRPr="00AC07D0">
        <w:t>’</w:t>
      </w:r>
      <w:r w:rsidR="00784DD5">
        <w:t xml:space="preserve"> </w:t>
      </w:r>
      <w:r w:rsidR="00784DD5" w:rsidRPr="007D0F8B">
        <w:t>as part of Law Week in May 2023</w:t>
      </w:r>
      <w:r w:rsidR="00784DD5">
        <w:t xml:space="preserve"> and</w:t>
      </w:r>
      <w:r w:rsidR="00784DD5" w:rsidRPr="00AC07D0">
        <w:t xml:space="preserve"> </w:t>
      </w:r>
      <w:r w:rsidR="00E56014" w:rsidRPr="00AC07D0">
        <w:t xml:space="preserve">published two summaries to highlight </w:t>
      </w:r>
      <w:r>
        <w:t>our</w:t>
      </w:r>
      <w:r w:rsidRPr="00AC07D0">
        <w:t xml:space="preserve"> </w:t>
      </w:r>
      <w:r w:rsidR="00E56014" w:rsidRPr="00AC07D0">
        <w:t xml:space="preserve">reviews of Victoria Police investigations. This included a summary </w:t>
      </w:r>
      <w:r w:rsidR="004275E3">
        <w:t xml:space="preserve">of our review on </w:t>
      </w:r>
      <w:r w:rsidR="00E56014" w:rsidRPr="00AC07D0">
        <w:t xml:space="preserve">predatory behaviours </w:t>
      </w:r>
      <w:r w:rsidR="004275E3">
        <w:t xml:space="preserve">and Victoria Police’s </w:t>
      </w:r>
      <w:r w:rsidR="00E56014" w:rsidRPr="00AC07D0">
        <w:t>use of dogs</w:t>
      </w:r>
      <w:r w:rsidR="004275E3">
        <w:t>.</w:t>
      </w:r>
    </w:p>
    <w:p w14:paraId="5D2EB342" w14:textId="10A23B02" w:rsidR="003545E6" w:rsidRPr="002F6765" w:rsidRDefault="00AB5031" w:rsidP="00B07072">
      <w:pPr>
        <w:pStyle w:val="Heading4"/>
      </w:pPr>
      <w:bookmarkStart w:id="77" w:name="_Ref118801042"/>
      <w:bookmarkStart w:id="78" w:name="_Hlk139960428"/>
      <w:r>
        <w:t>C</w:t>
      </w:r>
      <w:r w:rsidR="003545E6">
        <w:t>omplaints and notifications</w:t>
      </w:r>
      <w:bookmarkEnd w:id="77"/>
      <w:r w:rsidR="003545E6">
        <w:t xml:space="preserve"> </w:t>
      </w:r>
    </w:p>
    <w:bookmarkEnd w:id="78"/>
    <w:p w14:paraId="639FC424" w14:textId="621CE989" w:rsidR="003545E6" w:rsidRPr="007211D6" w:rsidRDefault="006A19E1" w:rsidP="003545E6">
      <w:pPr>
        <w:pStyle w:val="BodyText"/>
      </w:pPr>
      <w:r>
        <w:t xml:space="preserve">Our </w:t>
      </w:r>
      <w:r w:rsidR="003545E6">
        <w:t>objectives in a</w:t>
      </w:r>
      <w:r w:rsidR="003545E6" w:rsidRPr="00625A6B">
        <w:t>ssess</w:t>
      </w:r>
      <w:r w:rsidR="003545E6">
        <w:t xml:space="preserve">ing </w:t>
      </w:r>
      <w:r w:rsidR="003545E6" w:rsidRPr="00625A6B">
        <w:t xml:space="preserve">complaints and notifications in relation to Victoria Police </w:t>
      </w:r>
      <w:r w:rsidR="003545E6">
        <w:t>are to</w:t>
      </w:r>
      <w:r w:rsidR="003545E6" w:rsidRPr="002F6765">
        <w:t>:</w:t>
      </w:r>
    </w:p>
    <w:p w14:paraId="2776CC4A" w14:textId="2A0EEB5A" w:rsidR="00034C60" w:rsidRPr="00034C60" w:rsidRDefault="00034C60" w:rsidP="00292AF8">
      <w:pPr>
        <w:pStyle w:val="ListBullet"/>
      </w:pPr>
      <w:r>
        <w:t>provide an accessible and responsive service to all Victorians</w:t>
      </w:r>
      <w:r w:rsidR="007D0F8B">
        <w:t xml:space="preserve"> </w:t>
      </w:r>
      <w:r w:rsidR="007D0F8B" w:rsidRPr="007D0F8B">
        <w:t>who wish to make a complaint</w:t>
      </w:r>
    </w:p>
    <w:p w14:paraId="033478C4" w14:textId="61CE0949" w:rsidR="003545E6" w:rsidRPr="007E3C19" w:rsidRDefault="003545E6" w:rsidP="003545E6">
      <w:pPr>
        <w:pStyle w:val="ListBullet"/>
      </w:pPr>
      <w:r>
        <w:t>receive and assess complaints and notifications about Victoria Police alleging corrupt conduct and/or police personnel misconduct, including assessing complaints under the PID Act</w:t>
      </w:r>
    </w:p>
    <w:p w14:paraId="24C2B4F6" w14:textId="1F5B787B" w:rsidR="004A359E" w:rsidRPr="007E3C19" w:rsidRDefault="00704707" w:rsidP="003545E6">
      <w:pPr>
        <w:pStyle w:val="ListBullet"/>
      </w:pPr>
      <w:r>
        <w:t xml:space="preserve">ensure </w:t>
      </w:r>
      <w:r w:rsidR="00676386">
        <w:t xml:space="preserve">the highest </w:t>
      </w:r>
      <w:r w:rsidR="0065134E">
        <w:t>ethical and professional standards are maintained by police officers and protective services officers</w:t>
      </w:r>
    </w:p>
    <w:p w14:paraId="0F09A8F5" w14:textId="3C95FDD5" w:rsidR="003545E6" w:rsidRPr="007E3C19" w:rsidRDefault="003545E6" w:rsidP="003545E6">
      <w:pPr>
        <w:pStyle w:val="ListBullet"/>
      </w:pPr>
      <w:r>
        <w:t xml:space="preserve">determine whether the complaint or notification </w:t>
      </w:r>
      <w:r w:rsidR="00EF6CC7" w:rsidRPr="00EF6CC7">
        <w:t>warrants investigation or further action. This includes considering whether any investigation should be by IBAC, Victoria Police or another agency</w:t>
      </w:r>
      <w:r w:rsidR="004A3395">
        <w:t xml:space="preserve">, and </w:t>
      </w:r>
      <w:r w:rsidR="00EF6CC7" w:rsidRPr="00EF6CC7">
        <w:t>whether IBAC will review an investigation conducted by Victoria Police.</w:t>
      </w:r>
    </w:p>
    <w:p w14:paraId="05DF9C65" w14:textId="74EF746D" w:rsidR="00CD63F1" w:rsidRDefault="006A5A09" w:rsidP="003965EA">
      <w:pPr>
        <w:pStyle w:val="Image"/>
      </w:pPr>
      <w:r>
        <w:t>I</w:t>
      </w:r>
      <w:r w:rsidR="003545E6">
        <w:t>nformation about</w:t>
      </w:r>
      <w:r w:rsidR="003545E6" w:rsidRPr="002F6765">
        <w:t xml:space="preserve"> </w:t>
      </w:r>
      <w:hyperlink r:id="rId41" w:history="1">
        <w:r w:rsidR="003545E6" w:rsidRPr="00496389">
          <w:rPr>
            <w:rStyle w:val="Hyperlink"/>
          </w:rPr>
          <w:t xml:space="preserve">how </w:t>
        </w:r>
        <w:r w:rsidR="00341E7D" w:rsidRPr="00496389">
          <w:rPr>
            <w:rStyle w:val="Hyperlink"/>
          </w:rPr>
          <w:t>we</w:t>
        </w:r>
        <w:r w:rsidR="003545E6" w:rsidRPr="00496389">
          <w:rPr>
            <w:rStyle w:val="Hyperlink"/>
          </w:rPr>
          <w:t xml:space="preserve"> handle complaints</w:t>
        </w:r>
      </w:hyperlink>
      <w:r w:rsidR="003545E6">
        <w:t xml:space="preserve"> can </w:t>
      </w:r>
      <w:r w:rsidR="002B3AA9">
        <w:t xml:space="preserve">be </w:t>
      </w:r>
      <w:r w:rsidR="003545E6">
        <w:t xml:space="preserve">found on the </w:t>
      </w:r>
      <w:r w:rsidR="00496389" w:rsidRPr="00496389">
        <w:t>IBAC website</w:t>
      </w:r>
      <w:r w:rsidR="003545E6">
        <w:t xml:space="preserve"> (</w:t>
      </w:r>
      <w:r w:rsidR="00496389" w:rsidRPr="00496389">
        <w:t>www.ibac.vic.gov.au/reporting-corruption/what-happens-to-your-complaint</w:t>
      </w:r>
      <w:r w:rsidR="00496389">
        <w:t>)</w:t>
      </w:r>
      <w:r w:rsidR="003545E6">
        <w:t>.</w:t>
      </w:r>
    </w:p>
    <w:p w14:paraId="4D5D62D5" w14:textId="42530138" w:rsidR="00CD63F1" w:rsidRDefault="00CD63F1" w:rsidP="00CD63F1">
      <w:pPr>
        <w:pStyle w:val="BodyText"/>
      </w:pPr>
      <w:r>
        <w:t xml:space="preserve">In </w:t>
      </w:r>
      <w:r w:rsidR="000A1691">
        <w:t>2022/23</w:t>
      </w:r>
      <w:r>
        <w:t xml:space="preserve">, IBAC </w:t>
      </w:r>
      <w:r w:rsidRPr="00036B53">
        <w:t xml:space="preserve">received </w:t>
      </w:r>
      <w:r w:rsidR="00BA1162" w:rsidRPr="007D1BCD">
        <w:t>2</w:t>
      </w:r>
      <w:r w:rsidR="00333759">
        <w:t>,</w:t>
      </w:r>
      <w:r w:rsidR="00BA1162" w:rsidRPr="007D1BCD">
        <w:t>162</w:t>
      </w:r>
      <w:r w:rsidRPr="00036B53">
        <w:t xml:space="preserve"> complaints and notifications related to Victoria Police. Of the police complaints and notifications received, </w:t>
      </w:r>
      <w:r w:rsidR="00072E61" w:rsidRPr="007D1BCD">
        <w:t>88</w:t>
      </w:r>
      <w:r w:rsidRPr="00036B53">
        <w:t xml:space="preserve"> per cent were complaints and </w:t>
      </w:r>
      <w:r w:rsidR="003E6195" w:rsidRPr="007D1BCD">
        <w:t>12</w:t>
      </w:r>
      <w:r w:rsidRPr="00036B53">
        <w:t xml:space="preserve"> per cent were notifications. </w:t>
      </w:r>
      <w:r w:rsidR="007D0F8B" w:rsidRPr="00036B53">
        <w:t>Of the complaints and notifications received, 242 were assessable</w:t>
      </w:r>
      <w:r w:rsidR="007D0F8B" w:rsidRPr="007D0F8B">
        <w:t xml:space="preserve"> disclosures under the PID Act</w:t>
      </w:r>
      <w:r>
        <w:t xml:space="preserve">. There was a </w:t>
      </w:r>
      <w:r w:rsidR="006659D3">
        <w:t>nine</w:t>
      </w:r>
      <w:r w:rsidR="007D0F8B">
        <w:t xml:space="preserve"> </w:t>
      </w:r>
      <w:r>
        <w:t xml:space="preserve">per cent increase in complaints and notifications received </w:t>
      </w:r>
      <w:r w:rsidR="00992BC7">
        <w:t>relat</w:t>
      </w:r>
      <w:r w:rsidR="00F6733A">
        <w:t>ing</w:t>
      </w:r>
      <w:r w:rsidR="00992BC7">
        <w:t xml:space="preserve"> to Victoria Police</w:t>
      </w:r>
      <w:r w:rsidR="00F6733A">
        <w:t xml:space="preserve"> in </w:t>
      </w:r>
      <w:r w:rsidR="000A1691">
        <w:t>2022/23</w:t>
      </w:r>
      <w:r w:rsidR="00992BC7">
        <w:t>.</w:t>
      </w:r>
    </w:p>
    <w:p w14:paraId="435D2B76" w14:textId="3EA1D2A0" w:rsidR="00BF21CE" w:rsidRDefault="00BF21CE" w:rsidP="00834775">
      <w:pPr>
        <w:pStyle w:val="Caption"/>
      </w:pPr>
      <w:bookmarkStart w:id="79" w:name="_Ref149135728"/>
      <w:r>
        <w:t xml:space="preserve">Figure </w:t>
      </w:r>
      <w:r>
        <w:fldChar w:fldCharType="begin"/>
      </w:r>
      <w:r>
        <w:instrText xml:space="preserve"> SEQ Figure \* ARABIC </w:instrText>
      </w:r>
      <w:r>
        <w:fldChar w:fldCharType="separate"/>
      </w:r>
      <w:r w:rsidR="00EB1177">
        <w:rPr>
          <w:noProof/>
        </w:rPr>
        <w:t>3</w:t>
      </w:r>
      <w:r>
        <w:fldChar w:fldCharType="end"/>
      </w:r>
      <w:r>
        <w:t xml:space="preserve">: </w:t>
      </w:r>
      <w:r w:rsidR="00AB5031">
        <w:t>C</w:t>
      </w:r>
      <w:r>
        <w:t xml:space="preserve">omplaints and notifications </w:t>
      </w:r>
      <w:r w:rsidRPr="0084710D">
        <w:t>received</w:t>
      </w:r>
      <w:r>
        <w:t xml:space="preserve"> relating to Victoria Police</w:t>
      </w:r>
      <w:bookmarkEnd w:id="79"/>
    </w:p>
    <w:p w14:paraId="68592C0D" w14:textId="77777777" w:rsidR="00BF21CE" w:rsidRPr="002F6765" w:rsidRDefault="00BF21CE" w:rsidP="00BF21CE">
      <w:pPr>
        <w:pStyle w:val="Image"/>
      </w:pPr>
      <w:r w:rsidRPr="002F6765">
        <w:rPr>
          <w:noProof/>
        </w:rPr>
        <w:drawing>
          <wp:inline distT="0" distB="0" distL="0" distR="0" wp14:anchorId="3B2458A5" wp14:editId="7C6995E4">
            <wp:extent cx="5486400" cy="3200400"/>
            <wp:effectExtent l="0" t="0" r="0" b="0"/>
            <wp:docPr id="1244233603" name="Chart 1244233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FBD4ED" w14:textId="77777777" w:rsidR="00BF21CE" w:rsidRDefault="00BF21CE" w:rsidP="00B07072">
      <w:pPr>
        <w:pStyle w:val="Heading5"/>
      </w:pPr>
      <w:r>
        <w:t>Assessment timeliness</w:t>
      </w:r>
    </w:p>
    <w:p w14:paraId="105A3759" w14:textId="21795AB8" w:rsidR="002A1CCA" w:rsidRDefault="00CD63F1" w:rsidP="00CD63F1">
      <w:pPr>
        <w:pStyle w:val="BodyText"/>
      </w:pPr>
      <w:r>
        <w:t xml:space="preserve">Timeliness targets for police complaint and notification assessment were not met in </w:t>
      </w:r>
      <w:r w:rsidR="000A1691">
        <w:t>2022/23</w:t>
      </w:r>
      <w:r>
        <w:t xml:space="preserve"> due to </w:t>
      </w:r>
      <w:r w:rsidR="00496389">
        <w:t xml:space="preserve">the </w:t>
      </w:r>
      <w:r>
        <w:t xml:space="preserve">increased volume of complaints received in </w:t>
      </w:r>
      <w:r w:rsidR="000A1691">
        <w:t>2021/22</w:t>
      </w:r>
      <w:r w:rsidR="00DD5C4F">
        <w:t xml:space="preserve"> and </w:t>
      </w:r>
      <w:r w:rsidR="000A1691">
        <w:t>2022/23</w:t>
      </w:r>
      <w:r>
        <w:t>.</w:t>
      </w:r>
      <w:r w:rsidR="00D77BA3" w:rsidRPr="00D77BA3">
        <w:t xml:space="preserve"> </w:t>
      </w:r>
      <w:r w:rsidR="002C5ECE">
        <w:t xml:space="preserve">Not all complaints and notifications are equal. </w:t>
      </w:r>
      <w:r w:rsidR="00D611E6" w:rsidRPr="00D611E6">
        <w:t xml:space="preserve">IBAC also identifies through the assessment process the allegation or allegations made by a complainant. </w:t>
      </w:r>
      <w:r w:rsidR="00427571">
        <w:t>Some complaints have multiple allegations</w:t>
      </w:r>
      <w:r w:rsidR="00BF21CE">
        <w:t xml:space="preserve"> that</w:t>
      </w:r>
      <w:r w:rsidR="00BF21CE" w:rsidRPr="00BF21CE">
        <w:t xml:space="preserve"> have to be assessed separately</w:t>
      </w:r>
      <w:r w:rsidR="00FF16AE">
        <w:t xml:space="preserve">, adding to the complexity of each matter. </w:t>
      </w:r>
    </w:p>
    <w:p w14:paraId="17624F3B" w14:textId="502F988A" w:rsidR="00CD63F1" w:rsidRDefault="00CD63F1" w:rsidP="00834775">
      <w:pPr>
        <w:pStyle w:val="Caption"/>
      </w:pPr>
      <w:bookmarkStart w:id="80" w:name="_Ref149135837"/>
      <w:r>
        <w:t xml:space="preserve">Table </w:t>
      </w:r>
      <w:r>
        <w:fldChar w:fldCharType="begin"/>
      </w:r>
      <w:r>
        <w:instrText xml:space="preserve"> SEQ Table \* ARABIC </w:instrText>
      </w:r>
      <w:r>
        <w:fldChar w:fldCharType="separate"/>
      </w:r>
      <w:r w:rsidR="00EF6E7F">
        <w:rPr>
          <w:noProof/>
        </w:rPr>
        <w:t>7</w:t>
      </w:r>
      <w:r>
        <w:fldChar w:fldCharType="end"/>
      </w:r>
      <w:r>
        <w:t xml:space="preserve">: </w:t>
      </w:r>
      <w:r w:rsidRPr="007259AF">
        <w:t xml:space="preserve">IBAC </w:t>
      </w:r>
      <w:r w:rsidR="000A1691">
        <w:t>2022/23</w:t>
      </w:r>
      <w:r w:rsidRPr="007259AF">
        <w:t xml:space="preserve"> output performance – </w:t>
      </w:r>
      <w:r w:rsidR="00C445FB">
        <w:t>Victoria P</w:t>
      </w:r>
      <w:r w:rsidRPr="007259AF">
        <w:t>olice complaint assessments</w:t>
      </w:r>
      <w:bookmarkEnd w:id="80"/>
    </w:p>
    <w:tbl>
      <w:tblPr>
        <w:tblStyle w:val="CustomTablestandard"/>
        <w:tblW w:w="0" w:type="auto"/>
        <w:tblLook w:val="04A0" w:firstRow="1" w:lastRow="0" w:firstColumn="1" w:lastColumn="0" w:noHBand="0" w:noVBand="1"/>
      </w:tblPr>
      <w:tblGrid>
        <w:gridCol w:w="2552"/>
        <w:gridCol w:w="1417"/>
        <w:gridCol w:w="1276"/>
        <w:gridCol w:w="1276"/>
        <w:gridCol w:w="1559"/>
        <w:gridCol w:w="947"/>
      </w:tblGrid>
      <w:tr w:rsidR="00CD63F1" w14:paraId="3CD0A2B0" w14:textId="77777777" w:rsidTr="00CD63F1">
        <w:trPr>
          <w:cnfStyle w:val="100000000000" w:firstRow="1" w:lastRow="0" w:firstColumn="0" w:lastColumn="0" w:oddVBand="0" w:evenVBand="0" w:oddHBand="0" w:evenHBand="0" w:firstRowFirstColumn="0" w:firstRowLastColumn="0" w:lastRowFirstColumn="0" w:lastRowLastColumn="0"/>
          <w:trHeight w:val="300"/>
        </w:trPr>
        <w:tc>
          <w:tcPr>
            <w:tcW w:w="2552" w:type="dxa"/>
            <w:tcBorders>
              <w:left w:val="nil"/>
            </w:tcBorders>
            <w:hideMark/>
          </w:tcPr>
          <w:p w14:paraId="73C9C5C4" w14:textId="77777777" w:rsidR="00CD63F1" w:rsidRPr="00CD63F1" w:rsidRDefault="00CD63F1" w:rsidP="00CD63F1">
            <w:pPr>
              <w:pStyle w:val="TableHeading1"/>
              <w:rPr>
                <w:lang w:eastAsia="en-US"/>
              </w:rPr>
            </w:pPr>
            <w:r w:rsidRPr="00CD63F1">
              <w:t>Performance measures</w:t>
            </w:r>
          </w:p>
        </w:tc>
        <w:tc>
          <w:tcPr>
            <w:tcW w:w="1417" w:type="dxa"/>
            <w:hideMark/>
          </w:tcPr>
          <w:p w14:paraId="1EB4E6AB" w14:textId="77777777" w:rsidR="00CD63F1" w:rsidRPr="00CD63F1" w:rsidRDefault="00CD63F1" w:rsidP="00CD63F1">
            <w:pPr>
              <w:pStyle w:val="TableHeading1"/>
            </w:pPr>
            <w:r w:rsidRPr="00CD63F1">
              <w:t>Unit of measure</w:t>
            </w:r>
          </w:p>
        </w:tc>
        <w:tc>
          <w:tcPr>
            <w:tcW w:w="1276" w:type="dxa"/>
            <w:hideMark/>
          </w:tcPr>
          <w:p w14:paraId="1D01E858" w14:textId="786B17A3" w:rsidR="00CD63F1" w:rsidRPr="00CD63F1" w:rsidRDefault="000A1691" w:rsidP="00496389">
            <w:pPr>
              <w:pStyle w:val="TableHeading2centrealign"/>
            </w:pPr>
            <w:r>
              <w:t>2022/23</w:t>
            </w:r>
            <w:r w:rsidR="00CD63F1" w:rsidRPr="00CD63F1">
              <w:t xml:space="preserve"> actual</w:t>
            </w:r>
          </w:p>
        </w:tc>
        <w:tc>
          <w:tcPr>
            <w:tcW w:w="1276" w:type="dxa"/>
            <w:hideMark/>
          </w:tcPr>
          <w:p w14:paraId="6D3B309D" w14:textId="2C26A4DA" w:rsidR="00CD63F1" w:rsidRPr="00CD63F1" w:rsidRDefault="000A1691" w:rsidP="00496389">
            <w:pPr>
              <w:pStyle w:val="TableHeading2centrealign"/>
            </w:pPr>
            <w:r>
              <w:t>2022/23</w:t>
            </w:r>
            <w:r w:rsidR="00CD63F1" w:rsidRPr="00CD63F1">
              <w:t xml:space="preserve"> target</w:t>
            </w:r>
          </w:p>
        </w:tc>
        <w:tc>
          <w:tcPr>
            <w:tcW w:w="1559" w:type="dxa"/>
            <w:hideMark/>
          </w:tcPr>
          <w:p w14:paraId="12C4DD2A" w14:textId="46C78E74" w:rsidR="00CD63F1" w:rsidRPr="00CD63F1" w:rsidRDefault="004561C9" w:rsidP="00496389">
            <w:pPr>
              <w:pStyle w:val="TableHeading2centrealign"/>
            </w:pPr>
            <w:r>
              <w:t>V</w:t>
            </w:r>
            <w:r w:rsidR="00D81D00" w:rsidDel="00645EC0">
              <w:t>ariation</w:t>
            </w:r>
            <w:r w:rsidR="00D81D00">
              <w:t xml:space="preserve"> against target (%)</w:t>
            </w:r>
          </w:p>
        </w:tc>
        <w:tc>
          <w:tcPr>
            <w:tcW w:w="947" w:type="dxa"/>
            <w:tcBorders>
              <w:right w:val="nil"/>
            </w:tcBorders>
            <w:hideMark/>
          </w:tcPr>
          <w:p w14:paraId="25655DEA" w14:textId="77777777" w:rsidR="00CD63F1" w:rsidRPr="00CD63F1" w:rsidRDefault="00CD63F1" w:rsidP="00496389">
            <w:pPr>
              <w:pStyle w:val="TableHeading2centrealign"/>
            </w:pPr>
            <w:r w:rsidRPr="00CD63F1">
              <w:t>Result</w:t>
            </w:r>
          </w:p>
        </w:tc>
      </w:tr>
      <w:tr w:rsidR="00CD63F1" w14:paraId="4A558605" w14:textId="77777777" w:rsidTr="00CD63F1">
        <w:trPr>
          <w:trHeight w:val="300"/>
        </w:trPr>
        <w:tc>
          <w:tcPr>
            <w:tcW w:w="2552" w:type="dxa"/>
            <w:tcBorders>
              <w:top w:val="single" w:sz="4" w:space="0" w:color="auto"/>
              <w:left w:val="nil"/>
              <w:bottom w:val="single" w:sz="4" w:space="0" w:color="auto"/>
              <w:right w:val="nil"/>
            </w:tcBorders>
            <w:hideMark/>
          </w:tcPr>
          <w:p w14:paraId="2AFE1B1F" w14:textId="77777777" w:rsidR="00CD63F1" w:rsidRPr="00CD63F1" w:rsidRDefault="00CD63F1" w:rsidP="00CD63F1">
            <w:pPr>
              <w:pStyle w:val="TableBodyText"/>
            </w:pPr>
            <w:r w:rsidRPr="00CD63F1">
              <w:t>Timeliness</w:t>
            </w:r>
          </w:p>
        </w:tc>
        <w:tc>
          <w:tcPr>
            <w:tcW w:w="1417" w:type="dxa"/>
            <w:tcBorders>
              <w:top w:val="single" w:sz="4" w:space="0" w:color="auto"/>
              <w:left w:val="nil"/>
              <w:bottom w:val="single" w:sz="4" w:space="0" w:color="auto"/>
              <w:right w:val="nil"/>
            </w:tcBorders>
          </w:tcPr>
          <w:p w14:paraId="71633E4A" w14:textId="77777777" w:rsidR="00CD63F1" w:rsidRPr="00CD63F1" w:rsidRDefault="00CD63F1" w:rsidP="00CD63F1">
            <w:pPr>
              <w:pStyle w:val="TableBodyText"/>
            </w:pPr>
          </w:p>
        </w:tc>
        <w:tc>
          <w:tcPr>
            <w:tcW w:w="1276" w:type="dxa"/>
            <w:tcBorders>
              <w:top w:val="single" w:sz="4" w:space="0" w:color="auto"/>
              <w:left w:val="nil"/>
              <w:bottom w:val="single" w:sz="4" w:space="0" w:color="auto"/>
              <w:right w:val="nil"/>
            </w:tcBorders>
          </w:tcPr>
          <w:p w14:paraId="07598869" w14:textId="77777777" w:rsidR="00CD63F1" w:rsidRPr="00CD63F1" w:rsidRDefault="00CD63F1" w:rsidP="00CD63F1">
            <w:pPr>
              <w:pStyle w:val="TableBodyText"/>
            </w:pPr>
          </w:p>
        </w:tc>
        <w:tc>
          <w:tcPr>
            <w:tcW w:w="1276" w:type="dxa"/>
            <w:tcBorders>
              <w:top w:val="single" w:sz="4" w:space="0" w:color="auto"/>
              <w:left w:val="nil"/>
              <w:bottom w:val="single" w:sz="4" w:space="0" w:color="auto"/>
              <w:right w:val="nil"/>
            </w:tcBorders>
          </w:tcPr>
          <w:p w14:paraId="10D2CA70" w14:textId="77777777" w:rsidR="00CD63F1" w:rsidRPr="00CD63F1" w:rsidRDefault="00CD63F1" w:rsidP="00CD63F1">
            <w:pPr>
              <w:pStyle w:val="TableBodyText"/>
            </w:pPr>
          </w:p>
        </w:tc>
        <w:tc>
          <w:tcPr>
            <w:tcW w:w="1559" w:type="dxa"/>
            <w:tcBorders>
              <w:top w:val="single" w:sz="4" w:space="0" w:color="auto"/>
              <w:left w:val="nil"/>
              <w:bottom w:val="single" w:sz="4" w:space="0" w:color="auto"/>
              <w:right w:val="nil"/>
            </w:tcBorders>
          </w:tcPr>
          <w:p w14:paraId="01ACD733" w14:textId="77777777" w:rsidR="00CD63F1" w:rsidRPr="00CD63F1" w:rsidRDefault="00CD63F1" w:rsidP="00CD63F1">
            <w:pPr>
              <w:pStyle w:val="TableBodyText"/>
            </w:pPr>
          </w:p>
        </w:tc>
        <w:tc>
          <w:tcPr>
            <w:tcW w:w="947" w:type="dxa"/>
            <w:tcBorders>
              <w:top w:val="single" w:sz="4" w:space="0" w:color="auto"/>
              <w:left w:val="nil"/>
              <w:bottom w:val="single" w:sz="4" w:space="0" w:color="auto"/>
              <w:right w:val="nil"/>
            </w:tcBorders>
          </w:tcPr>
          <w:p w14:paraId="5EC86EF5" w14:textId="77777777" w:rsidR="00CD63F1" w:rsidRPr="00CD63F1" w:rsidRDefault="00CD63F1" w:rsidP="00CD63F1">
            <w:pPr>
              <w:pStyle w:val="TableHeading1"/>
            </w:pPr>
          </w:p>
        </w:tc>
      </w:tr>
      <w:tr w:rsidR="00CD63F1" w14:paraId="2A103027" w14:textId="77777777" w:rsidTr="00CD63F1">
        <w:trPr>
          <w:trHeight w:val="300"/>
        </w:trPr>
        <w:tc>
          <w:tcPr>
            <w:tcW w:w="2552" w:type="dxa"/>
            <w:tcBorders>
              <w:top w:val="single" w:sz="4" w:space="0" w:color="auto"/>
              <w:left w:val="nil"/>
              <w:bottom w:val="single" w:sz="4" w:space="0" w:color="auto"/>
              <w:right w:val="nil"/>
            </w:tcBorders>
            <w:hideMark/>
          </w:tcPr>
          <w:p w14:paraId="4E035691" w14:textId="77777777" w:rsidR="00CD63F1" w:rsidRPr="00CD63F1" w:rsidRDefault="00CD63F1" w:rsidP="00CD63F1">
            <w:pPr>
              <w:pStyle w:val="TableBodyText"/>
            </w:pPr>
            <w:r w:rsidRPr="00CD63F1">
              <w:t>Complaints or notifications about police conduct assessed by IBAC within 45 days</w:t>
            </w:r>
          </w:p>
        </w:tc>
        <w:tc>
          <w:tcPr>
            <w:tcW w:w="1417" w:type="dxa"/>
            <w:tcBorders>
              <w:top w:val="single" w:sz="4" w:space="0" w:color="auto"/>
              <w:left w:val="nil"/>
              <w:bottom w:val="single" w:sz="4" w:space="0" w:color="auto"/>
              <w:right w:val="nil"/>
            </w:tcBorders>
            <w:hideMark/>
          </w:tcPr>
          <w:p w14:paraId="711CCFF7" w14:textId="77777777" w:rsidR="00CD63F1" w:rsidRPr="00CD63F1" w:rsidRDefault="00CD63F1" w:rsidP="00496389">
            <w:pPr>
              <w:pStyle w:val="TableBodyText"/>
            </w:pPr>
            <w:r w:rsidRPr="00CD63F1">
              <w:t>Percentage</w:t>
            </w:r>
          </w:p>
        </w:tc>
        <w:tc>
          <w:tcPr>
            <w:tcW w:w="1276" w:type="dxa"/>
            <w:tcBorders>
              <w:top w:val="single" w:sz="4" w:space="0" w:color="auto"/>
              <w:left w:val="nil"/>
              <w:bottom w:val="single" w:sz="4" w:space="0" w:color="auto"/>
              <w:right w:val="nil"/>
            </w:tcBorders>
            <w:hideMark/>
          </w:tcPr>
          <w:p w14:paraId="79632805" w14:textId="77777777" w:rsidR="00CD63F1" w:rsidRPr="00196BE0" w:rsidRDefault="00CD63F1" w:rsidP="00CD63F1">
            <w:pPr>
              <w:pStyle w:val="TableBodyTextcentrealign"/>
            </w:pPr>
            <w:r w:rsidRPr="007D1BCD">
              <w:t>48</w:t>
            </w:r>
          </w:p>
        </w:tc>
        <w:tc>
          <w:tcPr>
            <w:tcW w:w="1276" w:type="dxa"/>
            <w:tcBorders>
              <w:top w:val="single" w:sz="4" w:space="0" w:color="auto"/>
              <w:left w:val="nil"/>
              <w:bottom w:val="single" w:sz="4" w:space="0" w:color="auto"/>
              <w:right w:val="nil"/>
            </w:tcBorders>
            <w:hideMark/>
          </w:tcPr>
          <w:p w14:paraId="6C033A3B" w14:textId="77777777" w:rsidR="00CD63F1" w:rsidRPr="00196BE0" w:rsidRDefault="00CD63F1" w:rsidP="00CD63F1">
            <w:pPr>
              <w:pStyle w:val="TableBodyTextcentrealign"/>
            </w:pPr>
            <w:r w:rsidRPr="007D1BCD">
              <w:t>85</w:t>
            </w:r>
          </w:p>
        </w:tc>
        <w:tc>
          <w:tcPr>
            <w:tcW w:w="1559" w:type="dxa"/>
            <w:tcBorders>
              <w:top w:val="single" w:sz="4" w:space="0" w:color="auto"/>
              <w:left w:val="nil"/>
              <w:bottom w:val="single" w:sz="4" w:space="0" w:color="auto"/>
              <w:right w:val="nil"/>
            </w:tcBorders>
            <w:hideMark/>
          </w:tcPr>
          <w:p w14:paraId="52DDD15C" w14:textId="77777777" w:rsidR="00CD63F1" w:rsidRPr="00196BE0" w:rsidRDefault="00CD63F1" w:rsidP="00CD63F1">
            <w:pPr>
              <w:pStyle w:val="TableBodyTextcentrealign"/>
            </w:pPr>
            <w:r w:rsidRPr="007D1BCD">
              <w:t>-44</w:t>
            </w:r>
          </w:p>
        </w:tc>
        <w:tc>
          <w:tcPr>
            <w:tcW w:w="947" w:type="dxa"/>
            <w:tcBorders>
              <w:top w:val="single" w:sz="4" w:space="0" w:color="auto"/>
              <w:left w:val="nil"/>
              <w:bottom w:val="single" w:sz="4" w:space="0" w:color="auto"/>
              <w:right w:val="nil"/>
            </w:tcBorders>
            <w:hideMark/>
          </w:tcPr>
          <w:p w14:paraId="22B58DDE" w14:textId="39E0E043" w:rsidR="00CD63F1" w:rsidRPr="00196BE0" w:rsidRDefault="00F20BB9" w:rsidP="00CD63F1">
            <w:pPr>
              <w:pStyle w:val="TableBodyTextcentrealign"/>
            </w:pPr>
            <w:r w:rsidRPr="007D1BCD">
              <w:rPr>
                <w:rFonts w:eastAsia="Hiragino Sans W3"/>
              </w:rPr>
              <w:t>◼</w:t>
            </w:r>
          </w:p>
        </w:tc>
      </w:tr>
    </w:tbl>
    <w:p w14:paraId="1B01A2EE" w14:textId="19D9A6FB" w:rsidR="00904403" w:rsidRDefault="009057FB" w:rsidP="00CD63F1">
      <w:pPr>
        <w:pStyle w:val="TableNote"/>
      </w:pPr>
      <w:r>
        <w:t>Note</w:t>
      </w:r>
    </w:p>
    <w:p w14:paraId="08CB76A2" w14:textId="46BAC7B3" w:rsidR="00ED2365" w:rsidRDefault="00CD63F1" w:rsidP="00CE76DF">
      <w:pPr>
        <w:pStyle w:val="TableNote"/>
      </w:pPr>
      <w:r>
        <w:t xml:space="preserve">A large number of </w:t>
      </w:r>
      <w:r w:rsidR="00242A45">
        <w:t xml:space="preserve">legacy </w:t>
      </w:r>
      <w:r>
        <w:t xml:space="preserve">matters were assessed in </w:t>
      </w:r>
      <w:r w:rsidR="000A1691">
        <w:t>2022/23</w:t>
      </w:r>
      <w:r>
        <w:t xml:space="preserve"> and this impacted the overall timeliness of complaint assessments.</w:t>
      </w:r>
      <w:r w:rsidR="00F878D5">
        <w:t xml:space="preserve"> </w:t>
      </w:r>
      <w:r w:rsidR="00F878D5" w:rsidRPr="00F878D5">
        <w:t>There is also the impact of capacity which is expected to improve with the recruitment of new assessment officer locum roles.</w:t>
      </w:r>
    </w:p>
    <w:p w14:paraId="1ED5264F" w14:textId="77777777" w:rsidR="004E5B5E" w:rsidRPr="007211D6" w:rsidRDefault="004E5B5E" w:rsidP="007211D6">
      <w:pPr>
        <w:pStyle w:val="BodyText"/>
      </w:pPr>
      <w:r>
        <w:br w:type="page"/>
      </w:r>
    </w:p>
    <w:p w14:paraId="067FB856" w14:textId="752EC8AA" w:rsidR="00BF21CE" w:rsidRPr="00BF21CE" w:rsidRDefault="00AB5031" w:rsidP="00B07072">
      <w:pPr>
        <w:pStyle w:val="Heading5"/>
      </w:pPr>
      <w:r>
        <w:t>Assessment</w:t>
      </w:r>
      <w:r w:rsidRPr="00BF21CE">
        <w:t xml:space="preserve"> </w:t>
      </w:r>
      <w:r w:rsidR="00BF21CE" w:rsidRPr="00BF21CE">
        <w:t>of complaints and notifications</w:t>
      </w:r>
    </w:p>
    <w:p w14:paraId="36A9CAA8" w14:textId="6B1457F8" w:rsidR="003545E6" w:rsidRDefault="003545E6" w:rsidP="00834775">
      <w:pPr>
        <w:pStyle w:val="Caption"/>
      </w:pPr>
      <w:bookmarkStart w:id="81" w:name="_Ref149135840"/>
      <w:r>
        <w:t xml:space="preserve">Table </w:t>
      </w:r>
      <w:r>
        <w:fldChar w:fldCharType="begin"/>
      </w:r>
      <w:r>
        <w:instrText xml:space="preserve"> SEQ Table \* ARABIC </w:instrText>
      </w:r>
      <w:r>
        <w:fldChar w:fldCharType="separate"/>
      </w:r>
      <w:r w:rsidR="00EF6E7F">
        <w:rPr>
          <w:noProof/>
        </w:rPr>
        <w:t>8</w:t>
      </w:r>
      <w:r>
        <w:fldChar w:fldCharType="end"/>
      </w:r>
      <w:r>
        <w:t>: Victoria Police c</w:t>
      </w:r>
      <w:r w:rsidRPr="00903F86">
        <w:t>omplaints and notifications</w:t>
      </w:r>
      <w:bookmarkEnd w:id="81"/>
    </w:p>
    <w:tbl>
      <w:tblPr>
        <w:tblStyle w:val="CustomTablestandard"/>
        <w:tblW w:w="5000" w:type="pct"/>
        <w:tblLook w:val="04E0" w:firstRow="1" w:lastRow="1" w:firstColumn="1" w:lastColumn="0" w:noHBand="0" w:noVBand="1"/>
      </w:tblPr>
      <w:tblGrid>
        <w:gridCol w:w="5457"/>
        <w:gridCol w:w="1190"/>
        <w:gridCol w:w="1190"/>
        <w:gridCol w:w="1190"/>
      </w:tblGrid>
      <w:tr w:rsidR="003545E6" w14:paraId="3D96D5C7" w14:textId="77777777" w:rsidTr="11834A44">
        <w:trPr>
          <w:cnfStyle w:val="100000000000" w:firstRow="1" w:lastRow="0" w:firstColumn="0" w:lastColumn="0" w:oddVBand="0" w:evenVBand="0" w:oddHBand="0" w:evenHBand="0" w:firstRowFirstColumn="0" w:firstRowLastColumn="0" w:lastRowFirstColumn="0" w:lastRowLastColumn="0"/>
        </w:trPr>
        <w:tc>
          <w:tcPr>
            <w:tcW w:w="3023" w:type="pct"/>
            <w:tcBorders>
              <w:left w:val="nil"/>
            </w:tcBorders>
          </w:tcPr>
          <w:p w14:paraId="176F2654" w14:textId="77777777" w:rsidR="003545E6" w:rsidRDefault="003545E6">
            <w:pPr>
              <w:pStyle w:val="TableHeading2centrealign"/>
              <w:rPr>
                <w:lang w:eastAsia="en-US"/>
              </w:rPr>
            </w:pPr>
          </w:p>
        </w:tc>
        <w:tc>
          <w:tcPr>
            <w:tcW w:w="659" w:type="pct"/>
            <w:hideMark/>
          </w:tcPr>
          <w:p w14:paraId="1E1E12E6" w14:textId="0A7ACAAA" w:rsidR="003545E6" w:rsidRDefault="000A1691">
            <w:pPr>
              <w:pStyle w:val="TableHeading3rightalign"/>
            </w:pPr>
            <w:r>
              <w:t>2022/23</w:t>
            </w:r>
          </w:p>
        </w:tc>
        <w:tc>
          <w:tcPr>
            <w:tcW w:w="659" w:type="pct"/>
            <w:hideMark/>
          </w:tcPr>
          <w:p w14:paraId="02C7C5BE" w14:textId="12F0B7A7" w:rsidR="003545E6" w:rsidRDefault="000A1691">
            <w:pPr>
              <w:pStyle w:val="TableHeading3rightalign"/>
            </w:pPr>
            <w:r>
              <w:t>2021/22</w:t>
            </w:r>
          </w:p>
        </w:tc>
        <w:tc>
          <w:tcPr>
            <w:tcW w:w="659" w:type="pct"/>
            <w:tcBorders>
              <w:right w:val="nil"/>
            </w:tcBorders>
            <w:hideMark/>
          </w:tcPr>
          <w:p w14:paraId="44F9C8BD" w14:textId="73AEF629" w:rsidR="003545E6" w:rsidRDefault="000A1691">
            <w:pPr>
              <w:pStyle w:val="TableHeading3rightalign"/>
            </w:pPr>
            <w:r>
              <w:t>2020/21</w:t>
            </w:r>
          </w:p>
        </w:tc>
      </w:tr>
      <w:tr w:rsidR="001B625D" w14:paraId="24EDC588" w14:textId="77777777" w:rsidTr="11834A44">
        <w:tc>
          <w:tcPr>
            <w:tcW w:w="3023" w:type="pct"/>
            <w:tcBorders>
              <w:top w:val="single" w:sz="4" w:space="0" w:color="auto"/>
              <w:left w:val="nil"/>
              <w:bottom w:val="single" w:sz="4" w:space="0" w:color="auto"/>
              <w:right w:val="nil"/>
            </w:tcBorders>
          </w:tcPr>
          <w:p w14:paraId="3535A5E1" w14:textId="72F0A91F" w:rsidR="008C06C0" w:rsidRPr="00D77F62" w:rsidRDefault="007B7BAE" w:rsidP="00ED2365">
            <w:pPr>
              <w:pStyle w:val="TableBodyText"/>
              <w:rPr>
                <w:rStyle w:val="Characterbold"/>
              </w:rPr>
            </w:pPr>
            <w:r w:rsidRPr="007B7BAE">
              <w:rPr>
                <w:rStyle w:val="Characterbold"/>
              </w:rPr>
              <w:t>Received</w:t>
            </w:r>
          </w:p>
        </w:tc>
        <w:tc>
          <w:tcPr>
            <w:tcW w:w="659" w:type="pct"/>
            <w:tcBorders>
              <w:top w:val="single" w:sz="4" w:space="0" w:color="auto"/>
              <w:left w:val="nil"/>
              <w:bottom w:val="single" w:sz="4" w:space="0" w:color="auto"/>
              <w:right w:val="nil"/>
            </w:tcBorders>
            <w:shd w:val="clear" w:color="auto" w:fill="F2F2F2" w:themeFill="background1" w:themeFillShade="F2"/>
          </w:tcPr>
          <w:p w14:paraId="66296F3E" w14:textId="77777777" w:rsidR="008C06C0" w:rsidRPr="008C06C0" w:rsidRDefault="008C06C0" w:rsidP="006164DC">
            <w:pPr>
              <w:pStyle w:val="TableBodyTextrightalign"/>
              <w:rPr>
                <w:b/>
                <w:highlight w:val="yellow"/>
              </w:rPr>
            </w:pPr>
          </w:p>
        </w:tc>
        <w:tc>
          <w:tcPr>
            <w:tcW w:w="659" w:type="pct"/>
            <w:tcBorders>
              <w:top w:val="single" w:sz="4" w:space="0" w:color="auto"/>
              <w:left w:val="nil"/>
              <w:bottom w:val="single" w:sz="4" w:space="0" w:color="auto"/>
              <w:right w:val="nil"/>
            </w:tcBorders>
          </w:tcPr>
          <w:p w14:paraId="5E9D9ACD" w14:textId="77777777" w:rsidR="008C06C0" w:rsidRPr="00120BC0" w:rsidRDefault="008C06C0">
            <w:pPr>
              <w:pStyle w:val="TableBodyTextrightalign"/>
            </w:pPr>
          </w:p>
        </w:tc>
        <w:tc>
          <w:tcPr>
            <w:tcW w:w="659" w:type="pct"/>
            <w:tcBorders>
              <w:top w:val="single" w:sz="4" w:space="0" w:color="auto"/>
              <w:left w:val="nil"/>
              <w:bottom w:val="single" w:sz="4" w:space="0" w:color="auto"/>
              <w:right w:val="nil"/>
            </w:tcBorders>
          </w:tcPr>
          <w:p w14:paraId="5F489F49" w14:textId="77777777" w:rsidR="008C06C0" w:rsidRPr="001D50E4" w:rsidRDefault="008C06C0">
            <w:pPr>
              <w:pStyle w:val="TableBodyTextrightalign"/>
            </w:pPr>
          </w:p>
        </w:tc>
      </w:tr>
      <w:tr w:rsidR="003545E6" w14:paraId="56B96745" w14:textId="77777777" w:rsidTr="11834A44">
        <w:tc>
          <w:tcPr>
            <w:tcW w:w="3023" w:type="pct"/>
            <w:tcBorders>
              <w:top w:val="single" w:sz="4" w:space="0" w:color="auto"/>
              <w:left w:val="nil"/>
              <w:bottom w:val="single" w:sz="4" w:space="0" w:color="auto"/>
              <w:right w:val="nil"/>
            </w:tcBorders>
            <w:hideMark/>
          </w:tcPr>
          <w:p w14:paraId="5E93F8FA" w14:textId="343B55C9" w:rsidR="003545E6" w:rsidRDefault="003545E6">
            <w:pPr>
              <w:pStyle w:val="TableBodyText"/>
              <w:rPr>
                <w:rFonts w:asciiTheme="minorHAnsi" w:hAnsiTheme="minorHAnsi" w:cstheme="minorBidi"/>
                <w:lang w:eastAsia="en-US"/>
              </w:rPr>
            </w:pPr>
            <w:r w:rsidRPr="0312517E">
              <w:rPr>
                <w:lang w:eastAsia="en-US"/>
              </w:rPr>
              <w:t>Total complaints and notifications received</w:t>
            </w:r>
          </w:p>
        </w:tc>
        <w:tc>
          <w:tcPr>
            <w:tcW w:w="659" w:type="pct"/>
            <w:tcBorders>
              <w:top w:val="single" w:sz="4" w:space="0" w:color="auto"/>
              <w:left w:val="nil"/>
              <w:bottom w:val="single" w:sz="4" w:space="0" w:color="auto"/>
              <w:right w:val="nil"/>
            </w:tcBorders>
            <w:shd w:val="clear" w:color="auto" w:fill="F2F2F2" w:themeFill="background1" w:themeFillShade="F2"/>
          </w:tcPr>
          <w:p w14:paraId="6DC365CF" w14:textId="29B6629B" w:rsidR="003545E6" w:rsidRPr="007E78B5" w:rsidRDefault="002D2F21" w:rsidP="007E78B5">
            <w:pPr>
              <w:pStyle w:val="TableBodyTextrightalign"/>
              <w:rPr>
                <w:rStyle w:val="Characterbold"/>
              </w:rPr>
            </w:pPr>
            <w:r w:rsidRPr="007E78B5">
              <w:rPr>
                <w:rStyle w:val="Characterbold"/>
              </w:rPr>
              <w:t>2</w:t>
            </w:r>
            <w:r w:rsidR="00320373" w:rsidRPr="007E78B5">
              <w:rPr>
                <w:rStyle w:val="Characterbold"/>
              </w:rPr>
              <w:t>,</w:t>
            </w:r>
            <w:r w:rsidRPr="007E78B5">
              <w:rPr>
                <w:rStyle w:val="Characterbold"/>
              </w:rPr>
              <w:t>16</w:t>
            </w:r>
            <w:r w:rsidR="004E6B01" w:rsidRPr="007E78B5">
              <w:rPr>
                <w:rStyle w:val="Characterbold"/>
              </w:rPr>
              <w:t>2</w:t>
            </w:r>
          </w:p>
        </w:tc>
        <w:tc>
          <w:tcPr>
            <w:tcW w:w="659" w:type="pct"/>
            <w:tcBorders>
              <w:top w:val="single" w:sz="4" w:space="0" w:color="auto"/>
              <w:left w:val="nil"/>
              <w:bottom w:val="single" w:sz="4" w:space="0" w:color="auto"/>
              <w:right w:val="nil"/>
            </w:tcBorders>
          </w:tcPr>
          <w:p w14:paraId="7C25B1FA" w14:textId="77777777" w:rsidR="003545E6" w:rsidRPr="005360C3" w:rsidRDefault="003545E6">
            <w:pPr>
              <w:pStyle w:val="TableBodyTextrightalign"/>
              <w:rPr>
                <w:rStyle w:val="Characterbold"/>
              </w:rPr>
            </w:pPr>
            <w:r w:rsidRPr="00D77F62">
              <w:rPr>
                <w:rStyle w:val="Characterbold"/>
              </w:rPr>
              <w:t>1,965</w:t>
            </w:r>
          </w:p>
        </w:tc>
        <w:tc>
          <w:tcPr>
            <w:tcW w:w="659" w:type="pct"/>
            <w:tcBorders>
              <w:top w:val="single" w:sz="4" w:space="0" w:color="auto"/>
              <w:left w:val="nil"/>
              <w:bottom w:val="single" w:sz="4" w:space="0" w:color="auto"/>
              <w:right w:val="nil"/>
            </w:tcBorders>
          </w:tcPr>
          <w:p w14:paraId="4D29C6B8" w14:textId="77777777" w:rsidR="003545E6" w:rsidRPr="005360C3" w:rsidRDefault="003545E6">
            <w:pPr>
              <w:pStyle w:val="TableBodyTextrightalign"/>
              <w:rPr>
                <w:rStyle w:val="Characterbold"/>
              </w:rPr>
            </w:pPr>
            <w:r w:rsidRPr="00D77F62">
              <w:rPr>
                <w:rStyle w:val="Characterbold"/>
              </w:rPr>
              <w:t>1,710</w:t>
            </w:r>
          </w:p>
        </w:tc>
      </w:tr>
      <w:tr w:rsidR="003545E6" w14:paraId="5A9B555F" w14:textId="77777777" w:rsidTr="11834A44">
        <w:tc>
          <w:tcPr>
            <w:tcW w:w="3023" w:type="pct"/>
            <w:tcBorders>
              <w:top w:val="single" w:sz="4" w:space="0" w:color="auto"/>
              <w:left w:val="nil"/>
              <w:bottom w:val="single" w:sz="4" w:space="0" w:color="auto"/>
              <w:right w:val="nil"/>
            </w:tcBorders>
            <w:hideMark/>
          </w:tcPr>
          <w:p w14:paraId="21BBA786" w14:textId="2FEE62C8" w:rsidR="003545E6" w:rsidRDefault="003545E6" w:rsidP="003545E6">
            <w:pPr>
              <w:pStyle w:val="TableListBullet"/>
              <w:numPr>
                <w:ilvl w:val="0"/>
                <w:numId w:val="26"/>
              </w:numPr>
              <w:rPr>
                <w:lang w:val="en-US"/>
              </w:rPr>
            </w:pPr>
            <w:r>
              <w:rPr>
                <w:lang w:eastAsia="en-US"/>
              </w:rPr>
              <w:t xml:space="preserve">complaints </w:t>
            </w:r>
          </w:p>
        </w:tc>
        <w:tc>
          <w:tcPr>
            <w:tcW w:w="659" w:type="pct"/>
            <w:tcBorders>
              <w:top w:val="single" w:sz="4" w:space="0" w:color="auto"/>
              <w:left w:val="nil"/>
              <w:bottom w:val="single" w:sz="4" w:space="0" w:color="auto"/>
              <w:right w:val="nil"/>
            </w:tcBorders>
            <w:shd w:val="clear" w:color="auto" w:fill="F2F2F2" w:themeFill="background1" w:themeFillShade="F2"/>
          </w:tcPr>
          <w:p w14:paraId="371670E9" w14:textId="33DEB412" w:rsidR="003545E6" w:rsidRPr="00D77F62" w:rsidRDefault="000E6DE8" w:rsidP="005360C3">
            <w:pPr>
              <w:pStyle w:val="TableBodyTextrightalign"/>
              <w:rPr>
                <w:rStyle w:val="Characterbold"/>
                <w:b w:val="0"/>
              </w:rPr>
            </w:pPr>
            <w:r w:rsidRPr="00D77F62">
              <w:t>1</w:t>
            </w:r>
            <w:r w:rsidR="00320373">
              <w:t>,</w:t>
            </w:r>
            <w:r w:rsidRPr="00D77F62">
              <w:t>90</w:t>
            </w:r>
            <w:r w:rsidR="004E6B01" w:rsidRPr="00D77F62">
              <w:t>9</w:t>
            </w:r>
          </w:p>
        </w:tc>
        <w:tc>
          <w:tcPr>
            <w:tcW w:w="659" w:type="pct"/>
            <w:tcBorders>
              <w:top w:val="single" w:sz="4" w:space="0" w:color="auto"/>
              <w:left w:val="nil"/>
              <w:bottom w:val="single" w:sz="4" w:space="0" w:color="auto"/>
              <w:right w:val="nil"/>
            </w:tcBorders>
          </w:tcPr>
          <w:p w14:paraId="72F65B15" w14:textId="77777777" w:rsidR="003545E6" w:rsidRDefault="003545E6">
            <w:pPr>
              <w:pStyle w:val="TableBodyTextrightalign"/>
              <w:rPr>
                <w:rStyle w:val="Characterbold"/>
              </w:rPr>
            </w:pPr>
            <w:r w:rsidRPr="00120BC0">
              <w:t>1</w:t>
            </w:r>
            <w:r>
              <w:t>,</w:t>
            </w:r>
            <w:r w:rsidRPr="00120BC0">
              <w:t>756</w:t>
            </w:r>
          </w:p>
        </w:tc>
        <w:tc>
          <w:tcPr>
            <w:tcW w:w="659" w:type="pct"/>
            <w:tcBorders>
              <w:top w:val="single" w:sz="4" w:space="0" w:color="auto"/>
              <w:left w:val="nil"/>
              <w:bottom w:val="single" w:sz="4" w:space="0" w:color="auto"/>
              <w:right w:val="nil"/>
            </w:tcBorders>
          </w:tcPr>
          <w:p w14:paraId="7011168F" w14:textId="77777777" w:rsidR="003545E6" w:rsidRDefault="003545E6">
            <w:pPr>
              <w:pStyle w:val="TableBodyTextrightalign"/>
              <w:rPr>
                <w:rStyle w:val="Characterbold"/>
              </w:rPr>
            </w:pPr>
            <w:r w:rsidRPr="001D50E4">
              <w:t>1</w:t>
            </w:r>
            <w:r>
              <w:t>,</w:t>
            </w:r>
            <w:r w:rsidRPr="001D50E4">
              <w:t>495</w:t>
            </w:r>
          </w:p>
        </w:tc>
      </w:tr>
      <w:tr w:rsidR="003545E6" w14:paraId="595F1CEB" w14:textId="77777777" w:rsidTr="11834A44">
        <w:tc>
          <w:tcPr>
            <w:tcW w:w="3023" w:type="pct"/>
            <w:tcBorders>
              <w:top w:val="single" w:sz="4" w:space="0" w:color="auto"/>
              <w:left w:val="nil"/>
              <w:bottom w:val="single" w:sz="4" w:space="0" w:color="auto"/>
              <w:right w:val="nil"/>
            </w:tcBorders>
            <w:hideMark/>
          </w:tcPr>
          <w:p w14:paraId="14270D3C" w14:textId="2767AA68" w:rsidR="003545E6" w:rsidRDefault="003545E6" w:rsidP="003545E6">
            <w:pPr>
              <w:pStyle w:val="TableListBullet"/>
              <w:numPr>
                <w:ilvl w:val="0"/>
                <w:numId w:val="26"/>
              </w:numPr>
              <w:rPr>
                <w:lang w:val="en-US"/>
              </w:rPr>
            </w:pPr>
            <w:r w:rsidRPr="0312517E">
              <w:rPr>
                <w:lang w:eastAsia="en-US"/>
              </w:rPr>
              <w:t xml:space="preserve">notifications </w:t>
            </w:r>
          </w:p>
        </w:tc>
        <w:tc>
          <w:tcPr>
            <w:tcW w:w="659" w:type="pct"/>
            <w:tcBorders>
              <w:top w:val="single" w:sz="4" w:space="0" w:color="auto"/>
              <w:left w:val="nil"/>
              <w:bottom w:val="single" w:sz="4" w:space="0" w:color="auto"/>
              <w:right w:val="nil"/>
            </w:tcBorders>
            <w:shd w:val="clear" w:color="auto" w:fill="F2F2F2" w:themeFill="background1" w:themeFillShade="F2"/>
          </w:tcPr>
          <w:p w14:paraId="3933639B" w14:textId="3AC4133C" w:rsidR="003545E6" w:rsidRPr="00ED79A2" w:rsidRDefault="0011057C" w:rsidP="00ED79A2">
            <w:pPr>
              <w:pStyle w:val="TableBodyText"/>
            </w:pPr>
            <w:r w:rsidRPr="00ED79A2">
              <w:t>253</w:t>
            </w:r>
          </w:p>
        </w:tc>
        <w:tc>
          <w:tcPr>
            <w:tcW w:w="659" w:type="pct"/>
            <w:tcBorders>
              <w:top w:val="single" w:sz="4" w:space="0" w:color="auto"/>
              <w:left w:val="nil"/>
              <w:bottom w:val="single" w:sz="4" w:space="0" w:color="auto"/>
              <w:right w:val="nil"/>
            </w:tcBorders>
          </w:tcPr>
          <w:p w14:paraId="0380FC9E" w14:textId="77777777" w:rsidR="003545E6" w:rsidRDefault="003545E6">
            <w:pPr>
              <w:pStyle w:val="TableBodyTextrightalign"/>
              <w:rPr>
                <w:rStyle w:val="Characterbold"/>
              </w:rPr>
            </w:pPr>
            <w:r w:rsidRPr="00120BC0">
              <w:t xml:space="preserve">209 </w:t>
            </w:r>
          </w:p>
        </w:tc>
        <w:tc>
          <w:tcPr>
            <w:tcW w:w="659" w:type="pct"/>
            <w:tcBorders>
              <w:top w:val="single" w:sz="4" w:space="0" w:color="auto"/>
              <w:left w:val="nil"/>
              <w:bottom w:val="single" w:sz="4" w:space="0" w:color="auto"/>
              <w:right w:val="nil"/>
            </w:tcBorders>
          </w:tcPr>
          <w:p w14:paraId="0667DB92" w14:textId="77777777" w:rsidR="003545E6" w:rsidRDefault="003545E6">
            <w:pPr>
              <w:pStyle w:val="TableBodyTextrightalign"/>
              <w:rPr>
                <w:rStyle w:val="Characterbold"/>
              </w:rPr>
            </w:pPr>
            <w:r w:rsidRPr="001D50E4">
              <w:t>215</w:t>
            </w:r>
          </w:p>
        </w:tc>
      </w:tr>
      <w:tr w:rsidR="003545E6" w14:paraId="3D15C671" w14:textId="77777777" w:rsidTr="11834A44">
        <w:tc>
          <w:tcPr>
            <w:tcW w:w="3023" w:type="pct"/>
            <w:tcBorders>
              <w:top w:val="single" w:sz="4" w:space="0" w:color="auto"/>
              <w:left w:val="nil"/>
              <w:bottom w:val="single" w:sz="4" w:space="0" w:color="auto"/>
              <w:right w:val="nil"/>
            </w:tcBorders>
            <w:hideMark/>
          </w:tcPr>
          <w:p w14:paraId="30E55C02" w14:textId="4A80525D" w:rsidR="003545E6" w:rsidRDefault="003545E6" w:rsidP="003545E6">
            <w:pPr>
              <w:pStyle w:val="TableListBullet2"/>
              <w:numPr>
                <w:ilvl w:val="1"/>
                <w:numId w:val="26"/>
              </w:numPr>
              <w:rPr>
                <w:lang w:val="en-US"/>
              </w:rPr>
            </w:pPr>
            <w:r w:rsidRPr="0312517E">
              <w:rPr>
                <w:lang w:eastAsia="en-US"/>
              </w:rPr>
              <w:t>PIDs and PID notifications</w:t>
            </w:r>
            <w:r w:rsidR="00C63F2B" w:rsidRPr="003965EA">
              <w:rPr>
                <w:rStyle w:val="Charactersuperscript"/>
              </w:rPr>
              <w:t>(a)</w:t>
            </w:r>
          </w:p>
        </w:tc>
        <w:tc>
          <w:tcPr>
            <w:tcW w:w="659" w:type="pct"/>
            <w:tcBorders>
              <w:top w:val="single" w:sz="4" w:space="0" w:color="auto"/>
              <w:left w:val="nil"/>
              <w:bottom w:val="single" w:sz="4" w:space="0" w:color="auto"/>
              <w:right w:val="nil"/>
            </w:tcBorders>
            <w:shd w:val="clear" w:color="auto" w:fill="F2F2F2" w:themeFill="background1" w:themeFillShade="F2"/>
          </w:tcPr>
          <w:p w14:paraId="6A077D22" w14:textId="7A2747F2" w:rsidR="003545E6" w:rsidRPr="00D77F62" w:rsidRDefault="00802FA8" w:rsidP="005360C3">
            <w:pPr>
              <w:pStyle w:val="TableBodyTextrightalign"/>
              <w:rPr>
                <w:rStyle w:val="Characterbold"/>
                <w:b w:val="0"/>
              </w:rPr>
            </w:pPr>
            <w:r w:rsidRPr="00D77F62">
              <w:t>242</w:t>
            </w:r>
          </w:p>
        </w:tc>
        <w:tc>
          <w:tcPr>
            <w:tcW w:w="659" w:type="pct"/>
            <w:tcBorders>
              <w:top w:val="single" w:sz="4" w:space="0" w:color="auto"/>
              <w:left w:val="nil"/>
              <w:bottom w:val="single" w:sz="4" w:space="0" w:color="auto"/>
              <w:right w:val="nil"/>
            </w:tcBorders>
          </w:tcPr>
          <w:p w14:paraId="3C587B56" w14:textId="77777777" w:rsidR="003545E6" w:rsidRDefault="003545E6">
            <w:pPr>
              <w:pStyle w:val="TableBodyTextrightalign"/>
              <w:rPr>
                <w:rStyle w:val="Characterbold"/>
              </w:rPr>
            </w:pPr>
            <w:r w:rsidRPr="00120BC0">
              <w:t>192</w:t>
            </w:r>
          </w:p>
        </w:tc>
        <w:tc>
          <w:tcPr>
            <w:tcW w:w="659" w:type="pct"/>
            <w:tcBorders>
              <w:top w:val="single" w:sz="4" w:space="0" w:color="auto"/>
              <w:left w:val="nil"/>
              <w:bottom w:val="single" w:sz="4" w:space="0" w:color="auto"/>
              <w:right w:val="nil"/>
            </w:tcBorders>
          </w:tcPr>
          <w:p w14:paraId="298060FE" w14:textId="77777777" w:rsidR="003545E6" w:rsidRDefault="003545E6">
            <w:pPr>
              <w:pStyle w:val="TableBodyTextrightalign"/>
              <w:rPr>
                <w:rStyle w:val="Characterbold"/>
              </w:rPr>
            </w:pPr>
            <w:r w:rsidRPr="001D50E4">
              <w:t>204</w:t>
            </w:r>
          </w:p>
        </w:tc>
      </w:tr>
      <w:tr w:rsidR="001B625D" w14:paraId="1100C155" w14:textId="77777777" w:rsidTr="11834A44">
        <w:tc>
          <w:tcPr>
            <w:tcW w:w="3023" w:type="pct"/>
            <w:tcBorders>
              <w:top w:val="single" w:sz="4" w:space="0" w:color="auto"/>
              <w:left w:val="nil"/>
              <w:bottom w:val="single" w:sz="4" w:space="0" w:color="auto"/>
              <w:right w:val="nil"/>
            </w:tcBorders>
          </w:tcPr>
          <w:p w14:paraId="0484C28A" w14:textId="79CDEF04" w:rsidR="004C536B" w:rsidRPr="00D77F62" w:rsidRDefault="004C536B">
            <w:pPr>
              <w:pStyle w:val="TableBodyText"/>
              <w:rPr>
                <w:rStyle w:val="Characterbold"/>
              </w:rPr>
            </w:pPr>
            <w:r w:rsidRPr="00D77F62">
              <w:rPr>
                <w:rStyle w:val="Characterbold"/>
              </w:rPr>
              <w:t>A</w:t>
            </w:r>
            <w:r w:rsidR="005360C3" w:rsidRPr="00D77F62">
              <w:rPr>
                <w:rStyle w:val="Characterbold"/>
              </w:rPr>
              <w:t>ssessed</w:t>
            </w:r>
          </w:p>
        </w:tc>
        <w:tc>
          <w:tcPr>
            <w:tcW w:w="659" w:type="pct"/>
            <w:tcBorders>
              <w:top w:val="single" w:sz="4" w:space="0" w:color="auto"/>
              <w:left w:val="nil"/>
              <w:bottom w:val="single" w:sz="4" w:space="0" w:color="auto"/>
              <w:right w:val="nil"/>
            </w:tcBorders>
            <w:shd w:val="clear" w:color="auto" w:fill="F2F2F2" w:themeFill="background1" w:themeFillShade="F2"/>
          </w:tcPr>
          <w:p w14:paraId="7427D743" w14:textId="77777777" w:rsidR="004C536B" w:rsidRPr="004C536B" w:rsidRDefault="004C536B" w:rsidP="006164DC">
            <w:pPr>
              <w:pStyle w:val="TableBodyTextrightalign"/>
              <w:rPr>
                <w:b/>
                <w:highlight w:val="green"/>
              </w:rPr>
            </w:pPr>
          </w:p>
        </w:tc>
        <w:tc>
          <w:tcPr>
            <w:tcW w:w="659" w:type="pct"/>
            <w:tcBorders>
              <w:top w:val="single" w:sz="4" w:space="0" w:color="auto"/>
              <w:left w:val="nil"/>
              <w:bottom w:val="single" w:sz="4" w:space="0" w:color="auto"/>
              <w:right w:val="nil"/>
            </w:tcBorders>
          </w:tcPr>
          <w:p w14:paraId="377A08D8" w14:textId="77777777" w:rsidR="004C536B" w:rsidRPr="00120BC0" w:rsidRDefault="004C536B">
            <w:pPr>
              <w:pStyle w:val="TableBodyTextrightalign"/>
            </w:pPr>
          </w:p>
        </w:tc>
        <w:tc>
          <w:tcPr>
            <w:tcW w:w="659" w:type="pct"/>
            <w:tcBorders>
              <w:top w:val="single" w:sz="4" w:space="0" w:color="auto"/>
              <w:left w:val="nil"/>
              <w:bottom w:val="single" w:sz="4" w:space="0" w:color="auto"/>
              <w:right w:val="nil"/>
            </w:tcBorders>
          </w:tcPr>
          <w:p w14:paraId="5FB228B3" w14:textId="77777777" w:rsidR="004C536B" w:rsidRPr="001D50E4" w:rsidRDefault="004C536B">
            <w:pPr>
              <w:pStyle w:val="TableBodyTextrightalign"/>
            </w:pPr>
          </w:p>
        </w:tc>
      </w:tr>
      <w:tr w:rsidR="003545E6" w14:paraId="4C188F70" w14:textId="77777777" w:rsidTr="11834A44">
        <w:tc>
          <w:tcPr>
            <w:tcW w:w="3023" w:type="pct"/>
            <w:tcBorders>
              <w:top w:val="single" w:sz="4" w:space="0" w:color="auto"/>
              <w:left w:val="nil"/>
              <w:bottom w:val="single" w:sz="4" w:space="0" w:color="auto"/>
              <w:right w:val="nil"/>
            </w:tcBorders>
            <w:hideMark/>
          </w:tcPr>
          <w:p w14:paraId="076AB28C" w14:textId="24F684A9" w:rsidR="003545E6" w:rsidRDefault="003545E6">
            <w:pPr>
              <w:pStyle w:val="TableBodyText"/>
              <w:rPr>
                <w:lang w:val="en-US"/>
              </w:rPr>
            </w:pPr>
            <w:r w:rsidRPr="0312517E">
              <w:rPr>
                <w:lang w:eastAsia="en-US"/>
              </w:rPr>
              <w:t xml:space="preserve">Total </w:t>
            </w:r>
            <w:r w:rsidR="001068AE">
              <w:rPr>
                <w:lang w:eastAsia="en-US"/>
              </w:rPr>
              <w:t xml:space="preserve">complaints </w:t>
            </w:r>
            <w:r w:rsidR="005D5BE4">
              <w:rPr>
                <w:lang w:eastAsia="en-US"/>
              </w:rPr>
              <w:t>and notifications</w:t>
            </w:r>
            <w:r w:rsidR="00496389">
              <w:rPr>
                <w:lang w:eastAsia="en-US"/>
              </w:rPr>
              <w:t xml:space="preserve"> assessed</w:t>
            </w:r>
          </w:p>
        </w:tc>
        <w:tc>
          <w:tcPr>
            <w:tcW w:w="659" w:type="pct"/>
            <w:tcBorders>
              <w:top w:val="single" w:sz="4" w:space="0" w:color="auto"/>
              <w:left w:val="nil"/>
              <w:bottom w:val="single" w:sz="4" w:space="0" w:color="auto"/>
              <w:right w:val="nil"/>
            </w:tcBorders>
            <w:shd w:val="clear" w:color="auto" w:fill="F2F2F2" w:themeFill="background1" w:themeFillShade="F2"/>
          </w:tcPr>
          <w:p w14:paraId="23506201" w14:textId="05030638" w:rsidR="003545E6" w:rsidRPr="005360C3" w:rsidRDefault="0011057C" w:rsidP="006164DC">
            <w:pPr>
              <w:pStyle w:val="TableBodyTextrightalign"/>
              <w:rPr>
                <w:rStyle w:val="Characterbold"/>
                <w:b w:val="0"/>
                <w:bCs w:val="0"/>
              </w:rPr>
            </w:pPr>
            <w:r w:rsidRPr="00D77F62">
              <w:rPr>
                <w:rStyle w:val="Characterbold"/>
              </w:rPr>
              <w:t>2</w:t>
            </w:r>
            <w:r w:rsidR="00320373">
              <w:rPr>
                <w:rStyle w:val="Characterbold"/>
              </w:rPr>
              <w:t>,</w:t>
            </w:r>
            <w:r>
              <w:rPr>
                <w:rStyle w:val="Characterbold"/>
              </w:rPr>
              <w:t>084</w:t>
            </w:r>
          </w:p>
        </w:tc>
        <w:tc>
          <w:tcPr>
            <w:tcW w:w="659" w:type="pct"/>
            <w:tcBorders>
              <w:top w:val="single" w:sz="4" w:space="0" w:color="auto"/>
              <w:left w:val="nil"/>
              <w:bottom w:val="single" w:sz="4" w:space="0" w:color="auto"/>
              <w:right w:val="nil"/>
            </w:tcBorders>
          </w:tcPr>
          <w:p w14:paraId="5DCC7C3B" w14:textId="46685AEC" w:rsidR="003545E6" w:rsidRPr="005360C3" w:rsidRDefault="0011057C">
            <w:pPr>
              <w:pStyle w:val="TableBodyTextrightalign"/>
              <w:rPr>
                <w:rStyle w:val="Characterbold"/>
              </w:rPr>
            </w:pPr>
            <w:r w:rsidRPr="00D77F62">
              <w:rPr>
                <w:rStyle w:val="Characterbold"/>
              </w:rPr>
              <w:t>1</w:t>
            </w:r>
            <w:r w:rsidR="00320373">
              <w:rPr>
                <w:rStyle w:val="Characterbold"/>
              </w:rPr>
              <w:t>,</w:t>
            </w:r>
            <w:r w:rsidRPr="00D77F62">
              <w:rPr>
                <w:rStyle w:val="Characterbold"/>
              </w:rPr>
              <w:t>786</w:t>
            </w:r>
          </w:p>
        </w:tc>
        <w:tc>
          <w:tcPr>
            <w:tcW w:w="659" w:type="pct"/>
            <w:tcBorders>
              <w:top w:val="single" w:sz="4" w:space="0" w:color="auto"/>
              <w:left w:val="nil"/>
              <w:bottom w:val="single" w:sz="4" w:space="0" w:color="auto"/>
              <w:right w:val="nil"/>
            </w:tcBorders>
          </w:tcPr>
          <w:p w14:paraId="08C6C24C" w14:textId="621ECEBD" w:rsidR="003545E6" w:rsidRPr="005360C3" w:rsidRDefault="002C3700">
            <w:pPr>
              <w:pStyle w:val="TableBodyTextrightalign"/>
              <w:rPr>
                <w:rStyle w:val="Characterbold"/>
              </w:rPr>
            </w:pPr>
            <w:r w:rsidRPr="00D77F62">
              <w:rPr>
                <w:rStyle w:val="Characterbold"/>
              </w:rPr>
              <w:t>1</w:t>
            </w:r>
            <w:r w:rsidR="00320373">
              <w:rPr>
                <w:rStyle w:val="Characterbold"/>
              </w:rPr>
              <w:t>,</w:t>
            </w:r>
            <w:r w:rsidRPr="00D77F62">
              <w:rPr>
                <w:rStyle w:val="Characterbold"/>
              </w:rPr>
              <w:t>705</w:t>
            </w:r>
          </w:p>
        </w:tc>
      </w:tr>
      <w:tr w:rsidR="00280CF6" w14:paraId="0CAE06A3" w14:textId="77777777" w:rsidTr="11834A44">
        <w:tc>
          <w:tcPr>
            <w:tcW w:w="3023" w:type="pct"/>
            <w:tcBorders>
              <w:top w:val="single" w:sz="4" w:space="0" w:color="auto"/>
              <w:left w:val="nil"/>
              <w:bottom w:val="single" w:sz="4" w:space="0" w:color="auto"/>
              <w:right w:val="nil"/>
            </w:tcBorders>
          </w:tcPr>
          <w:p w14:paraId="35E029E5" w14:textId="45294BC7" w:rsidR="00280CF6" w:rsidRPr="006C1867" w:rsidRDefault="00280CF6" w:rsidP="00496389">
            <w:pPr>
              <w:pStyle w:val="TableListBullet"/>
            </w:pPr>
            <w:r w:rsidRPr="006C1867">
              <w:t>complaints</w:t>
            </w:r>
          </w:p>
        </w:tc>
        <w:tc>
          <w:tcPr>
            <w:tcW w:w="659" w:type="pct"/>
            <w:tcBorders>
              <w:top w:val="single" w:sz="4" w:space="0" w:color="auto"/>
              <w:left w:val="nil"/>
              <w:bottom w:val="single" w:sz="4" w:space="0" w:color="auto"/>
              <w:right w:val="nil"/>
            </w:tcBorders>
            <w:shd w:val="clear" w:color="auto" w:fill="F2F2F2" w:themeFill="background1" w:themeFillShade="F2"/>
          </w:tcPr>
          <w:p w14:paraId="73B40E3B" w14:textId="526495CD" w:rsidR="00280CF6" w:rsidRPr="00D77F62" w:rsidRDefault="00280CF6" w:rsidP="005360C3">
            <w:pPr>
              <w:pStyle w:val="TableBodyTextrightalign"/>
              <w:rPr>
                <w:highlight w:val="green"/>
              </w:rPr>
            </w:pPr>
            <w:r w:rsidRPr="00D77F62">
              <w:t>1</w:t>
            </w:r>
            <w:r w:rsidR="00320373">
              <w:t>,</w:t>
            </w:r>
            <w:r w:rsidRPr="00D77F62">
              <w:t>840</w:t>
            </w:r>
          </w:p>
        </w:tc>
        <w:tc>
          <w:tcPr>
            <w:tcW w:w="659" w:type="pct"/>
            <w:tcBorders>
              <w:top w:val="single" w:sz="4" w:space="0" w:color="auto"/>
              <w:left w:val="nil"/>
              <w:bottom w:val="single" w:sz="4" w:space="0" w:color="auto"/>
              <w:right w:val="nil"/>
            </w:tcBorders>
          </w:tcPr>
          <w:p w14:paraId="5D92D7AE" w14:textId="6CB514DA" w:rsidR="00280CF6" w:rsidRPr="00ED79A2" w:rsidRDefault="00280CF6" w:rsidP="00ED79A2">
            <w:pPr>
              <w:pStyle w:val="TableBodyText"/>
            </w:pPr>
            <w:r w:rsidRPr="00ED79A2">
              <w:t>1</w:t>
            </w:r>
            <w:r w:rsidR="00320373" w:rsidRPr="00ED79A2">
              <w:t>,</w:t>
            </w:r>
            <w:r w:rsidRPr="00ED79A2">
              <w:t>580</w:t>
            </w:r>
          </w:p>
        </w:tc>
        <w:tc>
          <w:tcPr>
            <w:tcW w:w="659" w:type="pct"/>
            <w:tcBorders>
              <w:top w:val="single" w:sz="4" w:space="0" w:color="auto"/>
              <w:left w:val="nil"/>
              <w:bottom w:val="single" w:sz="4" w:space="0" w:color="auto"/>
              <w:right w:val="nil"/>
            </w:tcBorders>
          </w:tcPr>
          <w:p w14:paraId="65691DED" w14:textId="1E97B515" w:rsidR="00280CF6" w:rsidRPr="00ED79A2" w:rsidRDefault="00280CF6" w:rsidP="00ED79A2">
            <w:pPr>
              <w:pStyle w:val="TableBodyText"/>
            </w:pPr>
            <w:r w:rsidRPr="00ED79A2">
              <w:t>1</w:t>
            </w:r>
            <w:r w:rsidR="00320373" w:rsidRPr="00ED79A2">
              <w:t>,</w:t>
            </w:r>
            <w:r w:rsidRPr="00ED79A2">
              <w:t>461</w:t>
            </w:r>
          </w:p>
        </w:tc>
      </w:tr>
      <w:tr w:rsidR="00280CF6" w14:paraId="6E864E22" w14:textId="77777777" w:rsidTr="11834A44">
        <w:tc>
          <w:tcPr>
            <w:tcW w:w="3023" w:type="pct"/>
            <w:tcBorders>
              <w:top w:val="single" w:sz="4" w:space="0" w:color="auto"/>
              <w:left w:val="nil"/>
              <w:bottom w:val="single" w:sz="4" w:space="0" w:color="auto"/>
              <w:right w:val="nil"/>
            </w:tcBorders>
          </w:tcPr>
          <w:p w14:paraId="4283D8D5" w14:textId="526C1903" w:rsidR="00280CF6" w:rsidRPr="0312517E" w:rsidRDefault="00280CF6" w:rsidP="00496389">
            <w:pPr>
              <w:pStyle w:val="TableListBullet"/>
            </w:pPr>
            <w:r>
              <w:t>notifications</w:t>
            </w:r>
          </w:p>
        </w:tc>
        <w:tc>
          <w:tcPr>
            <w:tcW w:w="659" w:type="pct"/>
            <w:tcBorders>
              <w:top w:val="single" w:sz="4" w:space="0" w:color="auto"/>
              <w:left w:val="nil"/>
              <w:bottom w:val="single" w:sz="4" w:space="0" w:color="auto"/>
              <w:right w:val="nil"/>
            </w:tcBorders>
            <w:shd w:val="clear" w:color="auto" w:fill="F2F2F2" w:themeFill="background1" w:themeFillShade="F2"/>
          </w:tcPr>
          <w:p w14:paraId="57224935" w14:textId="37100530" w:rsidR="00280CF6" w:rsidRPr="00D77F62" w:rsidRDefault="00280CF6" w:rsidP="005360C3">
            <w:pPr>
              <w:pStyle w:val="TableBodyTextrightalign"/>
              <w:rPr>
                <w:highlight w:val="green"/>
              </w:rPr>
            </w:pPr>
            <w:r w:rsidRPr="00D77F62">
              <w:t>244</w:t>
            </w:r>
          </w:p>
        </w:tc>
        <w:tc>
          <w:tcPr>
            <w:tcW w:w="659" w:type="pct"/>
            <w:tcBorders>
              <w:top w:val="single" w:sz="4" w:space="0" w:color="auto"/>
              <w:left w:val="nil"/>
              <w:bottom w:val="single" w:sz="4" w:space="0" w:color="auto"/>
              <w:right w:val="nil"/>
            </w:tcBorders>
          </w:tcPr>
          <w:p w14:paraId="595F4A52" w14:textId="7CA3E63D" w:rsidR="00280CF6" w:rsidRPr="00ED79A2" w:rsidRDefault="00280CF6" w:rsidP="00ED79A2">
            <w:pPr>
              <w:pStyle w:val="TableBodyText"/>
            </w:pPr>
            <w:r w:rsidRPr="00ED79A2">
              <w:t>206</w:t>
            </w:r>
          </w:p>
        </w:tc>
        <w:tc>
          <w:tcPr>
            <w:tcW w:w="659" w:type="pct"/>
            <w:tcBorders>
              <w:top w:val="single" w:sz="4" w:space="0" w:color="auto"/>
              <w:left w:val="nil"/>
              <w:bottom w:val="single" w:sz="4" w:space="0" w:color="auto"/>
              <w:right w:val="nil"/>
            </w:tcBorders>
          </w:tcPr>
          <w:p w14:paraId="37B32459" w14:textId="36C4B044" w:rsidR="00280CF6" w:rsidRPr="00ED79A2" w:rsidRDefault="00280CF6" w:rsidP="00ED79A2">
            <w:pPr>
              <w:pStyle w:val="TableBodyText"/>
            </w:pPr>
            <w:r w:rsidRPr="00ED79A2">
              <w:t>244</w:t>
            </w:r>
          </w:p>
        </w:tc>
      </w:tr>
      <w:tr w:rsidR="00280CF6" w14:paraId="01F475DD" w14:textId="77777777" w:rsidTr="11834A44">
        <w:tc>
          <w:tcPr>
            <w:tcW w:w="3023" w:type="pct"/>
            <w:tcBorders>
              <w:top w:val="single" w:sz="4" w:space="0" w:color="auto"/>
              <w:left w:val="nil"/>
              <w:bottom w:val="single" w:sz="4" w:space="0" w:color="auto"/>
              <w:right w:val="nil"/>
            </w:tcBorders>
          </w:tcPr>
          <w:p w14:paraId="5320700E" w14:textId="4D62270D" w:rsidR="00280CF6" w:rsidRPr="00496389" w:rsidRDefault="00CF6248" w:rsidP="00EC53AB">
            <w:pPr>
              <w:pStyle w:val="TableBodyText"/>
            </w:pPr>
            <w:r w:rsidRPr="00EC53AB">
              <w:t>Warrants investigation or further action</w:t>
            </w:r>
            <w:r w:rsidR="008E7D96" w:rsidRPr="00461A9D">
              <w:rPr>
                <w:rStyle w:val="Charactersuperscript"/>
              </w:rPr>
              <w:t>(</w:t>
            </w:r>
            <w:r w:rsidR="008E7D96">
              <w:rPr>
                <w:rStyle w:val="Charactersuperscript"/>
              </w:rPr>
              <w:t>b</w:t>
            </w:r>
            <w:r w:rsidR="008E7D96" w:rsidRPr="00461A9D">
              <w:rPr>
                <w:rStyle w:val="Charactersuperscript"/>
              </w:rPr>
              <w:t>)</w:t>
            </w:r>
          </w:p>
        </w:tc>
        <w:tc>
          <w:tcPr>
            <w:tcW w:w="659" w:type="pct"/>
            <w:tcBorders>
              <w:top w:val="single" w:sz="4" w:space="0" w:color="auto"/>
              <w:left w:val="nil"/>
              <w:bottom w:val="single" w:sz="4" w:space="0" w:color="auto"/>
              <w:right w:val="nil"/>
            </w:tcBorders>
            <w:shd w:val="clear" w:color="auto" w:fill="F2F2F2" w:themeFill="background1" w:themeFillShade="F2"/>
          </w:tcPr>
          <w:p w14:paraId="1E779E5B" w14:textId="3FCAB444" w:rsidR="00280CF6" w:rsidRPr="0060517F" w:rsidRDefault="00C67B13" w:rsidP="00496389">
            <w:pPr>
              <w:pStyle w:val="TableBodyTextrightalign"/>
              <w:rPr>
                <w:highlight w:val="green"/>
              </w:rPr>
            </w:pPr>
            <w:r w:rsidRPr="0060517F">
              <w:t>367</w:t>
            </w:r>
          </w:p>
        </w:tc>
        <w:tc>
          <w:tcPr>
            <w:tcW w:w="659" w:type="pct"/>
            <w:tcBorders>
              <w:top w:val="single" w:sz="4" w:space="0" w:color="auto"/>
              <w:left w:val="nil"/>
              <w:bottom w:val="single" w:sz="4" w:space="0" w:color="auto"/>
              <w:right w:val="nil"/>
            </w:tcBorders>
          </w:tcPr>
          <w:p w14:paraId="6E02D7A8" w14:textId="48B701D8" w:rsidR="00280CF6" w:rsidRPr="00ED79A2" w:rsidRDefault="00835D68" w:rsidP="00ED79A2">
            <w:pPr>
              <w:pStyle w:val="TableBodyText"/>
            </w:pPr>
            <w:r w:rsidRPr="00ED79A2">
              <w:t>505</w:t>
            </w:r>
          </w:p>
        </w:tc>
        <w:tc>
          <w:tcPr>
            <w:tcW w:w="659" w:type="pct"/>
            <w:tcBorders>
              <w:top w:val="single" w:sz="4" w:space="0" w:color="auto"/>
              <w:left w:val="nil"/>
              <w:bottom w:val="single" w:sz="4" w:space="0" w:color="auto"/>
              <w:right w:val="nil"/>
            </w:tcBorders>
          </w:tcPr>
          <w:p w14:paraId="7E18369F" w14:textId="2A0FDF36" w:rsidR="00280CF6" w:rsidRPr="00ED79A2" w:rsidRDefault="00256DD5" w:rsidP="00ED79A2">
            <w:pPr>
              <w:pStyle w:val="TableBodyText"/>
            </w:pPr>
            <w:r w:rsidRPr="00ED79A2">
              <w:t>829</w:t>
            </w:r>
          </w:p>
        </w:tc>
      </w:tr>
      <w:tr w:rsidR="001B625D" w14:paraId="5D42F7AE" w14:textId="77777777" w:rsidTr="11834A44">
        <w:tc>
          <w:tcPr>
            <w:tcW w:w="3023" w:type="pct"/>
            <w:tcBorders>
              <w:top w:val="single" w:sz="4" w:space="0" w:color="auto"/>
              <w:left w:val="nil"/>
              <w:bottom w:val="single" w:sz="4" w:space="0" w:color="auto"/>
              <w:right w:val="nil"/>
            </w:tcBorders>
          </w:tcPr>
          <w:p w14:paraId="105F5115" w14:textId="5E71D594" w:rsidR="00C80EBF" w:rsidRPr="00D77F62" w:rsidRDefault="005E3204">
            <w:pPr>
              <w:pStyle w:val="TableBodyText"/>
              <w:rPr>
                <w:rStyle w:val="Characterbold"/>
              </w:rPr>
            </w:pPr>
            <w:r w:rsidRPr="00D77F62">
              <w:rPr>
                <w:rStyle w:val="Characterbold"/>
              </w:rPr>
              <w:t>A</w:t>
            </w:r>
            <w:r w:rsidR="005360C3" w:rsidRPr="00D77F62">
              <w:rPr>
                <w:rStyle w:val="Characterbold"/>
              </w:rPr>
              <w:t>ctions</w:t>
            </w:r>
          </w:p>
        </w:tc>
        <w:tc>
          <w:tcPr>
            <w:tcW w:w="659" w:type="pct"/>
            <w:tcBorders>
              <w:top w:val="single" w:sz="4" w:space="0" w:color="auto"/>
              <w:left w:val="nil"/>
              <w:bottom w:val="single" w:sz="4" w:space="0" w:color="auto"/>
              <w:right w:val="nil"/>
            </w:tcBorders>
            <w:shd w:val="clear" w:color="auto" w:fill="F2F2F2" w:themeFill="background1" w:themeFillShade="F2"/>
          </w:tcPr>
          <w:p w14:paraId="33B65D1C" w14:textId="77777777" w:rsidR="00C80EBF" w:rsidRPr="00C80EBF" w:rsidRDefault="00C80EBF" w:rsidP="006164DC">
            <w:pPr>
              <w:pStyle w:val="TableBodyTextrightalign"/>
              <w:rPr>
                <w:b/>
                <w:highlight w:val="green"/>
              </w:rPr>
            </w:pPr>
          </w:p>
        </w:tc>
        <w:tc>
          <w:tcPr>
            <w:tcW w:w="659" w:type="pct"/>
            <w:tcBorders>
              <w:top w:val="single" w:sz="4" w:space="0" w:color="auto"/>
              <w:left w:val="nil"/>
              <w:bottom w:val="single" w:sz="4" w:space="0" w:color="auto"/>
              <w:right w:val="nil"/>
            </w:tcBorders>
          </w:tcPr>
          <w:p w14:paraId="761EC3C6" w14:textId="77777777" w:rsidR="00C80EBF" w:rsidRPr="00120BC0" w:rsidRDefault="00C80EBF">
            <w:pPr>
              <w:pStyle w:val="TableBodyTextrightalign"/>
            </w:pPr>
          </w:p>
        </w:tc>
        <w:tc>
          <w:tcPr>
            <w:tcW w:w="659" w:type="pct"/>
            <w:tcBorders>
              <w:top w:val="single" w:sz="4" w:space="0" w:color="auto"/>
              <w:left w:val="nil"/>
              <w:bottom w:val="single" w:sz="4" w:space="0" w:color="auto"/>
              <w:right w:val="nil"/>
            </w:tcBorders>
          </w:tcPr>
          <w:p w14:paraId="15498382" w14:textId="77777777" w:rsidR="00C80EBF" w:rsidRPr="001D50E4" w:rsidRDefault="00C80EBF">
            <w:pPr>
              <w:pStyle w:val="TableBodyTextrightalign"/>
            </w:pPr>
          </w:p>
        </w:tc>
      </w:tr>
      <w:tr w:rsidR="00294E00" w14:paraId="28CFA197" w14:textId="77777777" w:rsidTr="11834A44">
        <w:tc>
          <w:tcPr>
            <w:tcW w:w="3023" w:type="pct"/>
            <w:tcBorders>
              <w:top w:val="single" w:sz="4" w:space="0" w:color="auto"/>
              <w:left w:val="nil"/>
              <w:bottom w:val="single" w:sz="4" w:space="0" w:color="auto"/>
              <w:right w:val="nil"/>
            </w:tcBorders>
          </w:tcPr>
          <w:p w14:paraId="060C842C" w14:textId="65974071" w:rsidR="00294E00" w:rsidRPr="0312517E" w:rsidRDefault="00CF6248" w:rsidP="00496389">
            <w:pPr>
              <w:pStyle w:val="TableBodyText"/>
            </w:pPr>
            <w:r>
              <w:t xml:space="preserve">IBAC review or </w:t>
            </w:r>
            <w:r w:rsidR="00294E00">
              <w:t>investigat</w:t>
            </w:r>
            <w:r>
              <w:t>ion</w:t>
            </w:r>
            <w:r w:rsidR="00251C09" w:rsidRPr="00461A9D">
              <w:rPr>
                <w:rStyle w:val="Charactersuperscript"/>
              </w:rPr>
              <w:t>(</w:t>
            </w:r>
            <w:r w:rsidR="00251C09">
              <w:rPr>
                <w:rStyle w:val="Charactersuperscript"/>
              </w:rPr>
              <w:t>c</w:t>
            </w:r>
            <w:r w:rsidR="00251C09" w:rsidRPr="00461A9D">
              <w:rPr>
                <w:rStyle w:val="Charactersuperscript"/>
              </w:rPr>
              <w:t>)</w:t>
            </w:r>
          </w:p>
        </w:tc>
        <w:tc>
          <w:tcPr>
            <w:tcW w:w="659" w:type="pct"/>
            <w:tcBorders>
              <w:top w:val="single" w:sz="4" w:space="0" w:color="auto"/>
              <w:left w:val="nil"/>
              <w:bottom w:val="single" w:sz="4" w:space="0" w:color="auto"/>
              <w:right w:val="nil"/>
            </w:tcBorders>
            <w:shd w:val="clear" w:color="auto" w:fill="F2F2F2" w:themeFill="background1" w:themeFillShade="F2"/>
          </w:tcPr>
          <w:p w14:paraId="293736D8" w14:textId="4FB038E2" w:rsidR="00294E00" w:rsidRPr="00496389" w:rsidRDefault="002E04BC" w:rsidP="00496389">
            <w:pPr>
              <w:pStyle w:val="TableBodyTextrightalign"/>
              <w:rPr>
                <w:rStyle w:val="Characterbold"/>
                <w:highlight w:val="green"/>
              </w:rPr>
            </w:pPr>
            <w:r>
              <w:rPr>
                <w:rStyle w:val="Characterbold"/>
              </w:rPr>
              <w:t>201</w:t>
            </w:r>
          </w:p>
        </w:tc>
        <w:tc>
          <w:tcPr>
            <w:tcW w:w="659" w:type="pct"/>
            <w:tcBorders>
              <w:top w:val="single" w:sz="4" w:space="0" w:color="auto"/>
              <w:left w:val="nil"/>
              <w:bottom w:val="single" w:sz="4" w:space="0" w:color="auto"/>
              <w:right w:val="nil"/>
            </w:tcBorders>
          </w:tcPr>
          <w:p w14:paraId="463FD269" w14:textId="615C4827" w:rsidR="00294E00" w:rsidRPr="00496389" w:rsidRDefault="002E04BC" w:rsidP="00496389">
            <w:pPr>
              <w:pStyle w:val="TableBodyTextrightalign"/>
              <w:rPr>
                <w:rStyle w:val="Characterbold"/>
              </w:rPr>
            </w:pPr>
            <w:r>
              <w:rPr>
                <w:rStyle w:val="Characterbold"/>
              </w:rPr>
              <w:t>268</w:t>
            </w:r>
          </w:p>
        </w:tc>
        <w:tc>
          <w:tcPr>
            <w:tcW w:w="659" w:type="pct"/>
            <w:tcBorders>
              <w:top w:val="single" w:sz="4" w:space="0" w:color="auto"/>
              <w:left w:val="nil"/>
              <w:bottom w:val="single" w:sz="4" w:space="0" w:color="auto"/>
              <w:right w:val="nil"/>
            </w:tcBorders>
          </w:tcPr>
          <w:p w14:paraId="1977ED19" w14:textId="0D1AE4C8" w:rsidR="00294E00" w:rsidRPr="00496389" w:rsidRDefault="002E04BC" w:rsidP="00496389">
            <w:pPr>
              <w:pStyle w:val="TableBodyTextrightalign"/>
              <w:rPr>
                <w:rStyle w:val="Characterbold"/>
              </w:rPr>
            </w:pPr>
            <w:r>
              <w:rPr>
                <w:rStyle w:val="Characterbold"/>
              </w:rPr>
              <w:t>69</w:t>
            </w:r>
          </w:p>
        </w:tc>
      </w:tr>
      <w:tr w:rsidR="00294E00" w14:paraId="5000EF34" w14:textId="77777777" w:rsidTr="11834A44">
        <w:tc>
          <w:tcPr>
            <w:tcW w:w="3023" w:type="pct"/>
            <w:tcBorders>
              <w:top w:val="single" w:sz="4" w:space="0" w:color="auto"/>
              <w:left w:val="nil"/>
              <w:bottom w:val="single" w:sz="4" w:space="0" w:color="auto"/>
              <w:right w:val="nil"/>
            </w:tcBorders>
          </w:tcPr>
          <w:p w14:paraId="141A5409" w14:textId="2ED57123" w:rsidR="00294E00" w:rsidRPr="0312517E" w:rsidRDefault="00294E00" w:rsidP="00496389">
            <w:pPr>
              <w:pStyle w:val="TableListBullet"/>
            </w:pPr>
            <w:r>
              <w:t>preliminary inquiries</w:t>
            </w:r>
          </w:p>
        </w:tc>
        <w:tc>
          <w:tcPr>
            <w:tcW w:w="659" w:type="pct"/>
            <w:tcBorders>
              <w:top w:val="single" w:sz="4" w:space="0" w:color="auto"/>
              <w:left w:val="nil"/>
              <w:bottom w:val="single" w:sz="4" w:space="0" w:color="auto"/>
              <w:right w:val="nil"/>
            </w:tcBorders>
            <w:shd w:val="clear" w:color="auto" w:fill="F2F2F2" w:themeFill="background1" w:themeFillShade="F2"/>
          </w:tcPr>
          <w:p w14:paraId="51169983" w14:textId="064583FE" w:rsidR="00294E00" w:rsidRPr="00ED79A2" w:rsidRDefault="00294E00" w:rsidP="00ED79A2">
            <w:pPr>
              <w:pStyle w:val="TableBodyText"/>
              <w:rPr>
                <w:highlight w:val="green"/>
              </w:rPr>
            </w:pPr>
            <w:r w:rsidRPr="00ED79A2">
              <w:t>4</w:t>
            </w:r>
          </w:p>
        </w:tc>
        <w:tc>
          <w:tcPr>
            <w:tcW w:w="659" w:type="pct"/>
            <w:tcBorders>
              <w:top w:val="single" w:sz="4" w:space="0" w:color="auto"/>
              <w:left w:val="nil"/>
              <w:bottom w:val="single" w:sz="4" w:space="0" w:color="auto"/>
              <w:right w:val="nil"/>
            </w:tcBorders>
          </w:tcPr>
          <w:p w14:paraId="6B0C11ED" w14:textId="33E549F7" w:rsidR="00294E00" w:rsidRPr="005360C3" w:rsidRDefault="00294E00" w:rsidP="005360C3">
            <w:pPr>
              <w:pStyle w:val="TableBodyTextrightalign"/>
            </w:pPr>
            <w:r w:rsidRPr="005360C3">
              <w:t>6</w:t>
            </w:r>
          </w:p>
        </w:tc>
        <w:tc>
          <w:tcPr>
            <w:tcW w:w="659" w:type="pct"/>
            <w:tcBorders>
              <w:top w:val="single" w:sz="4" w:space="0" w:color="auto"/>
              <w:left w:val="nil"/>
              <w:bottom w:val="single" w:sz="4" w:space="0" w:color="auto"/>
              <w:right w:val="nil"/>
            </w:tcBorders>
          </w:tcPr>
          <w:p w14:paraId="49189B0C" w14:textId="7E536663" w:rsidR="00294E00" w:rsidRPr="005360C3" w:rsidRDefault="00294E00" w:rsidP="005360C3">
            <w:pPr>
              <w:pStyle w:val="TableBodyTextrightalign"/>
            </w:pPr>
            <w:r w:rsidRPr="005360C3">
              <w:t>2</w:t>
            </w:r>
          </w:p>
        </w:tc>
      </w:tr>
      <w:tr w:rsidR="00294E00" w14:paraId="1D39BDE7" w14:textId="77777777" w:rsidTr="11834A44">
        <w:tc>
          <w:tcPr>
            <w:tcW w:w="3023" w:type="pct"/>
            <w:tcBorders>
              <w:top w:val="single" w:sz="4" w:space="0" w:color="auto"/>
              <w:left w:val="nil"/>
              <w:bottom w:val="single" w:sz="4" w:space="0" w:color="auto"/>
              <w:right w:val="nil"/>
            </w:tcBorders>
          </w:tcPr>
          <w:p w14:paraId="30487A52" w14:textId="57FB31CF" w:rsidR="00294E00" w:rsidRPr="0312517E" w:rsidRDefault="00294E00" w:rsidP="00496389">
            <w:pPr>
              <w:pStyle w:val="TableListBullet"/>
            </w:pPr>
            <w:r>
              <w:t>investigations</w:t>
            </w:r>
          </w:p>
        </w:tc>
        <w:tc>
          <w:tcPr>
            <w:tcW w:w="659" w:type="pct"/>
            <w:tcBorders>
              <w:top w:val="single" w:sz="4" w:space="0" w:color="auto"/>
              <w:left w:val="nil"/>
              <w:bottom w:val="single" w:sz="4" w:space="0" w:color="auto"/>
              <w:right w:val="nil"/>
            </w:tcBorders>
            <w:shd w:val="clear" w:color="auto" w:fill="F2F2F2" w:themeFill="background1" w:themeFillShade="F2"/>
          </w:tcPr>
          <w:p w14:paraId="67896F08" w14:textId="608BE61D" w:rsidR="00294E00" w:rsidRPr="00ED79A2" w:rsidRDefault="00294E00" w:rsidP="00ED79A2">
            <w:pPr>
              <w:pStyle w:val="TableBodyText"/>
              <w:rPr>
                <w:highlight w:val="green"/>
              </w:rPr>
            </w:pPr>
            <w:r w:rsidRPr="00ED79A2">
              <w:t>5</w:t>
            </w:r>
          </w:p>
        </w:tc>
        <w:tc>
          <w:tcPr>
            <w:tcW w:w="659" w:type="pct"/>
            <w:tcBorders>
              <w:top w:val="single" w:sz="4" w:space="0" w:color="auto"/>
              <w:left w:val="nil"/>
              <w:bottom w:val="single" w:sz="4" w:space="0" w:color="auto"/>
              <w:right w:val="nil"/>
            </w:tcBorders>
          </w:tcPr>
          <w:p w14:paraId="1E757E8B" w14:textId="7207D401" w:rsidR="00294E00" w:rsidRPr="005360C3" w:rsidRDefault="00294E00" w:rsidP="005360C3">
            <w:pPr>
              <w:pStyle w:val="TableBodyTextrightalign"/>
            </w:pPr>
            <w:r w:rsidRPr="005360C3">
              <w:t>4</w:t>
            </w:r>
          </w:p>
        </w:tc>
        <w:tc>
          <w:tcPr>
            <w:tcW w:w="659" w:type="pct"/>
            <w:tcBorders>
              <w:top w:val="single" w:sz="4" w:space="0" w:color="auto"/>
              <w:left w:val="nil"/>
              <w:bottom w:val="single" w:sz="4" w:space="0" w:color="auto"/>
              <w:right w:val="nil"/>
            </w:tcBorders>
          </w:tcPr>
          <w:p w14:paraId="1C845EE8" w14:textId="315D12AA" w:rsidR="00294E00" w:rsidRPr="005360C3" w:rsidRDefault="00294E00" w:rsidP="005360C3">
            <w:pPr>
              <w:pStyle w:val="TableBodyTextrightalign"/>
            </w:pPr>
            <w:r w:rsidRPr="005360C3">
              <w:t>3</w:t>
            </w:r>
          </w:p>
        </w:tc>
      </w:tr>
      <w:tr w:rsidR="00592459" w:rsidRPr="00F330AA" w14:paraId="54D66E2C" w14:textId="2A0289F6" w:rsidTr="11834A44">
        <w:tc>
          <w:tcPr>
            <w:tcW w:w="3023" w:type="pct"/>
            <w:tcBorders>
              <w:top w:val="single" w:sz="4" w:space="0" w:color="auto"/>
              <w:left w:val="nil"/>
              <w:bottom w:val="single" w:sz="4" w:space="0" w:color="auto"/>
              <w:right w:val="nil"/>
            </w:tcBorders>
          </w:tcPr>
          <w:p w14:paraId="65438D82" w14:textId="33EAEE9E" w:rsidR="004D7ACC" w:rsidRPr="00F330AA" w:rsidRDefault="00310172" w:rsidP="00496389">
            <w:pPr>
              <w:pStyle w:val="TableListBullet"/>
              <w:rPr>
                <w:lang w:val="en-US"/>
              </w:rPr>
            </w:pPr>
            <w:r w:rsidRPr="00F330AA">
              <w:rPr>
                <w:lang w:val="en-US"/>
              </w:rPr>
              <w:t>reviewed by IBAC</w:t>
            </w:r>
          </w:p>
        </w:tc>
        <w:tc>
          <w:tcPr>
            <w:tcW w:w="659" w:type="pct"/>
            <w:tcBorders>
              <w:top w:val="single" w:sz="4" w:space="0" w:color="auto"/>
              <w:left w:val="nil"/>
              <w:bottom w:val="single" w:sz="4" w:space="0" w:color="auto"/>
              <w:right w:val="nil"/>
            </w:tcBorders>
            <w:shd w:val="clear" w:color="auto" w:fill="F2F2F2" w:themeFill="background1" w:themeFillShade="F2"/>
          </w:tcPr>
          <w:p w14:paraId="6B989B8D" w14:textId="346580F5" w:rsidR="004D7ACC" w:rsidRPr="00ED79A2" w:rsidRDefault="00F330AA" w:rsidP="00ED79A2">
            <w:pPr>
              <w:pStyle w:val="TableBodyText"/>
              <w:rPr>
                <w:rFonts w:eastAsiaTheme="minorHAnsi"/>
              </w:rPr>
            </w:pPr>
            <w:r w:rsidRPr="00ED79A2">
              <w:rPr>
                <w:rFonts w:eastAsiaTheme="minorHAnsi"/>
              </w:rPr>
              <w:t>192</w:t>
            </w:r>
          </w:p>
        </w:tc>
        <w:tc>
          <w:tcPr>
            <w:tcW w:w="659" w:type="pct"/>
            <w:tcBorders>
              <w:top w:val="single" w:sz="4" w:space="0" w:color="auto"/>
              <w:left w:val="nil"/>
              <w:bottom w:val="single" w:sz="4" w:space="0" w:color="auto"/>
              <w:right w:val="nil"/>
            </w:tcBorders>
          </w:tcPr>
          <w:p w14:paraId="58945C91" w14:textId="78DF5E2E" w:rsidR="004D7ACC" w:rsidRPr="00ED79A2" w:rsidRDefault="00F330AA" w:rsidP="00ED79A2">
            <w:pPr>
              <w:pStyle w:val="TableBodyText"/>
              <w:rPr>
                <w:rFonts w:eastAsiaTheme="minorHAnsi"/>
              </w:rPr>
            </w:pPr>
            <w:r w:rsidRPr="00ED79A2">
              <w:rPr>
                <w:rFonts w:eastAsiaTheme="minorHAnsi"/>
              </w:rPr>
              <w:t>258</w:t>
            </w:r>
          </w:p>
        </w:tc>
        <w:tc>
          <w:tcPr>
            <w:tcW w:w="659" w:type="pct"/>
            <w:tcBorders>
              <w:top w:val="single" w:sz="4" w:space="0" w:color="auto"/>
              <w:left w:val="nil"/>
              <w:bottom w:val="single" w:sz="4" w:space="0" w:color="auto"/>
              <w:right w:val="nil"/>
            </w:tcBorders>
          </w:tcPr>
          <w:p w14:paraId="4EB019B1" w14:textId="6A44DB90" w:rsidR="004D7ACC" w:rsidRPr="00ED79A2" w:rsidRDefault="00F330AA" w:rsidP="00ED79A2">
            <w:pPr>
              <w:pStyle w:val="TableBodyText"/>
              <w:rPr>
                <w:rFonts w:eastAsiaTheme="minorHAnsi"/>
              </w:rPr>
            </w:pPr>
            <w:r w:rsidRPr="00ED79A2">
              <w:rPr>
                <w:rFonts w:eastAsiaTheme="minorHAnsi"/>
              </w:rPr>
              <w:t>64</w:t>
            </w:r>
          </w:p>
        </w:tc>
      </w:tr>
    </w:tbl>
    <w:p w14:paraId="00860934" w14:textId="7DB4A881" w:rsidR="00C63F2B" w:rsidRPr="00F330AA" w:rsidRDefault="00465B9C" w:rsidP="00C63F2B">
      <w:pPr>
        <w:pStyle w:val="TableNote"/>
      </w:pPr>
      <w:r w:rsidRPr="00F330AA">
        <w:t>Notes</w:t>
      </w:r>
    </w:p>
    <w:p w14:paraId="311BD0B4" w14:textId="11497C2B" w:rsidR="00C63F2B" w:rsidRDefault="00C63F2B" w:rsidP="00C63F2B">
      <w:pPr>
        <w:pStyle w:val="TableNote"/>
      </w:pPr>
      <w:r w:rsidRPr="003965EA">
        <w:rPr>
          <w:rStyle w:val="Charactersuperscript"/>
        </w:rPr>
        <w:t>(a)</w:t>
      </w:r>
      <w:r>
        <w:t xml:space="preserve"> PIDs and PID notifications are assessable disclosures under the PID Act received by IBAC or notified to IBAC</w:t>
      </w:r>
      <w:r w:rsidR="008F19F4">
        <w:t>.</w:t>
      </w:r>
    </w:p>
    <w:p w14:paraId="364FB8F7" w14:textId="77777777" w:rsidR="002B6E95" w:rsidRDefault="00C63F2B" w:rsidP="002B6E95">
      <w:pPr>
        <w:pStyle w:val="TableNote"/>
      </w:pPr>
      <w:r w:rsidRPr="003965EA">
        <w:rPr>
          <w:rStyle w:val="Charactersuperscript"/>
        </w:rPr>
        <w:t>(b)</w:t>
      </w:r>
      <w:r>
        <w:t xml:space="preserve"> </w:t>
      </w:r>
      <w:r w:rsidR="002B6E95">
        <w:t>Warrants investigation or further action includes action by IBAC or another appropriate agency.</w:t>
      </w:r>
    </w:p>
    <w:p w14:paraId="7F429BF2" w14:textId="14EE11EC" w:rsidR="00C63F2B" w:rsidRPr="00C63F2B" w:rsidRDefault="002B6E95" w:rsidP="00C63F2B">
      <w:pPr>
        <w:pStyle w:val="TableNote"/>
      </w:pPr>
      <w:r w:rsidRPr="002B6E95">
        <w:rPr>
          <w:rStyle w:val="Charactersuperscript"/>
        </w:rPr>
        <w:t>(c)</w:t>
      </w:r>
      <w:r>
        <w:t xml:space="preserve">  Review and investigation of matters may arise from a complaint or notification made in a different reporting period.</w:t>
      </w:r>
    </w:p>
    <w:p w14:paraId="5703B368" w14:textId="5A58A9A3" w:rsidR="008F19F4" w:rsidRDefault="008F19F4" w:rsidP="008F19F4">
      <w:pPr>
        <w:pStyle w:val="BodyText"/>
      </w:pPr>
      <w:r>
        <w:fldChar w:fldCharType="begin"/>
      </w:r>
      <w:r>
        <w:instrText xml:space="preserve"> REF _Ref142650864 \h </w:instrText>
      </w:r>
      <w:r>
        <w:fldChar w:fldCharType="separate"/>
      </w:r>
      <w:r>
        <w:t xml:space="preserve">Table </w:t>
      </w:r>
      <w:r>
        <w:rPr>
          <w:noProof/>
        </w:rPr>
        <w:t>9</w:t>
      </w:r>
      <w:r>
        <w:fldChar w:fldCharType="end"/>
      </w:r>
      <w:r>
        <w:t xml:space="preserve"> provides a summary of types of police misconduct complaints and notifications made.</w:t>
      </w:r>
    </w:p>
    <w:p w14:paraId="3BA0A6DC" w14:textId="13BEADD7" w:rsidR="00023225" w:rsidRPr="001541AB" w:rsidRDefault="008F19F4" w:rsidP="00834775">
      <w:pPr>
        <w:pStyle w:val="Caption"/>
      </w:pPr>
      <w:bookmarkStart w:id="82" w:name="_Ref142650864"/>
      <w:bookmarkStart w:id="83" w:name="_Ref149135844"/>
      <w:r>
        <w:t xml:space="preserve">Table </w:t>
      </w:r>
      <w:r>
        <w:fldChar w:fldCharType="begin"/>
      </w:r>
      <w:r>
        <w:instrText xml:space="preserve"> SEQ Table \* ARABIC </w:instrText>
      </w:r>
      <w:r>
        <w:fldChar w:fldCharType="separate"/>
      </w:r>
      <w:r>
        <w:rPr>
          <w:noProof/>
        </w:rPr>
        <w:t>9</w:t>
      </w:r>
      <w:r>
        <w:fldChar w:fldCharType="end"/>
      </w:r>
      <w:bookmarkEnd w:id="82"/>
      <w:r>
        <w:t xml:space="preserve">: Victoria Police allegations assessed during </w:t>
      </w:r>
      <w:r w:rsidR="000A1691">
        <w:t>2022/23</w:t>
      </w:r>
      <w:r w:rsidR="00FA625D">
        <w:t>, by issue</w:t>
      </w:r>
      <w:bookmarkEnd w:id="83"/>
    </w:p>
    <w:tbl>
      <w:tblPr>
        <w:tblStyle w:val="CustomTabledetailed"/>
        <w:tblW w:w="4397" w:type="pct"/>
        <w:tblLook w:val="0620" w:firstRow="1" w:lastRow="0" w:firstColumn="0" w:lastColumn="0" w:noHBand="1" w:noVBand="1"/>
      </w:tblPr>
      <w:tblGrid>
        <w:gridCol w:w="2835"/>
        <w:gridCol w:w="5103"/>
      </w:tblGrid>
      <w:tr w:rsidR="003545E6" w14:paraId="5F089F17" w14:textId="77777777" w:rsidTr="00620867">
        <w:trPr>
          <w:cnfStyle w:val="100000000000" w:firstRow="1" w:lastRow="0" w:firstColumn="0" w:lastColumn="0" w:oddVBand="0" w:evenVBand="0" w:oddHBand="0" w:evenHBand="0" w:firstRowFirstColumn="0" w:firstRowLastColumn="0" w:lastRowFirstColumn="0" w:lastRowLastColumn="0"/>
        </w:trPr>
        <w:tc>
          <w:tcPr>
            <w:tcW w:w="1786" w:type="pct"/>
            <w:tcBorders>
              <w:left w:val="nil"/>
            </w:tcBorders>
            <w:hideMark/>
          </w:tcPr>
          <w:p w14:paraId="4D6DED0B" w14:textId="77777777" w:rsidR="003545E6" w:rsidRDefault="003545E6">
            <w:pPr>
              <w:pStyle w:val="TableHeading1"/>
              <w:rPr>
                <w:lang w:val="en-US" w:eastAsia="en-US"/>
              </w:rPr>
            </w:pPr>
            <w:r>
              <w:rPr>
                <w:lang w:eastAsia="en-US"/>
              </w:rPr>
              <w:t>Classification</w:t>
            </w:r>
          </w:p>
        </w:tc>
        <w:tc>
          <w:tcPr>
            <w:tcW w:w="3214" w:type="pct"/>
            <w:vAlign w:val="center"/>
            <w:hideMark/>
          </w:tcPr>
          <w:p w14:paraId="0D2BA93F" w14:textId="242E6CA7" w:rsidR="003545E6" w:rsidRPr="001A1977" w:rsidRDefault="047EFAF7">
            <w:pPr>
              <w:pStyle w:val="TableHeading3rightalign"/>
            </w:pPr>
            <w:r w:rsidRPr="11834A44">
              <w:rPr>
                <w:lang w:eastAsia="en-US"/>
              </w:rPr>
              <w:t>Proportion</w:t>
            </w:r>
            <w:r w:rsidR="025C984E" w:rsidRPr="11834A44">
              <w:rPr>
                <w:lang w:eastAsia="en-US"/>
              </w:rPr>
              <w:t xml:space="preserve"> of </w:t>
            </w:r>
            <w:r w:rsidR="008F19F4">
              <w:rPr>
                <w:lang w:eastAsia="en-US"/>
              </w:rPr>
              <w:t xml:space="preserve">total </w:t>
            </w:r>
            <w:r w:rsidR="025C984E" w:rsidRPr="11834A44">
              <w:rPr>
                <w:lang w:eastAsia="en-US"/>
              </w:rPr>
              <w:t>allegations</w:t>
            </w:r>
            <w:r w:rsidR="008F19F4">
              <w:rPr>
                <w:lang w:eastAsia="en-US"/>
              </w:rPr>
              <w:t xml:space="preserve"> assessed by IBAC</w:t>
            </w:r>
            <w:r w:rsidR="005360C3" w:rsidRPr="11834A44">
              <w:rPr>
                <w:lang w:eastAsia="en-US"/>
              </w:rPr>
              <w:t xml:space="preserve"> </w:t>
            </w:r>
            <w:r w:rsidR="005360C3">
              <w:t>(%)</w:t>
            </w:r>
          </w:p>
        </w:tc>
      </w:tr>
      <w:tr w:rsidR="00A25883" w14:paraId="2CC26D38" w14:textId="77777777" w:rsidTr="00620867">
        <w:tc>
          <w:tcPr>
            <w:tcW w:w="1786" w:type="pct"/>
            <w:tcBorders>
              <w:top w:val="dotted" w:sz="4" w:space="0" w:color="auto"/>
              <w:left w:val="nil"/>
              <w:bottom w:val="dotted" w:sz="4" w:space="0" w:color="auto"/>
              <w:right w:val="nil"/>
            </w:tcBorders>
            <w:hideMark/>
          </w:tcPr>
          <w:p w14:paraId="68CC20F3" w14:textId="77777777" w:rsidR="00A25883" w:rsidRDefault="00A25883" w:rsidP="00A25883">
            <w:pPr>
              <w:pStyle w:val="TableBodyText"/>
              <w:rPr>
                <w:lang w:eastAsia="en-US"/>
              </w:rPr>
            </w:pPr>
            <w:r>
              <w:rPr>
                <w:lang w:eastAsia="en-US"/>
              </w:rPr>
              <w:t>Breach of professional boundaries</w:t>
            </w:r>
          </w:p>
        </w:tc>
        <w:tc>
          <w:tcPr>
            <w:tcW w:w="3214" w:type="pct"/>
            <w:tcBorders>
              <w:top w:val="dotted" w:sz="4" w:space="0" w:color="auto"/>
              <w:left w:val="nil"/>
              <w:bottom w:val="dotted" w:sz="4" w:space="0" w:color="auto"/>
              <w:right w:val="nil"/>
            </w:tcBorders>
            <w:vAlign w:val="bottom"/>
          </w:tcPr>
          <w:p w14:paraId="7A19042F" w14:textId="48D2190B" w:rsidR="00A25883" w:rsidRPr="00592459" w:rsidRDefault="00A25883" w:rsidP="00592459">
            <w:pPr>
              <w:pStyle w:val="TableBodyTextrightalign"/>
            </w:pPr>
            <w:r w:rsidRPr="00592459">
              <w:t>26.1</w:t>
            </w:r>
          </w:p>
        </w:tc>
      </w:tr>
      <w:tr w:rsidR="00A25883" w14:paraId="26A382E7" w14:textId="77777777" w:rsidTr="00620867">
        <w:tc>
          <w:tcPr>
            <w:tcW w:w="1786" w:type="pct"/>
            <w:tcBorders>
              <w:top w:val="dotted" w:sz="4" w:space="0" w:color="auto"/>
              <w:left w:val="nil"/>
              <w:bottom w:val="dotted" w:sz="4" w:space="0" w:color="auto"/>
              <w:right w:val="nil"/>
            </w:tcBorders>
            <w:hideMark/>
          </w:tcPr>
          <w:p w14:paraId="39E4D7C8" w14:textId="77777777" w:rsidR="00A25883" w:rsidRDefault="00A25883" w:rsidP="00A25883">
            <w:pPr>
              <w:pStyle w:val="TableBodyText"/>
              <w:rPr>
                <w:lang w:eastAsia="en-US"/>
              </w:rPr>
            </w:pPr>
            <w:r>
              <w:rPr>
                <w:lang w:eastAsia="en-US"/>
              </w:rPr>
              <w:t xml:space="preserve">Bribery and inducements </w:t>
            </w:r>
          </w:p>
        </w:tc>
        <w:tc>
          <w:tcPr>
            <w:tcW w:w="3214" w:type="pct"/>
            <w:tcBorders>
              <w:top w:val="dotted" w:sz="4" w:space="0" w:color="auto"/>
              <w:left w:val="nil"/>
              <w:bottom w:val="dotted" w:sz="4" w:space="0" w:color="auto"/>
              <w:right w:val="nil"/>
            </w:tcBorders>
            <w:vAlign w:val="bottom"/>
          </w:tcPr>
          <w:p w14:paraId="1B36F6B7" w14:textId="24B75CE5" w:rsidR="00A25883" w:rsidRPr="00592459" w:rsidRDefault="00A25883" w:rsidP="00592459">
            <w:pPr>
              <w:pStyle w:val="TableBodyTextrightalign"/>
            </w:pPr>
            <w:r w:rsidRPr="00592459">
              <w:t>0.3</w:t>
            </w:r>
          </w:p>
        </w:tc>
      </w:tr>
      <w:tr w:rsidR="00A25883" w14:paraId="7861C6C4" w14:textId="77777777" w:rsidTr="00620867">
        <w:tc>
          <w:tcPr>
            <w:tcW w:w="1786" w:type="pct"/>
            <w:tcBorders>
              <w:top w:val="dotted" w:sz="4" w:space="0" w:color="auto"/>
              <w:left w:val="nil"/>
              <w:bottom w:val="dotted" w:sz="4" w:space="0" w:color="auto"/>
              <w:right w:val="nil"/>
            </w:tcBorders>
            <w:hideMark/>
          </w:tcPr>
          <w:p w14:paraId="69E1A923" w14:textId="77777777" w:rsidR="00A25883" w:rsidRDefault="00A25883" w:rsidP="00A25883">
            <w:pPr>
              <w:pStyle w:val="TableBodyText"/>
              <w:rPr>
                <w:lang w:eastAsia="en-US"/>
              </w:rPr>
            </w:pPr>
            <w:r>
              <w:rPr>
                <w:lang w:eastAsia="en-US"/>
              </w:rPr>
              <w:t>Collusion</w:t>
            </w:r>
          </w:p>
        </w:tc>
        <w:tc>
          <w:tcPr>
            <w:tcW w:w="3214" w:type="pct"/>
            <w:tcBorders>
              <w:top w:val="dotted" w:sz="4" w:space="0" w:color="auto"/>
              <w:left w:val="nil"/>
              <w:bottom w:val="dotted" w:sz="4" w:space="0" w:color="auto"/>
              <w:right w:val="nil"/>
            </w:tcBorders>
            <w:vAlign w:val="bottom"/>
          </w:tcPr>
          <w:p w14:paraId="1122A006" w14:textId="04D39125" w:rsidR="00A25883" w:rsidRPr="00592459" w:rsidRDefault="00A25883" w:rsidP="00592459">
            <w:pPr>
              <w:pStyle w:val="TableBodyTextrightalign"/>
            </w:pPr>
            <w:r w:rsidRPr="00592459">
              <w:t>1.5</w:t>
            </w:r>
          </w:p>
        </w:tc>
      </w:tr>
      <w:tr w:rsidR="00A25883" w14:paraId="2FC6CF3D" w14:textId="77777777" w:rsidTr="00620867">
        <w:tc>
          <w:tcPr>
            <w:tcW w:w="1786" w:type="pct"/>
            <w:tcBorders>
              <w:top w:val="dotted" w:sz="4" w:space="0" w:color="auto"/>
              <w:left w:val="nil"/>
              <w:bottom w:val="dotted" w:sz="4" w:space="0" w:color="auto"/>
              <w:right w:val="nil"/>
            </w:tcBorders>
            <w:hideMark/>
          </w:tcPr>
          <w:p w14:paraId="5A133D12" w14:textId="77777777" w:rsidR="00A25883" w:rsidRDefault="00A25883" w:rsidP="00A25883">
            <w:pPr>
              <w:pStyle w:val="TableBodyText"/>
              <w:rPr>
                <w:lang w:eastAsia="en-US"/>
              </w:rPr>
            </w:pPr>
            <w:r>
              <w:rPr>
                <w:lang w:eastAsia="en-US"/>
              </w:rPr>
              <w:t>Criminal behaviour, drugs and vices</w:t>
            </w:r>
          </w:p>
        </w:tc>
        <w:tc>
          <w:tcPr>
            <w:tcW w:w="3214" w:type="pct"/>
            <w:tcBorders>
              <w:top w:val="dotted" w:sz="4" w:space="0" w:color="auto"/>
              <w:left w:val="nil"/>
              <w:bottom w:val="dotted" w:sz="4" w:space="0" w:color="auto"/>
              <w:right w:val="nil"/>
            </w:tcBorders>
            <w:vAlign w:val="bottom"/>
          </w:tcPr>
          <w:p w14:paraId="2F1ABCB9" w14:textId="0E6A41E3" w:rsidR="00A25883" w:rsidRPr="00592459" w:rsidRDefault="00A25883" w:rsidP="00592459">
            <w:pPr>
              <w:pStyle w:val="TableBodyTextrightalign"/>
            </w:pPr>
            <w:r w:rsidRPr="00592459">
              <w:t>4.6</w:t>
            </w:r>
          </w:p>
        </w:tc>
      </w:tr>
      <w:tr w:rsidR="00A25883" w14:paraId="524EDC33" w14:textId="77777777" w:rsidTr="00620867">
        <w:tc>
          <w:tcPr>
            <w:tcW w:w="1786" w:type="pct"/>
            <w:tcBorders>
              <w:top w:val="dotted" w:sz="4" w:space="0" w:color="auto"/>
              <w:left w:val="nil"/>
              <w:bottom w:val="dotted" w:sz="4" w:space="0" w:color="auto"/>
              <w:right w:val="nil"/>
            </w:tcBorders>
            <w:hideMark/>
          </w:tcPr>
          <w:p w14:paraId="79091C51" w14:textId="77777777" w:rsidR="00A25883" w:rsidRDefault="00A25883" w:rsidP="00A25883">
            <w:pPr>
              <w:pStyle w:val="TableBodyText"/>
              <w:rPr>
                <w:lang w:eastAsia="en-US"/>
              </w:rPr>
            </w:pPr>
            <w:r>
              <w:rPr>
                <w:lang w:eastAsia="en-US"/>
              </w:rPr>
              <w:t>Extortion</w:t>
            </w:r>
          </w:p>
        </w:tc>
        <w:tc>
          <w:tcPr>
            <w:tcW w:w="3214" w:type="pct"/>
            <w:tcBorders>
              <w:top w:val="dotted" w:sz="4" w:space="0" w:color="auto"/>
              <w:left w:val="nil"/>
              <w:bottom w:val="dotted" w:sz="4" w:space="0" w:color="auto"/>
              <w:right w:val="nil"/>
            </w:tcBorders>
            <w:vAlign w:val="bottom"/>
          </w:tcPr>
          <w:p w14:paraId="6D90425D" w14:textId="1A5A91E8" w:rsidR="00A25883" w:rsidRPr="00592459" w:rsidRDefault="00A25883" w:rsidP="00592459">
            <w:pPr>
              <w:pStyle w:val="TableBodyTextrightalign"/>
            </w:pPr>
            <w:r w:rsidRPr="00592459">
              <w:t>0.2</w:t>
            </w:r>
          </w:p>
        </w:tc>
      </w:tr>
      <w:tr w:rsidR="00A25883" w14:paraId="5F793A1F" w14:textId="77777777" w:rsidTr="00620867">
        <w:tc>
          <w:tcPr>
            <w:tcW w:w="1786" w:type="pct"/>
            <w:tcBorders>
              <w:top w:val="dotted" w:sz="4" w:space="0" w:color="auto"/>
              <w:left w:val="nil"/>
              <w:bottom w:val="dotted" w:sz="4" w:space="0" w:color="auto"/>
              <w:right w:val="nil"/>
            </w:tcBorders>
            <w:hideMark/>
          </w:tcPr>
          <w:p w14:paraId="36627874" w14:textId="77777777" w:rsidR="00A25883" w:rsidRDefault="00A25883" w:rsidP="00A25883">
            <w:pPr>
              <w:pStyle w:val="TableBodyText"/>
              <w:rPr>
                <w:lang w:eastAsia="en-US"/>
              </w:rPr>
            </w:pPr>
            <w:r>
              <w:rPr>
                <w:lang w:eastAsia="en-US"/>
              </w:rPr>
              <w:t>Favouritism</w:t>
            </w:r>
          </w:p>
        </w:tc>
        <w:tc>
          <w:tcPr>
            <w:tcW w:w="3214" w:type="pct"/>
            <w:tcBorders>
              <w:top w:val="dotted" w:sz="4" w:space="0" w:color="auto"/>
              <w:left w:val="nil"/>
              <w:bottom w:val="dotted" w:sz="4" w:space="0" w:color="auto"/>
              <w:right w:val="nil"/>
            </w:tcBorders>
            <w:vAlign w:val="bottom"/>
          </w:tcPr>
          <w:p w14:paraId="7AB3D181" w14:textId="14B9647F" w:rsidR="00A25883" w:rsidRPr="00592459" w:rsidRDefault="00A25883" w:rsidP="00592459">
            <w:pPr>
              <w:pStyle w:val="TableBodyTextrightalign"/>
            </w:pPr>
            <w:r w:rsidRPr="00592459">
              <w:t>2.8</w:t>
            </w:r>
          </w:p>
        </w:tc>
      </w:tr>
      <w:tr w:rsidR="00A25883" w14:paraId="3FD90254" w14:textId="77777777" w:rsidTr="00620867">
        <w:tc>
          <w:tcPr>
            <w:tcW w:w="1786" w:type="pct"/>
            <w:tcBorders>
              <w:top w:val="dotted" w:sz="4" w:space="0" w:color="auto"/>
              <w:left w:val="nil"/>
              <w:bottom w:val="dotted" w:sz="4" w:space="0" w:color="auto"/>
              <w:right w:val="nil"/>
            </w:tcBorders>
            <w:hideMark/>
          </w:tcPr>
          <w:p w14:paraId="48B7A5A2" w14:textId="77777777" w:rsidR="00A25883" w:rsidRDefault="00A25883" w:rsidP="00A25883">
            <w:pPr>
              <w:pStyle w:val="TableBodyText"/>
              <w:rPr>
                <w:lang w:eastAsia="en-US"/>
              </w:rPr>
            </w:pPr>
            <w:r>
              <w:rPr>
                <w:lang w:eastAsia="en-US"/>
              </w:rPr>
              <w:t>Force</w:t>
            </w:r>
          </w:p>
        </w:tc>
        <w:tc>
          <w:tcPr>
            <w:tcW w:w="3214" w:type="pct"/>
            <w:tcBorders>
              <w:top w:val="dotted" w:sz="4" w:space="0" w:color="auto"/>
              <w:left w:val="nil"/>
              <w:bottom w:val="dotted" w:sz="4" w:space="0" w:color="auto"/>
              <w:right w:val="nil"/>
            </w:tcBorders>
            <w:vAlign w:val="bottom"/>
          </w:tcPr>
          <w:p w14:paraId="485A00AF" w14:textId="0D436283" w:rsidR="00A25883" w:rsidRPr="00592459" w:rsidRDefault="00A25883" w:rsidP="00592459">
            <w:pPr>
              <w:pStyle w:val="TableBodyTextrightalign"/>
            </w:pPr>
            <w:r w:rsidRPr="00592459">
              <w:t>12.1</w:t>
            </w:r>
          </w:p>
        </w:tc>
      </w:tr>
      <w:tr w:rsidR="00A25883" w14:paraId="34FBFE71" w14:textId="77777777" w:rsidTr="00620867">
        <w:tc>
          <w:tcPr>
            <w:tcW w:w="1786" w:type="pct"/>
            <w:tcBorders>
              <w:top w:val="dotted" w:sz="4" w:space="0" w:color="auto"/>
              <w:left w:val="nil"/>
              <w:bottom w:val="dotted" w:sz="4" w:space="0" w:color="auto"/>
              <w:right w:val="nil"/>
            </w:tcBorders>
            <w:hideMark/>
          </w:tcPr>
          <w:p w14:paraId="033B38AC" w14:textId="77777777" w:rsidR="00A25883" w:rsidRDefault="00A25883" w:rsidP="00A25883">
            <w:pPr>
              <w:pStyle w:val="TableBodyText"/>
              <w:rPr>
                <w:lang w:eastAsia="en-US"/>
              </w:rPr>
            </w:pPr>
            <w:r>
              <w:rPr>
                <w:lang w:eastAsia="en-US"/>
              </w:rPr>
              <w:t>Fraud</w:t>
            </w:r>
          </w:p>
        </w:tc>
        <w:tc>
          <w:tcPr>
            <w:tcW w:w="3214" w:type="pct"/>
            <w:tcBorders>
              <w:top w:val="dotted" w:sz="4" w:space="0" w:color="auto"/>
              <w:left w:val="nil"/>
              <w:bottom w:val="dotted" w:sz="4" w:space="0" w:color="auto"/>
              <w:right w:val="nil"/>
            </w:tcBorders>
            <w:vAlign w:val="bottom"/>
          </w:tcPr>
          <w:p w14:paraId="11F9BE08" w14:textId="6A229644" w:rsidR="00A25883" w:rsidRPr="00592459" w:rsidRDefault="00A25883" w:rsidP="00592459">
            <w:pPr>
              <w:pStyle w:val="TableBodyTextrightalign"/>
            </w:pPr>
            <w:r w:rsidRPr="00592459">
              <w:t>0.5</w:t>
            </w:r>
          </w:p>
        </w:tc>
      </w:tr>
      <w:tr w:rsidR="00A25883" w14:paraId="75D3E6D0" w14:textId="77777777" w:rsidTr="00620867">
        <w:tc>
          <w:tcPr>
            <w:tcW w:w="1786" w:type="pct"/>
            <w:tcBorders>
              <w:top w:val="dotted" w:sz="4" w:space="0" w:color="auto"/>
              <w:left w:val="nil"/>
              <w:bottom w:val="dotted" w:sz="4" w:space="0" w:color="auto"/>
              <w:right w:val="nil"/>
            </w:tcBorders>
            <w:hideMark/>
          </w:tcPr>
          <w:p w14:paraId="425D151C" w14:textId="77777777" w:rsidR="00A25883" w:rsidRDefault="00A25883" w:rsidP="00A25883">
            <w:pPr>
              <w:pStyle w:val="TableBodyText"/>
              <w:rPr>
                <w:lang w:eastAsia="en-US"/>
              </w:rPr>
            </w:pPr>
            <w:r>
              <w:rPr>
                <w:lang w:eastAsia="en-US"/>
              </w:rPr>
              <w:t>Inaction</w:t>
            </w:r>
          </w:p>
        </w:tc>
        <w:tc>
          <w:tcPr>
            <w:tcW w:w="3214" w:type="pct"/>
            <w:tcBorders>
              <w:top w:val="dotted" w:sz="4" w:space="0" w:color="auto"/>
              <w:left w:val="nil"/>
              <w:bottom w:val="dotted" w:sz="4" w:space="0" w:color="auto"/>
              <w:right w:val="nil"/>
            </w:tcBorders>
            <w:vAlign w:val="bottom"/>
          </w:tcPr>
          <w:p w14:paraId="07FFA7C5" w14:textId="7893A17B" w:rsidR="00A25883" w:rsidRPr="00592459" w:rsidRDefault="00A25883" w:rsidP="00592459">
            <w:pPr>
              <w:pStyle w:val="TableBodyTextrightalign"/>
            </w:pPr>
            <w:r w:rsidRPr="00592459">
              <w:t>37.5</w:t>
            </w:r>
          </w:p>
        </w:tc>
      </w:tr>
      <w:tr w:rsidR="00A25883" w14:paraId="2094BF31" w14:textId="77777777" w:rsidTr="00620867">
        <w:tc>
          <w:tcPr>
            <w:tcW w:w="1786" w:type="pct"/>
            <w:tcBorders>
              <w:top w:val="dotted" w:sz="4" w:space="0" w:color="auto"/>
              <w:left w:val="nil"/>
              <w:bottom w:val="dotted" w:sz="4" w:space="0" w:color="auto"/>
              <w:right w:val="nil"/>
            </w:tcBorders>
            <w:hideMark/>
          </w:tcPr>
          <w:p w14:paraId="5D4AA6E2" w14:textId="77777777" w:rsidR="00A25883" w:rsidRDefault="00A25883" w:rsidP="00A25883">
            <w:pPr>
              <w:pStyle w:val="TableBodyText"/>
              <w:rPr>
                <w:lang w:eastAsia="en-US"/>
              </w:rPr>
            </w:pPr>
            <w:r>
              <w:rPr>
                <w:lang w:eastAsia="en-US"/>
              </w:rPr>
              <w:t>Misuse of resources</w:t>
            </w:r>
          </w:p>
        </w:tc>
        <w:tc>
          <w:tcPr>
            <w:tcW w:w="3214" w:type="pct"/>
            <w:tcBorders>
              <w:top w:val="dotted" w:sz="4" w:space="0" w:color="auto"/>
              <w:left w:val="nil"/>
              <w:bottom w:val="dotted" w:sz="4" w:space="0" w:color="auto"/>
              <w:right w:val="nil"/>
            </w:tcBorders>
            <w:vAlign w:val="bottom"/>
          </w:tcPr>
          <w:p w14:paraId="13F1068B" w14:textId="3A2785E2" w:rsidR="00A25883" w:rsidRPr="00592459" w:rsidRDefault="00A25883" w:rsidP="00592459">
            <w:pPr>
              <w:pStyle w:val="TableBodyTextrightalign"/>
            </w:pPr>
            <w:r w:rsidRPr="00592459">
              <w:t>3.6</w:t>
            </w:r>
          </w:p>
        </w:tc>
      </w:tr>
      <w:tr w:rsidR="00A25883" w14:paraId="6524DA67" w14:textId="77777777" w:rsidTr="00620867">
        <w:tc>
          <w:tcPr>
            <w:tcW w:w="1786" w:type="pct"/>
            <w:tcBorders>
              <w:top w:val="dotted" w:sz="4" w:space="0" w:color="auto"/>
              <w:left w:val="nil"/>
              <w:bottom w:val="dotted" w:sz="4" w:space="0" w:color="auto"/>
              <w:right w:val="nil"/>
            </w:tcBorders>
            <w:hideMark/>
          </w:tcPr>
          <w:p w14:paraId="0577733A" w14:textId="77777777" w:rsidR="00A25883" w:rsidRDefault="00A25883" w:rsidP="00A25883">
            <w:pPr>
              <w:pStyle w:val="TableBodyText"/>
              <w:rPr>
                <w:lang w:eastAsia="en-US"/>
              </w:rPr>
            </w:pPr>
            <w:r>
              <w:rPr>
                <w:lang w:eastAsia="en-US"/>
              </w:rPr>
              <w:t>Not in jurisdiction</w:t>
            </w:r>
          </w:p>
        </w:tc>
        <w:tc>
          <w:tcPr>
            <w:tcW w:w="3214" w:type="pct"/>
            <w:tcBorders>
              <w:top w:val="dotted" w:sz="4" w:space="0" w:color="auto"/>
              <w:left w:val="nil"/>
              <w:bottom w:val="dotted" w:sz="4" w:space="0" w:color="auto"/>
              <w:right w:val="nil"/>
            </w:tcBorders>
            <w:vAlign w:val="bottom"/>
          </w:tcPr>
          <w:p w14:paraId="528C22EE" w14:textId="72C67AB0" w:rsidR="00A25883" w:rsidRPr="00592459" w:rsidRDefault="00A25883" w:rsidP="00592459">
            <w:pPr>
              <w:pStyle w:val="TableBodyTextrightalign"/>
            </w:pPr>
            <w:r w:rsidRPr="00592459">
              <w:t>3.9</w:t>
            </w:r>
          </w:p>
        </w:tc>
      </w:tr>
      <w:tr w:rsidR="00A25883" w14:paraId="4788708F" w14:textId="77777777" w:rsidTr="00620867">
        <w:tc>
          <w:tcPr>
            <w:tcW w:w="1786" w:type="pct"/>
            <w:tcBorders>
              <w:top w:val="dotted" w:sz="4" w:space="0" w:color="auto"/>
              <w:left w:val="nil"/>
              <w:bottom w:val="dotted" w:sz="4" w:space="0" w:color="auto"/>
              <w:right w:val="nil"/>
            </w:tcBorders>
            <w:hideMark/>
          </w:tcPr>
          <w:p w14:paraId="51DB885E" w14:textId="77777777" w:rsidR="00A25883" w:rsidRDefault="00A25883" w:rsidP="00A25883">
            <w:pPr>
              <w:pStyle w:val="TableBodyText"/>
              <w:rPr>
                <w:lang w:eastAsia="en-US"/>
              </w:rPr>
            </w:pPr>
            <w:r>
              <w:rPr>
                <w:lang w:eastAsia="en-US"/>
              </w:rPr>
              <w:t>Obstruction of justice</w:t>
            </w:r>
          </w:p>
        </w:tc>
        <w:tc>
          <w:tcPr>
            <w:tcW w:w="3214" w:type="pct"/>
            <w:tcBorders>
              <w:top w:val="dotted" w:sz="4" w:space="0" w:color="auto"/>
              <w:left w:val="nil"/>
              <w:bottom w:val="dotted" w:sz="4" w:space="0" w:color="auto"/>
              <w:right w:val="nil"/>
            </w:tcBorders>
            <w:vAlign w:val="bottom"/>
          </w:tcPr>
          <w:p w14:paraId="6E0B6E04" w14:textId="4A665578" w:rsidR="00A25883" w:rsidRPr="00592459" w:rsidRDefault="00A25883" w:rsidP="00592459">
            <w:pPr>
              <w:pStyle w:val="TableBodyTextrightalign"/>
            </w:pPr>
            <w:r w:rsidRPr="00592459">
              <w:t>6.4</w:t>
            </w:r>
          </w:p>
        </w:tc>
      </w:tr>
      <w:tr w:rsidR="00A25883" w14:paraId="5AD545BB" w14:textId="77777777" w:rsidTr="00620867">
        <w:tc>
          <w:tcPr>
            <w:tcW w:w="1786" w:type="pct"/>
            <w:tcBorders>
              <w:top w:val="dotted" w:sz="4" w:space="0" w:color="auto"/>
              <w:left w:val="nil"/>
              <w:bottom w:val="dotted" w:sz="4" w:space="0" w:color="auto"/>
              <w:right w:val="nil"/>
            </w:tcBorders>
            <w:hideMark/>
          </w:tcPr>
          <w:p w14:paraId="5853075F" w14:textId="77777777" w:rsidR="00A25883" w:rsidRDefault="00A25883" w:rsidP="00A25883">
            <w:pPr>
              <w:pStyle w:val="TableBodyText"/>
              <w:rPr>
                <w:lang w:eastAsia="en-US"/>
              </w:rPr>
            </w:pPr>
            <w:r>
              <w:rPr>
                <w:lang w:eastAsia="en-US"/>
              </w:rPr>
              <w:t>Theft</w:t>
            </w:r>
          </w:p>
        </w:tc>
        <w:tc>
          <w:tcPr>
            <w:tcW w:w="3214" w:type="pct"/>
            <w:tcBorders>
              <w:top w:val="dotted" w:sz="4" w:space="0" w:color="auto"/>
              <w:left w:val="nil"/>
              <w:bottom w:val="dotted" w:sz="4" w:space="0" w:color="auto"/>
              <w:right w:val="nil"/>
            </w:tcBorders>
            <w:vAlign w:val="bottom"/>
          </w:tcPr>
          <w:p w14:paraId="044EB729" w14:textId="4E8EF678" w:rsidR="00A25883" w:rsidRPr="00592459" w:rsidRDefault="00A25883" w:rsidP="00592459">
            <w:pPr>
              <w:pStyle w:val="TableBodyTextrightalign"/>
            </w:pPr>
            <w:r w:rsidRPr="00592459">
              <w:t>0.5</w:t>
            </w:r>
          </w:p>
        </w:tc>
      </w:tr>
    </w:tbl>
    <w:p w14:paraId="0B72BF8B" w14:textId="2BEF52DE" w:rsidR="005360C3" w:rsidRPr="009B3A3C" w:rsidRDefault="005360C3" w:rsidP="009B3A3C">
      <w:pPr>
        <w:pStyle w:val="TableNote"/>
      </w:pPr>
    </w:p>
    <w:p w14:paraId="65A7E4E3" w14:textId="0ABCE390" w:rsidR="00D12E4C" w:rsidRPr="005360C3" w:rsidRDefault="00803EA1" w:rsidP="005360C3">
      <w:pPr>
        <w:pStyle w:val="BodyText"/>
      </w:pPr>
      <w:r w:rsidRPr="005360C3">
        <w:t>IBAC previously reported on Management Intervention Model (MIM) and Local Management Resolution (LMR) matters. These figures are not included in this report</w:t>
      </w:r>
      <w:r w:rsidR="00B21D99" w:rsidRPr="005360C3">
        <w:t>,</w:t>
      </w:r>
      <w:r w:rsidRPr="005360C3">
        <w:t xml:space="preserve"> as changes to the Victoria Police classification system mean that matters are no longer classified as MIMs or LMRs.</w:t>
      </w:r>
    </w:p>
    <w:p w14:paraId="7001E759" w14:textId="04113F4F" w:rsidR="00D12E4C" w:rsidRPr="00922665" w:rsidRDefault="00151FC7" w:rsidP="00B07072">
      <w:pPr>
        <w:pStyle w:val="Heading4"/>
      </w:pPr>
      <w:r w:rsidRPr="00151FC7">
        <w:t>Investigations</w:t>
      </w:r>
    </w:p>
    <w:p w14:paraId="6B60049A" w14:textId="4BD52233" w:rsidR="00904403" w:rsidRDefault="00151FC7" w:rsidP="00151FC7">
      <w:pPr>
        <w:pStyle w:val="BodyText"/>
      </w:pPr>
      <w:r w:rsidRPr="00151FC7">
        <w:t>Our objectives for investigations in relation to Victoria Police are to identify, investigate</w:t>
      </w:r>
      <w:r w:rsidR="002A1CCA">
        <w:t>,</w:t>
      </w:r>
      <w:r w:rsidRPr="00151FC7">
        <w:t xml:space="preserve"> and expose </w:t>
      </w:r>
      <w:r w:rsidR="008F19F4">
        <w:t xml:space="preserve">corruption and </w:t>
      </w:r>
      <w:r w:rsidRPr="00151FC7">
        <w:t xml:space="preserve">police misconduct. </w:t>
      </w:r>
      <w:r w:rsidR="00E82283">
        <w:t>M</w:t>
      </w:r>
      <w:r w:rsidRPr="00151FC7">
        <w:t xml:space="preserve">ore information about </w:t>
      </w:r>
      <w:r w:rsidR="008F19F4" w:rsidRPr="003965EA">
        <w:t xml:space="preserve">the </w:t>
      </w:r>
      <w:hyperlink r:id="rId43" w:history="1">
        <w:r w:rsidR="008F19F4" w:rsidRPr="008F19F4">
          <w:rPr>
            <w:rStyle w:val="Hyperlink"/>
          </w:rPr>
          <w:t>investigation of police misconduct</w:t>
        </w:r>
      </w:hyperlink>
      <w:r w:rsidRPr="00151FC7">
        <w:t xml:space="preserve"> </w:t>
      </w:r>
      <w:r w:rsidR="00E82283">
        <w:t xml:space="preserve">is available </w:t>
      </w:r>
      <w:r w:rsidR="00496389">
        <w:t xml:space="preserve">on </w:t>
      </w:r>
      <w:r w:rsidR="00C90614">
        <w:t>the IBAC</w:t>
      </w:r>
      <w:r w:rsidR="00496389">
        <w:t xml:space="preserve"> website</w:t>
      </w:r>
      <w:r w:rsidR="00496389" w:rsidRPr="00151FC7">
        <w:t xml:space="preserve"> </w:t>
      </w:r>
      <w:r w:rsidRPr="00151FC7">
        <w:t>(</w:t>
      </w:r>
      <w:r w:rsidR="00E221D4" w:rsidRPr="00E221D4">
        <w:t>www.ibac.vic.gov.au/what-we-investigate</w:t>
      </w:r>
      <w:r w:rsidR="00496389">
        <w:t>)</w:t>
      </w:r>
      <w:r w:rsidRPr="00151FC7">
        <w:t>.</w:t>
      </w:r>
    </w:p>
    <w:p w14:paraId="1F8BAA01" w14:textId="0A2D22F0" w:rsidR="002A1CCA" w:rsidRDefault="00151FC7" w:rsidP="00151FC7">
      <w:pPr>
        <w:pStyle w:val="BodyText"/>
      </w:pPr>
      <w:r>
        <w:t xml:space="preserve">In </w:t>
      </w:r>
      <w:r w:rsidR="000A1691">
        <w:t>2022/23</w:t>
      </w:r>
      <w:r>
        <w:t xml:space="preserve">, IBAC commenced </w:t>
      </w:r>
      <w:r w:rsidR="00B07072">
        <w:t>four</w:t>
      </w:r>
      <w:r>
        <w:t xml:space="preserve"> </w:t>
      </w:r>
      <w:r w:rsidR="002573C7">
        <w:t xml:space="preserve">Victoria </w:t>
      </w:r>
      <w:r w:rsidR="00B72B71">
        <w:t>P</w:t>
      </w:r>
      <w:r>
        <w:t xml:space="preserve">olice investigations and </w:t>
      </w:r>
      <w:r w:rsidR="006E25FC">
        <w:t>eight</w:t>
      </w:r>
      <w:r>
        <w:t xml:space="preserve"> preliminary inquiries</w:t>
      </w:r>
      <w:r w:rsidR="0047195A">
        <w:t xml:space="preserve">. We </w:t>
      </w:r>
      <w:r w:rsidR="008F5C96">
        <w:t xml:space="preserve">also </w:t>
      </w:r>
      <w:r>
        <w:t xml:space="preserve">completed </w:t>
      </w:r>
      <w:r w:rsidR="00B07072">
        <w:t>f</w:t>
      </w:r>
      <w:r w:rsidR="006E25FC">
        <w:t>ive</w:t>
      </w:r>
      <w:r>
        <w:t xml:space="preserve"> investigations and </w:t>
      </w:r>
      <w:r w:rsidR="00B07072">
        <w:t>six</w:t>
      </w:r>
      <w:r>
        <w:t xml:space="preserve"> preliminary inquiries.</w:t>
      </w:r>
    </w:p>
    <w:p w14:paraId="27BB8294" w14:textId="53333867" w:rsidR="00151FC7" w:rsidRPr="00151FC7" w:rsidRDefault="00904403" w:rsidP="00151FC7">
      <w:pPr>
        <w:pStyle w:val="BodyText"/>
      </w:pPr>
      <w:r>
        <w:fldChar w:fldCharType="begin"/>
      </w:r>
      <w:r>
        <w:instrText xml:space="preserve"> REF _Ref141214131 \h </w:instrText>
      </w:r>
      <w:r>
        <w:fldChar w:fldCharType="separate"/>
      </w:r>
      <w:r w:rsidR="00B5163E">
        <w:t xml:space="preserve">Table </w:t>
      </w:r>
      <w:r w:rsidR="00B5163E">
        <w:rPr>
          <w:noProof/>
        </w:rPr>
        <w:t>10</w:t>
      </w:r>
      <w:r>
        <w:fldChar w:fldCharType="end"/>
      </w:r>
      <w:r w:rsidR="00151FC7" w:rsidRPr="00151FC7">
        <w:t xml:space="preserve"> summarises IBAC investigations and preliminary inquiries that began or were completed during </w:t>
      </w:r>
      <w:r w:rsidR="000A1691">
        <w:t>2022/23</w:t>
      </w:r>
      <w:r w:rsidR="00151FC7" w:rsidRPr="00151FC7">
        <w:t>, and those that remained open at the end of the year.</w:t>
      </w:r>
    </w:p>
    <w:p w14:paraId="6030CE74" w14:textId="1B4B8004" w:rsidR="00904403" w:rsidRDefault="00904403" w:rsidP="00834775">
      <w:pPr>
        <w:pStyle w:val="Caption"/>
      </w:pPr>
      <w:bookmarkStart w:id="84" w:name="_Ref141214131"/>
      <w:bookmarkStart w:id="85" w:name="_Ref149135847"/>
      <w:r>
        <w:t xml:space="preserve">Table </w:t>
      </w:r>
      <w:r>
        <w:fldChar w:fldCharType="begin"/>
      </w:r>
      <w:r>
        <w:instrText xml:space="preserve"> SEQ Table \* ARABIC </w:instrText>
      </w:r>
      <w:r>
        <w:fldChar w:fldCharType="separate"/>
      </w:r>
      <w:r w:rsidR="00B5163E">
        <w:rPr>
          <w:noProof/>
        </w:rPr>
        <w:t>10</w:t>
      </w:r>
      <w:r>
        <w:fldChar w:fldCharType="end"/>
      </w:r>
      <w:bookmarkEnd w:id="84"/>
      <w:r>
        <w:t xml:space="preserve">: </w:t>
      </w:r>
      <w:r w:rsidRPr="00140182">
        <w:t>Investigations and preliminary inquiries – Victoria Police</w:t>
      </w:r>
      <w:bookmarkEnd w:id="85"/>
    </w:p>
    <w:tbl>
      <w:tblPr>
        <w:tblStyle w:val="CustomTablestandard"/>
        <w:tblW w:w="3926" w:type="pct"/>
        <w:tblLayout w:type="fixed"/>
        <w:tblLook w:val="04E0" w:firstRow="1" w:lastRow="1" w:firstColumn="1" w:lastColumn="0" w:noHBand="0" w:noVBand="1"/>
      </w:tblPr>
      <w:tblGrid>
        <w:gridCol w:w="5529"/>
        <w:gridCol w:w="1559"/>
      </w:tblGrid>
      <w:tr w:rsidR="00C00DE4" w14:paraId="05ADAE50" w14:textId="77777777" w:rsidTr="00C00DE4">
        <w:trPr>
          <w:cnfStyle w:val="100000000000" w:firstRow="1" w:lastRow="0" w:firstColumn="0" w:lastColumn="0" w:oddVBand="0" w:evenVBand="0" w:oddHBand="0" w:evenHBand="0" w:firstRowFirstColumn="0" w:firstRowLastColumn="0" w:lastRowFirstColumn="0" w:lastRowLastColumn="0"/>
          <w:trHeight w:val="155"/>
        </w:trPr>
        <w:tc>
          <w:tcPr>
            <w:tcW w:w="3900" w:type="pct"/>
            <w:tcBorders>
              <w:left w:val="nil"/>
            </w:tcBorders>
          </w:tcPr>
          <w:p w14:paraId="48C46CDC" w14:textId="77777777" w:rsidR="00B779D1" w:rsidRPr="00151FC7" w:rsidRDefault="00B779D1" w:rsidP="00151FC7">
            <w:pPr>
              <w:pStyle w:val="TableHeading2centrealign"/>
              <w:ind w:left="360" w:hanging="360"/>
              <w:rPr>
                <w:lang w:val="en-US" w:eastAsia="en-US"/>
              </w:rPr>
            </w:pPr>
          </w:p>
        </w:tc>
        <w:tc>
          <w:tcPr>
            <w:tcW w:w="1100" w:type="pct"/>
            <w:hideMark/>
          </w:tcPr>
          <w:p w14:paraId="329115DB" w14:textId="3B11E15A" w:rsidR="00B779D1" w:rsidRPr="007E78B5" w:rsidRDefault="000A1691" w:rsidP="007E78B5">
            <w:pPr>
              <w:pStyle w:val="TableHeading3rightalign"/>
            </w:pPr>
            <w:r w:rsidRPr="007E78B5">
              <w:t>2022/23</w:t>
            </w:r>
            <w:r w:rsidR="008F19F4" w:rsidRPr="007E78B5">
              <w:rPr>
                <w:rStyle w:val="Charactersuperscript"/>
              </w:rPr>
              <w:t>(a)</w:t>
            </w:r>
          </w:p>
        </w:tc>
      </w:tr>
      <w:tr w:rsidR="00C00DE4" w14:paraId="2D059666" w14:textId="77777777" w:rsidTr="00C00DE4">
        <w:trPr>
          <w:trHeight w:val="162"/>
        </w:trPr>
        <w:tc>
          <w:tcPr>
            <w:tcW w:w="3900" w:type="pct"/>
            <w:tcBorders>
              <w:top w:val="single" w:sz="4" w:space="0" w:color="auto"/>
              <w:left w:val="nil"/>
              <w:bottom w:val="single" w:sz="4" w:space="0" w:color="auto"/>
              <w:right w:val="nil"/>
            </w:tcBorders>
            <w:hideMark/>
          </w:tcPr>
          <w:p w14:paraId="7304F2C0" w14:textId="04177F03" w:rsidR="00B779D1" w:rsidRPr="007E78B5" w:rsidRDefault="00B779D1" w:rsidP="007E78B5">
            <w:pPr>
              <w:pStyle w:val="TableBodyText"/>
            </w:pPr>
            <w:r w:rsidRPr="007E78B5">
              <w:t>Preliminary inquiries commenced</w:t>
            </w:r>
            <w:r w:rsidR="008F19F4" w:rsidRPr="007E78B5">
              <w:rPr>
                <w:rStyle w:val="Charactersuperscript"/>
              </w:rPr>
              <w:t>(b)</w:t>
            </w:r>
          </w:p>
        </w:tc>
        <w:tc>
          <w:tcPr>
            <w:tcW w:w="1100" w:type="pct"/>
            <w:tcBorders>
              <w:top w:val="single" w:sz="4" w:space="0" w:color="auto"/>
              <w:left w:val="nil"/>
              <w:bottom w:val="single" w:sz="4" w:space="0" w:color="auto"/>
              <w:right w:val="nil"/>
            </w:tcBorders>
            <w:shd w:val="clear" w:color="auto" w:fill="F2F2F2" w:themeFill="background1" w:themeFillShade="F2"/>
            <w:hideMark/>
          </w:tcPr>
          <w:p w14:paraId="1FE198BA" w14:textId="040D1832" w:rsidR="00B779D1" w:rsidRPr="00ED79A2" w:rsidRDefault="006E25FC" w:rsidP="00ED79A2">
            <w:pPr>
              <w:pStyle w:val="TableBodyText"/>
            </w:pPr>
            <w:r w:rsidRPr="00ED79A2">
              <w:t>8</w:t>
            </w:r>
          </w:p>
        </w:tc>
      </w:tr>
      <w:tr w:rsidR="00C00DE4" w14:paraId="70768BD7" w14:textId="77777777" w:rsidTr="00C00DE4">
        <w:trPr>
          <w:trHeight w:val="167"/>
        </w:trPr>
        <w:tc>
          <w:tcPr>
            <w:tcW w:w="3900" w:type="pct"/>
            <w:tcBorders>
              <w:top w:val="single" w:sz="4" w:space="0" w:color="auto"/>
              <w:left w:val="nil"/>
              <w:bottom w:val="single" w:sz="4" w:space="0" w:color="auto"/>
              <w:right w:val="nil"/>
            </w:tcBorders>
            <w:hideMark/>
          </w:tcPr>
          <w:p w14:paraId="4A67A4CA" w14:textId="4E7D3834" w:rsidR="00B779D1" w:rsidRPr="007E78B5" w:rsidRDefault="00B779D1" w:rsidP="007E78B5">
            <w:pPr>
              <w:pStyle w:val="TableBodyText"/>
            </w:pPr>
            <w:r w:rsidRPr="007E78B5">
              <w:t>Investigations commenced</w:t>
            </w:r>
            <w:r w:rsidR="008F19F4" w:rsidRPr="007E78B5">
              <w:rPr>
                <w:rStyle w:val="Charactersuperscript"/>
              </w:rPr>
              <w:t>(b)</w:t>
            </w:r>
          </w:p>
        </w:tc>
        <w:tc>
          <w:tcPr>
            <w:tcW w:w="1100" w:type="pct"/>
            <w:tcBorders>
              <w:top w:val="single" w:sz="4" w:space="0" w:color="auto"/>
              <w:left w:val="nil"/>
              <w:bottom w:val="single" w:sz="4" w:space="0" w:color="auto"/>
              <w:right w:val="nil"/>
            </w:tcBorders>
            <w:shd w:val="clear" w:color="auto" w:fill="F2F2F2" w:themeFill="background1" w:themeFillShade="F2"/>
            <w:hideMark/>
          </w:tcPr>
          <w:p w14:paraId="0529BC24" w14:textId="5D66C747" w:rsidR="00B779D1" w:rsidRPr="007211D6" w:rsidRDefault="00B779D1" w:rsidP="007211D6">
            <w:pPr>
              <w:pStyle w:val="TableBodyTextrightalign"/>
            </w:pPr>
            <w:r w:rsidRPr="007211D6">
              <w:t>4</w:t>
            </w:r>
          </w:p>
        </w:tc>
      </w:tr>
      <w:tr w:rsidR="00C00DE4" w14:paraId="6C15059E" w14:textId="77777777" w:rsidTr="00C00DE4">
        <w:trPr>
          <w:trHeight w:val="185"/>
        </w:trPr>
        <w:tc>
          <w:tcPr>
            <w:tcW w:w="3900" w:type="pct"/>
            <w:tcBorders>
              <w:top w:val="single" w:sz="4" w:space="0" w:color="auto"/>
              <w:left w:val="nil"/>
              <w:bottom w:val="single" w:sz="4" w:space="0" w:color="auto"/>
              <w:right w:val="nil"/>
            </w:tcBorders>
            <w:hideMark/>
          </w:tcPr>
          <w:p w14:paraId="0EDFAC26" w14:textId="77777777" w:rsidR="00B779D1" w:rsidRPr="00151FC7" w:rsidRDefault="00B779D1" w:rsidP="00151FC7">
            <w:pPr>
              <w:pStyle w:val="TableListBullet"/>
              <w:numPr>
                <w:ilvl w:val="0"/>
                <w:numId w:val="5"/>
              </w:numPr>
            </w:pPr>
            <w:r w:rsidRPr="00151FC7">
              <w:t>Standard investigations commenced</w:t>
            </w:r>
          </w:p>
        </w:tc>
        <w:tc>
          <w:tcPr>
            <w:tcW w:w="1100" w:type="pct"/>
            <w:tcBorders>
              <w:top w:val="single" w:sz="4" w:space="0" w:color="auto"/>
              <w:left w:val="nil"/>
              <w:bottom w:val="single" w:sz="4" w:space="0" w:color="auto"/>
              <w:right w:val="nil"/>
            </w:tcBorders>
            <w:shd w:val="clear" w:color="auto" w:fill="F2F2F2" w:themeFill="background1" w:themeFillShade="F2"/>
            <w:hideMark/>
          </w:tcPr>
          <w:p w14:paraId="35DBD6CB" w14:textId="5033A22B" w:rsidR="00B779D1" w:rsidRPr="007211D6" w:rsidRDefault="009316CB" w:rsidP="007211D6">
            <w:pPr>
              <w:pStyle w:val="TableBodyTextrightalign"/>
              <w:rPr>
                <w:rStyle w:val="Characterbold"/>
                <w:b w:val="0"/>
              </w:rPr>
            </w:pPr>
            <w:r w:rsidRPr="007211D6">
              <w:t>3</w:t>
            </w:r>
          </w:p>
        </w:tc>
      </w:tr>
      <w:tr w:rsidR="00C00DE4" w14:paraId="7C35581A" w14:textId="77777777" w:rsidTr="00C00DE4">
        <w:trPr>
          <w:trHeight w:val="262"/>
        </w:trPr>
        <w:tc>
          <w:tcPr>
            <w:tcW w:w="3900" w:type="pct"/>
            <w:tcBorders>
              <w:top w:val="single" w:sz="4" w:space="0" w:color="auto"/>
              <w:left w:val="nil"/>
              <w:bottom w:val="single" w:sz="4" w:space="0" w:color="auto"/>
              <w:right w:val="nil"/>
            </w:tcBorders>
            <w:hideMark/>
          </w:tcPr>
          <w:p w14:paraId="7D856AD1" w14:textId="77777777" w:rsidR="00B779D1" w:rsidRPr="00151FC7" w:rsidRDefault="00B779D1" w:rsidP="00151FC7">
            <w:pPr>
              <w:pStyle w:val="TableListBullet"/>
              <w:numPr>
                <w:ilvl w:val="0"/>
                <w:numId w:val="5"/>
              </w:numPr>
              <w:rPr>
                <w:lang w:val="en-US"/>
              </w:rPr>
            </w:pPr>
            <w:r w:rsidRPr="00151FC7">
              <w:t>Complex investigations commenced</w:t>
            </w:r>
          </w:p>
        </w:tc>
        <w:tc>
          <w:tcPr>
            <w:tcW w:w="1100" w:type="pct"/>
            <w:tcBorders>
              <w:top w:val="single" w:sz="4" w:space="0" w:color="auto"/>
              <w:left w:val="nil"/>
              <w:bottom w:val="single" w:sz="4" w:space="0" w:color="auto"/>
              <w:right w:val="nil"/>
            </w:tcBorders>
            <w:shd w:val="clear" w:color="auto" w:fill="F2F2F2" w:themeFill="background1" w:themeFillShade="F2"/>
            <w:hideMark/>
          </w:tcPr>
          <w:p w14:paraId="025FCDD7" w14:textId="7CA9AAE6" w:rsidR="00B779D1" w:rsidRPr="007211D6" w:rsidRDefault="009316CB" w:rsidP="007211D6">
            <w:pPr>
              <w:pStyle w:val="TableBodyTextrightalign"/>
              <w:rPr>
                <w:rStyle w:val="Characterbold"/>
                <w:b w:val="0"/>
              </w:rPr>
            </w:pPr>
            <w:r w:rsidRPr="007211D6">
              <w:t>1</w:t>
            </w:r>
          </w:p>
        </w:tc>
      </w:tr>
      <w:tr w:rsidR="00C00DE4" w14:paraId="2846EE92" w14:textId="77777777" w:rsidTr="00C00DE4">
        <w:trPr>
          <w:trHeight w:val="162"/>
        </w:trPr>
        <w:tc>
          <w:tcPr>
            <w:tcW w:w="3900" w:type="pct"/>
            <w:tcBorders>
              <w:top w:val="single" w:sz="4" w:space="0" w:color="auto"/>
              <w:left w:val="nil"/>
              <w:bottom w:val="single" w:sz="4" w:space="0" w:color="auto"/>
              <w:right w:val="nil"/>
            </w:tcBorders>
            <w:hideMark/>
          </w:tcPr>
          <w:p w14:paraId="2581E225" w14:textId="77777777" w:rsidR="00B779D1" w:rsidRPr="00151FC7" w:rsidRDefault="00B779D1" w:rsidP="00180310">
            <w:pPr>
              <w:pStyle w:val="TableBodyText"/>
              <w:rPr>
                <w:lang w:val="en-US"/>
              </w:rPr>
            </w:pPr>
            <w:r w:rsidRPr="00151FC7">
              <w:t>Preliminary inquiries completed</w:t>
            </w:r>
          </w:p>
        </w:tc>
        <w:tc>
          <w:tcPr>
            <w:tcW w:w="1100" w:type="pct"/>
            <w:tcBorders>
              <w:top w:val="single" w:sz="4" w:space="0" w:color="auto"/>
              <w:left w:val="nil"/>
              <w:bottom w:val="single" w:sz="4" w:space="0" w:color="auto"/>
              <w:right w:val="nil"/>
            </w:tcBorders>
            <w:shd w:val="clear" w:color="auto" w:fill="F2F2F2" w:themeFill="background1" w:themeFillShade="F2"/>
            <w:hideMark/>
          </w:tcPr>
          <w:p w14:paraId="02CD734C" w14:textId="26960ECB" w:rsidR="00B779D1" w:rsidRPr="007211D6" w:rsidRDefault="00A139B4" w:rsidP="007211D6">
            <w:pPr>
              <w:pStyle w:val="TableBodyTextrightalign"/>
            </w:pPr>
            <w:r w:rsidRPr="007211D6">
              <w:t>6</w:t>
            </w:r>
          </w:p>
        </w:tc>
      </w:tr>
      <w:tr w:rsidR="00C00DE4" w14:paraId="25472D68" w14:textId="77777777" w:rsidTr="00C00DE4">
        <w:trPr>
          <w:trHeight w:val="167"/>
        </w:trPr>
        <w:tc>
          <w:tcPr>
            <w:tcW w:w="3900" w:type="pct"/>
            <w:tcBorders>
              <w:top w:val="single" w:sz="4" w:space="0" w:color="auto"/>
              <w:left w:val="nil"/>
              <w:bottom w:val="single" w:sz="4" w:space="0" w:color="auto"/>
              <w:right w:val="nil"/>
            </w:tcBorders>
            <w:hideMark/>
          </w:tcPr>
          <w:p w14:paraId="443B0DBD" w14:textId="77777777" w:rsidR="00B779D1" w:rsidRPr="00151FC7" w:rsidRDefault="00B779D1" w:rsidP="00180310">
            <w:pPr>
              <w:pStyle w:val="TableBodyText"/>
            </w:pPr>
            <w:r w:rsidRPr="00151FC7">
              <w:t>Investigations completed</w:t>
            </w:r>
          </w:p>
        </w:tc>
        <w:tc>
          <w:tcPr>
            <w:tcW w:w="1100" w:type="pct"/>
            <w:tcBorders>
              <w:top w:val="single" w:sz="4" w:space="0" w:color="auto"/>
              <w:left w:val="nil"/>
              <w:bottom w:val="single" w:sz="4" w:space="0" w:color="auto"/>
              <w:right w:val="nil"/>
            </w:tcBorders>
            <w:shd w:val="clear" w:color="auto" w:fill="F2F2F2" w:themeFill="background1" w:themeFillShade="F2"/>
            <w:hideMark/>
          </w:tcPr>
          <w:p w14:paraId="288AD611" w14:textId="759F8645" w:rsidR="00B779D1" w:rsidRPr="007211D6" w:rsidRDefault="00265F7F" w:rsidP="007211D6">
            <w:pPr>
              <w:pStyle w:val="TableBodyTextrightalign"/>
            </w:pPr>
            <w:r w:rsidRPr="007211D6">
              <w:t>5</w:t>
            </w:r>
          </w:p>
        </w:tc>
      </w:tr>
      <w:tr w:rsidR="00C00DE4" w14:paraId="162E727B" w14:textId="77777777" w:rsidTr="00C00DE4">
        <w:trPr>
          <w:trHeight w:val="257"/>
        </w:trPr>
        <w:tc>
          <w:tcPr>
            <w:tcW w:w="3900" w:type="pct"/>
            <w:tcBorders>
              <w:top w:val="single" w:sz="4" w:space="0" w:color="auto"/>
              <w:left w:val="nil"/>
              <w:bottom w:val="single" w:sz="4" w:space="0" w:color="auto"/>
              <w:right w:val="nil"/>
            </w:tcBorders>
            <w:hideMark/>
          </w:tcPr>
          <w:p w14:paraId="36A5BE0E" w14:textId="77777777" w:rsidR="00B779D1" w:rsidRPr="00151FC7" w:rsidRDefault="00B779D1" w:rsidP="00180310">
            <w:pPr>
              <w:pStyle w:val="TableListBullet"/>
            </w:pPr>
            <w:r w:rsidRPr="00151FC7">
              <w:t>Standard investigations completed</w:t>
            </w:r>
          </w:p>
        </w:tc>
        <w:tc>
          <w:tcPr>
            <w:tcW w:w="1100" w:type="pct"/>
            <w:tcBorders>
              <w:top w:val="single" w:sz="4" w:space="0" w:color="auto"/>
              <w:left w:val="nil"/>
              <w:bottom w:val="single" w:sz="4" w:space="0" w:color="auto"/>
              <w:right w:val="nil"/>
            </w:tcBorders>
            <w:shd w:val="clear" w:color="auto" w:fill="F2F2F2" w:themeFill="background1" w:themeFillShade="F2"/>
            <w:hideMark/>
          </w:tcPr>
          <w:p w14:paraId="0F78FFAC" w14:textId="1FB267F9" w:rsidR="00B779D1" w:rsidRPr="007211D6" w:rsidRDefault="00265F7F" w:rsidP="007211D6">
            <w:pPr>
              <w:pStyle w:val="TableBodyTextrightalign"/>
              <w:rPr>
                <w:rStyle w:val="Characterbold"/>
                <w:b w:val="0"/>
              </w:rPr>
            </w:pPr>
            <w:r w:rsidRPr="007211D6">
              <w:t>2</w:t>
            </w:r>
          </w:p>
        </w:tc>
      </w:tr>
      <w:tr w:rsidR="00C00DE4" w14:paraId="0935136F" w14:textId="77777777" w:rsidTr="00C00DE4">
        <w:trPr>
          <w:trHeight w:val="207"/>
        </w:trPr>
        <w:tc>
          <w:tcPr>
            <w:tcW w:w="3900" w:type="pct"/>
            <w:tcBorders>
              <w:top w:val="single" w:sz="4" w:space="0" w:color="auto"/>
              <w:left w:val="nil"/>
              <w:bottom w:val="single" w:sz="4" w:space="0" w:color="auto"/>
              <w:right w:val="nil"/>
            </w:tcBorders>
            <w:hideMark/>
          </w:tcPr>
          <w:p w14:paraId="0EEA9A66" w14:textId="77777777" w:rsidR="00B779D1" w:rsidRPr="00151FC7" w:rsidRDefault="00B779D1" w:rsidP="00180310">
            <w:pPr>
              <w:pStyle w:val="TableListBullet"/>
              <w:rPr>
                <w:lang w:val="en-US"/>
              </w:rPr>
            </w:pPr>
            <w:r w:rsidRPr="00151FC7">
              <w:t>Complex investigations completed</w:t>
            </w:r>
          </w:p>
        </w:tc>
        <w:tc>
          <w:tcPr>
            <w:tcW w:w="1100" w:type="pct"/>
            <w:tcBorders>
              <w:top w:val="single" w:sz="4" w:space="0" w:color="auto"/>
              <w:left w:val="nil"/>
              <w:bottom w:val="single" w:sz="4" w:space="0" w:color="auto"/>
              <w:right w:val="nil"/>
            </w:tcBorders>
            <w:shd w:val="clear" w:color="auto" w:fill="F2F2F2" w:themeFill="background1" w:themeFillShade="F2"/>
            <w:hideMark/>
          </w:tcPr>
          <w:p w14:paraId="5931F9FE" w14:textId="699C21CA" w:rsidR="00B779D1" w:rsidRPr="007211D6" w:rsidRDefault="00542336" w:rsidP="007211D6">
            <w:pPr>
              <w:pStyle w:val="TableBodyTextrightalign"/>
            </w:pPr>
            <w:r w:rsidRPr="007211D6">
              <w:t>3</w:t>
            </w:r>
          </w:p>
        </w:tc>
      </w:tr>
      <w:tr w:rsidR="00C00DE4" w14:paraId="2D4E64D6" w14:textId="77777777" w:rsidTr="00C00DE4">
        <w:trPr>
          <w:trHeight w:val="134"/>
        </w:trPr>
        <w:tc>
          <w:tcPr>
            <w:tcW w:w="3900" w:type="pct"/>
            <w:tcBorders>
              <w:top w:val="single" w:sz="4" w:space="0" w:color="auto"/>
              <w:left w:val="nil"/>
              <w:bottom w:val="single" w:sz="4" w:space="0" w:color="auto"/>
              <w:right w:val="nil"/>
            </w:tcBorders>
            <w:hideMark/>
          </w:tcPr>
          <w:p w14:paraId="54373AED" w14:textId="3F97E1CD" w:rsidR="00B779D1" w:rsidRPr="00151FC7" w:rsidRDefault="00B779D1" w:rsidP="005360C3">
            <w:pPr>
              <w:pStyle w:val="TableBodyText"/>
            </w:pPr>
            <w:r w:rsidRPr="00151FC7">
              <w:t xml:space="preserve">Ongoing </w:t>
            </w:r>
            <w:r w:rsidRPr="00904403">
              <w:t>investigations</w:t>
            </w:r>
            <w:r w:rsidRPr="00151FC7">
              <w:t xml:space="preserve"> and preliminary inquiries at 30 June</w:t>
            </w:r>
            <w:r w:rsidR="005360C3">
              <w:t xml:space="preserve"> 2023</w:t>
            </w:r>
          </w:p>
        </w:tc>
        <w:tc>
          <w:tcPr>
            <w:tcW w:w="1100" w:type="pct"/>
            <w:tcBorders>
              <w:top w:val="single" w:sz="4" w:space="0" w:color="auto"/>
              <w:left w:val="nil"/>
              <w:bottom w:val="single" w:sz="4" w:space="0" w:color="auto"/>
              <w:right w:val="nil"/>
            </w:tcBorders>
            <w:shd w:val="clear" w:color="auto" w:fill="F2F2F2" w:themeFill="background1" w:themeFillShade="F2"/>
            <w:hideMark/>
          </w:tcPr>
          <w:p w14:paraId="65DC7960" w14:textId="2B6765D6" w:rsidR="00B779D1" w:rsidRPr="007211D6" w:rsidRDefault="00F952FD" w:rsidP="007211D6">
            <w:pPr>
              <w:pStyle w:val="TableBodyTextrightalign"/>
              <w:rPr>
                <w:rStyle w:val="Characterbold"/>
                <w:b w:val="0"/>
              </w:rPr>
            </w:pPr>
            <w:r w:rsidRPr="007211D6">
              <w:t>7</w:t>
            </w:r>
          </w:p>
        </w:tc>
      </w:tr>
    </w:tbl>
    <w:p w14:paraId="4B082133" w14:textId="2A1BCBA7" w:rsidR="00B5163E" w:rsidRDefault="00465B9C" w:rsidP="00151FC7">
      <w:pPr>
        <w:pStyle w:val="TableNote"/>
      </w:pPr>
      <w:r>
        <w:t>Notes</w:t>
      </w:r>
      <w:r w:rsidR="00A41C63">
        <w:t xml:space="preserve"> </w:t>
      </w:r>
    </w:p>
    <w:p w14:paraId="337F4221" w14:textId="5FDAC026" w:rsidR="00151FC7" w:rsidRDefault="008F19F4" w:rsidP="008F19F4">
      <w:pPr>
        <w:pStyle w:val="TableNote"/>
      </w:pPr>
      <w:r w:rsidRPr="00461A9D">
        <w:rPr>
          <w:rStyle w:val="Charactersuperscript"/>
        </w:rPr>
        <w:t>(</w:t>
      </w:r>
      <w:r>
        <w:rPr>
          <w:rStyle w:val="Charactersuperscript"/>
        </w:rPr>
        <w:t>a</w:t>
      </w:r>
      <w:r w:rsidRPr="00461A9D">
        <w:rPr>
          <w:rStyle w:val="Charactersuperscript"/>
        </w:rPr>
        <w:t>)</w:t>
      </w:r>
      <w:r w:rsidRPr="003965EA">
        <w:t xml:space="preserve"> </w:t>
      </w:r>
      <w:r w:rsidR="00A41C63">
        <w:t xml:space="preserve">In </w:t>
      </w:r>
      <w:r w:rsidR="000A1691">
        <w:t>2021/22</w:t>
      </w:r>
      <w:r w:rsidR="00B07072">
        <w:t>, we</w:t>
      </w:r>
      <w:r w:rsidR="00A41C63">
        <w:t xml:space="preserve"> </w:t>
      </w:r>
      <w:r w:rsidR="000919A5">
        <w:t>did not segment the number of</w:t>
      </w:r>
      <w:r w:rsidR="00A41C63">
        <w:t xml:space="preserve"> investigations and preliminar</w:t>
      </w:r>
      <w:r w:rsidR="000919A5">
        <w:t xml:space="preserve">y </w:t>
      </w:r>
      <w:r w:rsidR="008E41EB">
        <w:t xml:space="preserve">inquiries by sector. </w:t>
      </w:r>
    </w:p>
    <w:p w14:paraId="2E7DB722" w14:textId="25256098" w:rsidR="008F19F4" w:rsidRPr="007E78B5" w:rsidRDefault="008F19F4" w:rsidP="007E78B5">
      <w:pPr>
        <w:pStyle w:val="TableNote"/>
      </w:pPr>
      <w:r w:rsidRPr="00461A9D">
        <w:rPr>
          <w:rStyle w:val="Charactersuperscript"/>
        </w:rPr>
        <w:t>(</w:t>
      </w:r>
      <w:r>
        <w:rPr>
          <w:rStyle w:val="Charactersuperscript"/>
        </w:rPr>
        <w:t>b</w:t>
      </w:r>
      <w:r w:rsidRPr="00461A9D">
        <w:rPr>
          <w:rStyle w:val="Charactersuperscript"/>
        </w:rPr>
        <w:t>)</w:t>
      </w:r>
      <w:r w:rsidRPr="008F19F4">
        <w:t xml:space="preserve"> </w:t>
      </w:r>
      <w:r w:rsidRPr="003965EA">
        <w:t xml:space="preserve">Includes </w:t>
      </w:r>
      <w:r w:rsidR="00824B5D">
        <w:t xml:space="preserve">‘own-motion’ </w:t>
      </w:r>
      <w:r w:rsidRPr="003965EA">
        <w:t>investigations</w:t>
      </w:r>
      <w:r>
        <w:t xml:space="preserve"> where</w:t>
      </w:r>
      <w:r w:rsidRPr="003965EA">
        <w:t xml:space="preserve"> we decide to investigate on our own motion without a complaint from an individual or a notification from a public sector body.</w:t>
      </w:r>
    </w:p>
    <w:p w14:paraId="067ED0A6" w14:textId="7DB1868E" w:rsidR="00A41C63" w:rsidRPr="00CB565B" w:rsidRDefault="00A41C63" w:rsidP="00C445FB">
      <w:pPr>
        <w:pStyle w:val="TableNote"/>
      </w:pPr>
      <w:r>
        <w:t xml:space="preserve"> </w:t>
      </w:r>
    </w:p>
    <w:p w14:paraId="15478868" w14:textId="77777777" w:rsidR="00151FC7" w:rsidRPr="00151FC7" w:rsidRDefault="00151FC7" w:rsidP="004375F2">
      <w:pPr>
        <w:pStyle w:val="BodyText"/>
      </w:pPr>
      <w:r w:rsidRPr="00151FC7">
        <w:t xml:space="preserve">Investigation timeliness performance targets were met for both standard and complex investigations into Victoria Police matters. </w:t>
      </w:r>
    </w:p>
    <w:p w14:paraId="7A869107" w14:textId="44E4EF35" w:rsidR="00904403" w:rsidRDefault="00904403" w:rsidP="00834775">
      <w:pPr>
        <w:pStyle w:val="Caption"/>
      </w:pPr>
      <w:bookmarkStart w:id="86" w:name="_Ref149135849"/>
      <w:r>
        <w:t xml:space="preserve">Table </w:t>
      </w:r>
      <w:r>
        <w:fldChar w:fldCharType="begin"/>
      </w:r>
      <w:r>
        <w:instrText xml:space="preserve"> SEQ Table \* ARABIC </w:instrText>
      </w:r>
      <w:r>
        <w:fldChar w:fldCharType="separate"/>
      </w:r>
      <w:r w:rsidR="00B5163E">
        <w:rPr>
          <w:noProof/>
        </w:rPr>
        <w:t>11</w:t>
      </w:r>
      <w:r>
        <w:fldChar w:fldCharType="end"/>
      </w:r>
      <w:r>
        <w:t xml:space="preserve">: </w:t>
      </w:r>
      <w:r w:rsidRPr="00EE55CC">
        <w:t xml:space="preserve">IBAC </w:t>
      </w:r>
      <w:r w:rsidR="000A1691">
        <w:t>2022/23</w:t>
      </w:r>
      <w:r w:rsidRPr="00EE55CC">
        <w:t xml:space="preserve"> output performance – </w:t>
      </w:r>
      <w:r w:rsidR="00C445FB">
        <w:t>Victoria P</w:t>
      </w:r>
      <w:r w:rsidRPr="00EE55CC">
        <w:t>olice investigations</w:t>
      </w:r>
      <w:bookmarkEnd w:id="86"/>
    </w:p>
    <w:tbl>
      <w:tblPr>
        <w:tblStyle w:val="CustomTablestandard"/>
        <w:tblW w:w="0" w:type="auto"/>
        <w:tblLook w:val="04A0" w:firstRow="1" w:lastRow="0" w:firstColumn="1" w:lastColumn="0" w:noHBand="0" w:noVBand="1"/>
      </w:tblPr>
      <w:tblGrid>
        <w:gridCol w:w="2552"/>
        <w:gridCol w:w="1417"/>
        <w:gridCol w:w="1276"/>
        <w:gridCol w:w="1276"/>
        <w:gridCol w:w="1559"/>
        <w:gridCol w:w="947"/>
      </w:tblGrid>
      <w:tr w:rsidR="00151FC7" w14:paraId="45EB7990" w14:textId="77777777" w:rsidTr="00151FC7">
        <w:trPr>
          <w:cnfStyle w:val="100000000000" w:firstRow="1" w:lastRow="0" w:firstColumn="0" w:lastColumn="0" w:oddVBand="0" w:evenVBand="0" w:oddHBand="0" w:evenHBand="0" w:firstRowFirstColumn="0" w:firstRowLastColumn="0" w:lastRowFirstColumn="0" w:lastRowLastColumn="0"/>
          <w:trHeight w:val="300"/>
        </w:trPr>
        <w:tc>
          <w:tcPr>
            <w:tcW w:w="2552" w:type="dxa"/>
            <w:tcBorders>
              <w:left w:val="nil"/>
            </w:tcBorders>
            <w:hideMark/>
          </w:tcPr>
          <w:p w14:paraId="26B620C4" w14:textId="77777777" w:rsidR="00151FC7" w:rsidRPr="00254C0B" w:rsidRDefault="00151FC7" w:rsidP="00254C0B">
            <w:pPr>
              <w:pStyle w:val="TableHeading1"/>
            </w:pPr>
            <w:r w:rsidRPr="00254C0B">
              <w:t>Performance measures</w:t>
            </w:r>
          </w:p>
        </w:tc>
        <w:tc>
          <w:tcPr>
            <w:tcW w:w="1417" w:type="dxa"/>
            <w:hideMark/>
          </w:tcPr>
          <w:p w14:paraId="3413D30D" w14:textId="77777777" w:rsidR="00151FC7" w:rsidRPr="00151FC7" w:rsidRDefault="00151FC7" w:rsidP="00A660F1">
            <w:pPr>
              <w:pStyle w:val="TableHeading1"/>
            </w:pPr>
            <w:r w:rsidRPr="00151FC7">
              <w:t>Unit of measure</w:t>
            </w:r>
          </w:p>
        </w:tc>
        <w:tc>
          <w:tcPr>
            <w:tcW w:w="1276" w:type="dxa"/>
            <w:hideMark/>
          </w:tcPr>
          <w:p w14:paraId="77945703" w14:textId="188FD44B" w:rsidR="00151FC7" w:rsidRPr="00151FC7" w:rsidRDefault="000A1691" w:rsidP="00904403">
            <w:pPr>
              <w:pStyle w:val="TableHeading2centrealign"/>
            </w:pPr>
            <w:r>
              <w:t>2022/23</w:t>
            </w:r>
            <w:r w:rsidR="00151FC7" w:rsidRPr="00151FC7">
              <w:t xml:space="preserve"> actual</w:t>
            </w:r>
          </w:p>
        </w:tc>
        <w:tc>
          <w:tcPr>
            <w:tcW w:w="1276" w:type="dxa"/>
            <w:hideMark/>
          </w:tcPr>
          <w:p w14:paraId="10DAFE43" w14:textId="38ACE2FC" w:rsidR="00151FC7" w:rsidRPr="00151FC7" w:rsidRDefault="000A1691" w:rsidP="00904403">
            <w:pPr>
              <w:pStyle w:val="TableHeading2centrealign"/>
            </w:pPr>
            <w:r>
              <w:t>2022/23</w:t>
            </w:r>
            <w:r w:rsidR="00151FC7" w:rsidRPr="00151FC7">
              <w:t xml:space="preserve"> target</w:t>
            </w:r>
          </w:p>
        </w:tc>
        <w:tc>
          <w:tcPr>
            <w:tcW w:w="1559" w:type="dxa"/>
            <w:hideMark/>
          </w:tcPr>
          <w:p w14:paraId="3C5900AB" w14:textId="3834D7AF" w:rsidR="00151FC7" w:rsidRPr="00151FC7" w:rsidRDefault="008254CC" w:rsidP="00904403">
            <w:pPr>
              <w:pStyle w:val="TableHeading2centrealign"/>
            </w:pPr>
            <w:r>
              <w:t>V</w:t>
            </w:r>
            <w:r w:rsidR="00D81D00" w:rsidDel="00645EC0">
              <w:t>ariation</w:t>
            </w:r>
            <w:r w:rsidR="00D81D00">
              <w:t xml:space="preserve"> against target (%)</w:t>
            </w:r>
          </w:p>
        </w:tc>
        <w:tc>
          <w:tcPr>
            <w:tcW w:w="947" w:type="dxa"/>
            <w:tcBorders>
              <w:right w:val="nil"/>
            </w:tcBorders>
            <w:hideMark/>
          </w:tcPr>
          <w:p w14:paraId="3D7B8008" w14:textId="77777777" w:rsidR="00151FC7" w:rsidRPr="00151FC7" w:rsidRDefault="00151FC7" w:rsidP="00904403">
            <w:pPr>
              <w:pStyle w:val="TableHeading2centrealign"/>
            </w:pPr>
            <w:r w:rsidRPr="00151FC7">
              <w:t>Result</w:t>
            </w:r>
          </w:p>
        </w:tc>
      </w:tr>
      <w:tr w:rsidR="00151FC7" w14:paraId="34259521" w14:textId="77777777" w:rsidTr="00151FC7">
        <w:trPr>
          <w:trHeight w:val="300"/>
        </w:trPr>
        <w:tc>
          <w:tcPr>
            <w:tcW w:w="2552" w:type="dxa"/>
            <w:tcBorders>
              <w:top w:val="single" w:sz="4" w:space="0" w:color="auto"/>
              <w:left w:val="nil"/>
              <w:bottom w:val="single" w:sz="4" w:space="0" w:color="auto"/>
              <w:right w:val="nil"/>
            </w:tcBorders>
            <w:hideMark/>
          </w:tcPr>
          <w:p w14:paraId="75A36E2A" w14:textId="77777777" w:rsidR="00151FC7" w:rsidRPr="00F11E62" w:rsidRDefault="00151FC7" w:rsidP="00F11E62">
            <w:r w:rsidRPr="00F11E62">
              <w:t>Timeliness</w:t>
            </w:r>
          </w:p>
        </w:tc>
        <w:tc>
          <w:tcPr>
            <w:tcW w:w="1417" w:type="dxa"/>
            <w:tcBorders>
              <w:top w:val="single" w:sz="4" w:space="0" w:color="auto"/>
              <w:left w:val="nil"/>
              <w:bottom w:val="single" w:sz="4" w:space="0" w:color="auto"/>
              <w:right w:val="nil"/>
            </w:tcBorders>
          </w:tcPr>
          <w:p w14:paraId="19C62DD5" w14:textId="77777777" w:rsidR="00151FC7" w:rsidRPr="00151FC7" w:rsidRDefault="00151FC7" w:rsidP="00151FC7">
            <w:pPr>
              <w:pStyle w:val="TableBodyText"/>
              <w:ind w:left="360" w:hanging="360"/>
            </w:pPr>
          </w:p>
        </w:tc>
        <w:tc>
          <w:tcPr>
            <w:tcW w:w="1276" w:type="dxa"/>
            <w:tcBorders>
              <w:top w:val="single" w:sz="4" w:space="0" w:color="auto"/>
              <w:left w:val="nil"/>
              <w:bottom w:val="single" w:sz="4" w:space="0" w:color="auto"/>
              <w:right w:val="nil"/>
            </w:tcBorders>
          </w:tcPr>
          <w:p w14:paraId="62D8FF7F" w14:textId="77777777" w:rsidR="00151FC7" w:rsidRPr="00151FC7" w:rsidRDefault="00151FC7" w:rsidP="00151FC7">
            <w:pPr>
              <w:pStyle w:val="TableBodyText"/>
              <w:ind w:left="360" w:hanging="360"/>
            </w:pPr>
          </w:p>
        </w:tc>
        <w:tc>
          <w:tcPr>
            <w:tcW w:w="1276" w:type="dxa"/>
            <w:tcBorders>
              <w:top w:val="single" w:sz="4" w:space="0" w:color="auto"/>
              <w:left w:val="nil"/>
              <w:bottom w:val="single" w:sz="4" w:space="0" w:color="auto"/>
              <w:right w:val="nil"/>
            </w:tcBorders>
          </w:tcPr>
          <w:p w14:paraId="39CE910A" w14:textId="77777777" w:rsidR="00151FC7" w:rsidRPr="00151FC7" w:rsidRDefault="00151FC7" w:rsidP="00151FC7">
            <w:pPr>
              <w:pStyle w:val="TableBodyText"/>
              <w:ind w:left="360" w:hanging="360"/>
            </w:pPr>
          </w:p>
        </w:tc>
        <w:tc>
          <w:tcPr>
            <w:tcW w:w="1559" w:type="dxa"/>
            <w:tcBorders>
              <w:top w:val="single" w:sz="4" w:space="0" w:color="auto"/>
              <w:left w:val="nil"/>
              <w:bottom w:val="single" w:sz="4" w:space="0" w:color="auto"/>
              <w:right w:val="nil"/>
            </w:tcBorders>
          </w:tcPr>
          <w:p w14:paraId="449F07AC" w14:textId="77777777" w:rsidR="00151FC7" w:rsidRPr="00151FC7" w:rsidRDefault="00151FC7" w:rsidP="00151FC7">
            <w:pPr>
              <w:pStyle w:val="TableBodyText"/>
              <w:ind w:left="360" w:hanging="360"/>
            </w:pPr>
          </w:p>
        </w:tc>
        <w:tc>
          <w:tcPr>
            <w:tcW w:w="947" w:type="dxa"/>
            <w:tcBorders>
              <w:top w:val="single" w:sz="4" w:space="0" w:color="auto"/>
              <w:left w:val="nil"/>
              <w:bottom w:val="single" w:sz="4" w:space="0" w:color="auto"/>
              <w:right w:val="nil"/>
            </w:tcBorders>
          </w:tcPr>
          <w:p w14:paraId="23F61F90" w14:textId="77777777" w:rsidR="00151FC7" w:rsidRPr="00151FC7" w:rsidRDefault="00151FC7" w:rsidP="00151FC7">
            <w:pPr>
              <w:pStyle w:val="TableHeading1"/>
              <w:ind w:left="360" w:hanging="360"/>
            </w:pPr>
          </w:p>
        </w:tc>
      </w:tr>
      <w:tr w:rsidR="00151FC7" w14:paraId="72E4BDC4" w14:textId="77777777" w:rsidTr="00151FC7">
        <w:trPr>
          <w:trHeight w:val="300"/>
        </w:trPr>
        <w:tc>
          <w:tcPr>
            <w:tcW w:w="2552" w:type="dxa"/>
            <w:tcBorders>
              <w:top w:val="single" w:sz="4" w:space="0" w:color="auto"/>
              <w:left w:val="nil"/>
              <w:bottom w:val="single" w:sz="4" w:space="0" w:color="auto"/>
              <w:right w:val="nil"/>
            </w:tcBorders>
            <w:hideMark/>
          </w:tcPr>
          <w:p w14:paraId="20D6E736" w14:textId="121B2CA2" w:rsidR="00151FC7" w:rsidRPr="00904403" w:rsidRDefault="00151FC7" w:rsidP="00B5163E">
            <w:pPr>
              <w:pStyle w:val="TableBodyText"/>
            </w:pPr>
            <w:r w:rsidRPr="00904403">
              <w:t xml:space="preserve">Proportion of standard IBAC investigations into police conduct completed within </w:t>
            </w:r>
            <w:r w:rsidR="00090922">
              <w:t>9</w:t>
            </w:r>
            <w:r w:rsidRPr="00904403">
              <w:t xml:space="preserve"> months</w:t>
            </w:r>
          </w:p>
        </w:tc>
        <w:tc>
          <w:tcPr>
            <w:tcW w:w="1417" w:type="dxa"/>
            <w:tcBorders>
              <w:top w:val="single" w:sz="4" w:space="0" w:color="auto"/>
              <w:left w:val="nil"/>
              <w:bottom w:val="single" w:sz="4" w:space="0" w:color="auto"/>
              <w:right w:val="nil"/>
            </w:tcBorders>
            <w:hideMark/>
          </w:tcPr>
          <w:p w14:paraId="6F70BC62" w14:textId="77777777" w:rsidR="00151FC7" w:rsidRPr="00151FC7" w:rsidRDefault="00151FC7" w:rsidP="00A660F1">
            <w:pPr>
              <w:pStyle w:val="TableBodyText"/>
            </w:pPr>
            <w:r w:rsidRPr="00151FC7">
              <w:t>Percentage</w:t>
            </w:r>
          </w:p>
        </w:tc>
        <w:tc>
          <w:tcPr>
            <w:tcW w:w="1276" w:type="dxa"/>
            <w:tcBorders>
              <w:top w:val="single" w:sz="4" w:space="0" w:color="auto"/>
              <w:left w:val="nil"/>
              <w:bottom w:val="single" w:sz="4" w:space="0" w:color="auto"/>
              <w:right w:val="nil"/>
            </w:tcBorders>
            <w:hideMark/>
          </w:tcPr>
          <w:p w14:paraId="52F7FD87" w14:textId="77777777" w:rsidR="00151FC7" w:rsidRPr="007211D6" w:rsidRDefault="00151FC7" w:rsidP="007211D6">
            <w:pPr>
              <w:pStyle w:val="TableBodyTextcentrealign"/>
            </w:pPr>
            <w:r w:rsidRPr="007211D6">
              <w:t>100</w:t>
            </w:r>
          </w:p>
        </w:tc>
        <w:tc>
          <w:tcPr>
            <w:tcW w:w="1276" w:type="dxa"/>
            <w:tcBorders>
              <w:top w:val="single" w:sz="4" w:space="0" w:color="auto"/>
              <w:left w:val="nil"/>
              <w:bottom w:val="single" w:sz="4" w:space="0" w:color="auto"/>
              <w:right w:val="nil"/>
            </w:tcBorders>
            <w:hideMark/>
          </w:tcPr>
          <w:p w14:paraId="0EC5FCB0" w14:textId="77777777" w:rsidR="00151FC7" w:rsidRPr="007211D6" w:rsidRDefault="00151FC7" w:rsidP="007211D6">
            <w:pPr>
              <w:pStyle w:val="TableBodyTextcentrealign"/>
            </w:pPr>
            <w:r w:rsidRPr="007211D6">
              <w:t>60</w:t>
            </w:r>
          </w:p>
        </w:tc>
        <w:tc>
          <w:tcPr>
            <w:tcW w:w="1559" w:type="dxa"/>
            <w:tcBorders>
              <w:top w:val="single" w:sz="4" w:space="0" w:color="auto"/>
              <w:left w:val="nil"/>
              <w:bottom w:val="single" w:sz="4" w:space="0" w:color="auto"/>
              <w:right w:val="nil"/>
            </w:tcBorders>
            <w:hideMark/>
          </w:tcPr>
          <w:p w14:paraId="5C7B9AD7" w14:textId="77777777" w:rsidR="00151FC7" w:rsidRPr="007211D6" w:rsidRDefault="00151FC7" w:rsidP="007211D6">
            <w:pPr>
              <w:pStyle w:val="TableBodyTextcentrealign"/>
            </w:pPr>
            <w:r w:rsidRPr="007211D6">
              <w:t>67</w:t>
            </w:r>
          </w:p>
        </w:tc>
        <w:tc>
          <w:tcPr>
            <w:tcW w:w="947" w:type="dxa"/>
            <w:tcBorders>
              <w:top w:val="single" w:sz="4" w:space="0" w:color="auto"/>
              <w:left w:val="nil"/>
              <w:bottom w:val="single" w:sz="4" w:space="0" w:color="auto"/>
              <w:right w:val="nil"/>
            </w:tcBorders>
            <w:hideMark/>
          </w:tcPr>
          <w:p w14:paraId="0CF01F12" w14:textId="77777777" w:rsidR="00151FC7" w:rsidRPr="007E78B5" w:rsidRDefault="00151FC7" w:rsidP="007E78B5">
            <w:pPr>
              <w:pStyle w:val="TableBodyTextcentrealign"/>
            </w:pPr>
            <w:r w:rsidRPr="007E78B5">
              <w:rPr>
                <w:rFonts w:ascii="Segoe UI Symbol" w:hAnsi="Segoe UI Symbol" w:cs="Segoe UI Symbol"/>
              </w:rPr>
              <w:t>✓</w:t>
            </w:r>
          </w:p>
        </w:tc>
      </w:tr>
      <w:tr w:rsidR="00151FC7" w14:paraId="7D36A556" w14:textId="77777777" w:rsidTr="00151FC7">
        <w:trPr>
          <w:trHeight w:val="300"/>
        </w:trPr>
        <w:tc>
          <w:tcPr>
            <w:tcW w:w="2552" w:type="dxa"/>
            <w:tcBorders>
              <w:top w:val="single" w:sz="4" w:space="0" w:color="auto"/>
              <w:left w:val="nil"/>
              <w:bottom w:val="single" w:sz="4" w:space="0" w:color="auto"/>
              <w:right w:val="nil"/>
            </w:tcBorders>
            <w:hideMark/>
          </w:tcPr>
          <w:p w14:paraId="4C510C4D" w14:textId="010EA118" w:rsidR="00151FC7" w:rsidRPr="00904403" w:rsidRDefault="00151FC7" w:rsidP="00B5163E">
            <w:pPr>
              <w:pStyle w:val="TableBodyText"/>
            </w:pPr>
            <w:r w:rsidRPr="00904403">
              <w:t xml:space="preserve">Proportion of </w:t>
            </w:r>
            <w:r w:rsidR="00BE0B71">
              <w:t>complex</w:t>
            </w:r>
            <w:r w:rsidR="00BE0B71" w:rsidRPr="00904403">
              <w:t xml:space="preserve"> </w:t>
            </w:r>
            <w:r w:rsidRPr="00904403">
              <w:t>IBAC investigations into police conduct completed within 18 months</w:t>
            </w:r>
          </w:p>
        </w:tc>
        <w:tc>
          <w:tcPr>
            <w:tcW w:w="1417" w:type="dxa"/>
            <w:tcBorders>
              <w:top w:val="single" w:sz="4" w:space="0" w:color="auto"/>
              <w:left w:val="nil"/>
              <w:bottom w:val="single" w:sz="4" w:space="0" w:color="auto"/>
              <w:right w:val="nil"/>
            </w:tcBorders>
            <w:hideMark/>
          </w:tcPr>
          <w:p w14:paraId="5C51C8CD" w14:textId="77777777" w:rsidR="00151FC7" w:rsidRPr="00151FC7" w:rsidRDefault="00151FC7" w:rsidP="00A660F1">
            <w:pPr>
              <w:pStyle w:val="TableBodyText"/>
            </w:pPr>
            <w:r w:rsidRPr="00151FC7">
              <w:t>Percentage</w:t>
            </w:r>
          </w:p>
        </w:tc>
        <w:tc>
          <w:tcPr>
            <w:tcW w:w="1276" w:type="dxa"/>
            <w:tcBorders>
              <w:top w:val="single" w:sz="4" w:space="0" w:color="auto"/>
              <w:left w:val="nil"/>
              <w:bottom w:val="single" w:sz="4" w:space="0" w:color="auto"/>
              <w:right w:val="nil"/>
            </w:tcBorders>
            <w:hideMark/>
          </w:tcPr>
          <w:p w14:paraId="489150B7" w14:textId="77777777" w:rsidR="00151FC7" w:rsidRPr="007211D6" w:rsidRDefault="00151FC7" w:rsidP="007211D6">
            <w:pPr>
              <w:pStyle w:val="TableBodyTextcentrealign"/>
            </w:pPr>
            <w:r w:rsidRPr="007211D6">
              <w:t>100</w:t>
            </w:r>
          </w:p>
        </w:tc>
        <w:tc>
          <w:tcPr>
            <w:tcW w:w="1276" w:type="dxa"/>
            <w:tcBorders>
              <w:top w:val="single" w:sz="4" w:space="0" w:color="auto"/>
              <w:left w:val="nil"/>
              <w:bottom w:val="single" w:sz="4" w:space="0" w:color="auto"/>
              <w:right w:val="nil"/>
            </w:tcBorders>
            <w:hideMark/>
          </w:tcPr>
          <w:p w14:paraId="09D25A12" w14:textId="77777777" w:rsidR="00151FC7" w:rsidRPr="007211D6" w:rsidRDefault="00151FC7" w:rsidP="007211D6">
            <w:pPr>
              <w:pStyle w:val="TableBodyTextcentrealign"/>
            </w:pPr>
            <w:r w:rsidRPr="007211D6">
              <w:t>60</w:t>
            </w:r>
          </w:p>
        </w:tc>
        <w:tc>
          <w:tcPr>
            <w:tcW w:w="1559" w:type="dxa"/>
            <w:tcBorders>
              <w:top w:val="single" w:sz="4" w:space="0" w:color="auto"/>
              <w:left w:val="nil"/>
              <w:bottom w:val="single" w:sz="4" w:space="0" w:color="auto"/>
              <w:right w:val="nil"/>
            </w:tcBorders>
            <w:hideMark/>
          </w:tcPr>
          <w:p w14:paraId="65D612FE" w14:textId="77777777" w:rsidR="00151FC7" w:rsidRPr="007211D6" w:rsidRDefault="00151FC7" w:rsidP="007211D6">
            <w:pPr>
              <w:pStyle w:val="TableBodyTextcentrealign"/>
            </w:pPr>
            <w:r w:rsidRPr="007211D6">
              <w:t>67</w:t>
            </w:r>
          </w:p>
        </w:tc>
        <w:tc>
          <w:tcPr>
            <w:tcW w:w="947" w:type="dxa"/>
            <w:tcBorders>
              <w:top w:val="single" w:sz="4" w:space="0" w:color="auto"/>
              <w:left w:val="nil"/>
              <w:bottom w:val="single" w:sz="4" w:space="0" w:color="auto"/>
              <w:right w:val="nil"/>
            </w:tcBorders>
            <w:hideMark/>
          </w:tcPr>
          <w:p w14:paraId="60A38BCA" w14:textId="77777777" w:rsidR="00151FC7" w:rsidRPr="007E78B5" w:rsidRDefault="00151FC7" w:rsidP="007E78B5">
            <w:pPr>
              <w:pStyle w:val="TableBodyTextcentrealign"/>
            </w:pPr>
            <w:r w:rsidRPr="007E78B5">
              <w:rPr>
                <w:rFonts w:ascii="Segoe UI Symbol" w:hAnsi="Segoe UI Symbol" w:cs="Segoe UI Symbol"/>
              </w:rPr>
              <w:t>✓</w:t>
            </w:r>
          </w:p>
        </w:tc>
      </w:tr>
    </w:tbl>
    <w:p w14:paraId="1C51D223" w14:textId="28583704" w:rsidR="00904403" w:rsidRPr="00904403" w:rsidRDefault="00904403" w:rsidP="00904403">
      <w:pPr>
        <w:pStyle w:val="TableNote"/>
        <w:rPr>
          <w:rStyle w:val="Charactersuperscript"/>
          <w:lang w:eastAsia="en-AU"/>
        </w:rPr>
      </w:pPr>
      <w:r w:rsidRPr="00151FC7">
        <w:t>Note</w:t>
      </w:r>
    </w:p>
    <w:p w14:paraId="346D9065" w14:textId="29C836C5" w:rsidR="00904403" w:rsidRPr="00904403" w:rsidRDefault="00904403" w:rsidP="00904403">
      <w:pPr>
        <w:pStyle w:val="TableNote"/>
      </w:pPr>
      <w:r w:rsidRPr="00904403">
        <w:t xml:space="preserve">Results were calculated using new methodology which defines ‘completed’ as when all planned investigation activities have been completed. It does not signal the end of an operation, which may include subsequent activity such as public reporting. IBAC’s performance results should not be impacted by factors outside </w:t>
      </w:r>
      <w:r w:rsidR="007B7BAE">
        <w:t>of our</w:t>
      </w:r>
      <w:r w:rsidRPr="00904403">
        <w:t xml:space="preserve"> control, such as </w:t>
      </w:r>
      <w:r w:rsidR="007B7BAE">
        <w:t xml:space="preserve">a </w:t>
      </w:r>
      <w:r w:rsidRPr="00904403">
        <w:t xml:space="preserve">legal challenge to </w:t>
      </w:r>
      <w:r w:rsidR="007B7BAE">
        <w:t xml:space="preserve">the release of a </w:t>
      </w:r>
      <w:r w:rsidRPr="00904403">
        <w:t xml:space="preserve">report. </w:t>
      </w:r>
      <w:r w:rsidR="00B331E3">
        <w:t>These factors skew t</w:t>
      </w:r>
      <w:r w:rsidR="00BC3DDE">
        <w:t xml:space="preserve">imeliness data and do not accurately convey </w:t>
      </w:r>
      <w:r w:rsidR="00CB68FA">
        <w:t>our performance. Data that</w:t>
      </w:r>
      <w:r w:rsidR="00C445FB">
        <w:t xml:space="preserve"> </w:t>
      </w:r>
      <w:r w:rsidR="00CB68FA">
        <w:t>is more representative of o</w:t>
      </w:r>
      <w:r w:rsidR="008431A3">
        <w:t xml:space="preserve">ur actual performance helps monitor and inform process improvements. </w:t>
      </w:r>
      <w:r w:rsidRPr="00904403">
        <w:t xml:space="preserve">Under the new business rules, </w:t>
      </w:r>
      <w:r w:rsidR="007C2567">
        <w:t>four</w:t>
      </w:r>
      <w:r w:rsidRPr="00904403">
        <w:t xml:space="preserve"> investigations </w:t>
      </w:r>
      <w:r w:rsidR="000F0B0A" w:rsidRPr="000F0B0A">
        <w:t>into police conduct</w:t>
      </w:r>
      <w:r w:rsidR="000F0B0A">
        <w:t xml:space="preserve"> </w:t>
      </w:r>
      <w:r w:rsidRPr="00904403">
        <w:t xml:space="preserve">not previously reported as being completed were assessed as having been completed prior to the </w:t>
      </w:r>
      <w:r w:rsidR="000A1691">
        <w:t>2022/23</w:t>
      </w:r>
      <w:r w:rsidRPr="00904403">
        <w:t xml:space="preserve"> financial year.</w:t>
      </w:r>
    </w:p>
    <w:p w14:paraId="422A7DD9" w14:textId="3342F0C6" w:rsidR="00151FC7" w:rsidRPr="00151FC7" w:rsidRDefault="00151FC7" w:rsidP="00B07072">
      <w:pPr>
        <w:pStyle w:val="Heading4"/>
      </w:pPr>
      <w:bookmarkStart w:id="87" w:name="_Ref149166373"/>
      <w:r w:rsidRPr="00151FC7">
        <w:t>Examinations</w:t>
      </w:r>
      <w:bookmarkEnd w:id="87"/>
    </w:p>
    <w:p w14:paraId="732AC02D" w14:textId="29892B17" w:rsidR="00151FC7" w:rsidRPr="00151FC7" w:rsidRDefault="00151FC7" w:rsidP="004375F2">
      <w:pPr>
        <w:pStyle w:val="BodyText"/>
      </w:pPr>
      <w:r w:rsidRPr="00151FC7">
        <w:t xml:space="preserve">As part of an investigation, IBAC may hold private and/or public examinations. Examinations are not trials, and do not determine guilt or innocence. </w:t>
      </w:r>
      <w:r w:rsidR="00493515">
        <w:t xml:space="preserve">They are used as </w:t>
      </w:r>
      <w:r w:rsidRPr="00151FC7">
        <w:t>an investigative tool</w:t>
      </w:r>
      <w:r w:rsidR="00493515">
        <w:t xml:space="preserve"> </w:t>
      </w:r>
      <w:r w:rsidRPr="00151FC7">
        <w:t xml:space="preserve">to gather information and support our efforts to </w:t>
      </w:r>
      <w:r w:rsidR="00493515">
        <w:t xml:space="preserve">prevent and </w:t>
      </w:r>
      <w:r w:rsidRPr="00151FC7">
        <w:t>expose police misconduct.</w:t>
      </w:r>
    </w:p>
    <w:p w14:paraId="4A1B7017" w14:textId="3027081D" w:rsidR="00151FC7" w:rsidRPr="00151FC7" w:rsidRDefault="00151FC7" w:rsidP="004375F2">
      <w:pPr>
        <w:pStyle w:val="BodyText"/>
      </w:pPr>
      <w:r w:rsidRPr="00151FC7">
        <w:t xml:space="preserve">More information about </w:t>
      </w:r>
      <w:hyperlink r:id="rId44" w:history="1">
        <w:r w:rsidRPr="00C445FB">
          <w:rPr>
            <w:rStyle w:val="Hyperlink"/>
          </w:rPr>
          <w:t>examinations</w:t>
        </w:r>
      </w:hyperlink>
      <w:r w:rsidRPr="00151FC7">
        <w:t xml:space="preserve"> can found on the IBAC website (</w:t>
      </w:r>
      <w:r w:rsidR="00C445FB" w:rsidRPr="00C445FB">
        <w:t>www.ibac.vic.gov.au/ibac-examinations</w:t>
      </w:r>
      <w:r w:rsidRPr="00151FC7">
        <w:t>)</w:t>
      </w:r>
      <w:r w:rsidR="00406A4E">
        <w:t>.</w:t>
      </w:r>
    </w:p>
    <w:p w14:paraId="19A7F202" w14:textId="3D50AD56" w:rsidR="00151FC7" w:rsidRPr="00151FC7" w:rsidRDefault="005F7068" w:rsidP="004375F2">
      <w:pPr>
        <w:pStyle w:val="BodyText"/>
      </w:pPr>
      <w:r>
        <w:fldChar w:fldCharType="begin"/>
      </w:r>
      <w:r>
        <w:instrText xml:space="preserve"> REF _Ref141214979 \h </w:instrText>
      </w:r>
      <w:r>
        <w:fldChar w:fldCharType="separate"/>
      </w:r>
      <w:r w:rsidR="00B5163E">
        <w:t xml:space="preserve">Table </w:t>
      </w:r>
      <w:r w:rsidR="00B5163E">
        <w:rPr>
          <w:noProof/>
        </w:rPr>
        <w:t>12</w:t>
      </w:r>
      <w:r>
        <w:fldChar w:fldCharType="end"/>
      </w:r>
      <w:r w:rsidR="00151FC7" w:rsidRPr="00151FC7">
        <w:t xml:space="preserve"> provides information on examinations conducted during IBAC investigations in </w:t>
      </w:r>
      <w:r w:rsidR="000A1691">
        <w:t>2022/23</w:t>
      </w:r>
      <w:r w:rsidR="00151FC7" w:rsidRPr="00151FC7">
        <w:t xml:space="preserve">. </w:t>
      </w:r>
    </w:p>
    <w:p w14:paraId="08EC60BA" w14:textId="4A0D4DDB" w:rsidR="00406A4E" w:rsidRDefault="00406A4E" w:rsidP="00834775">
      <w:pPr>
        <w:pStyle w:val="Caption"/>
      </w:pPr>
      <w:bookmarkStart w:id="88" w:name="_Ref141214979"/>
      <w:bookmarkStart w:id="89" w:name="_Ref149135863"/>
      <w:r>
        <w:t xml:space="preserve">Table </w:t>
      </w:r>
      <w:r>
        <w:fldChar w:fldCharType="begin"/>
      </w:r>
      <w:r>
        <w:instrText xml:space="preserve"> SEQ Table \* ARABIC </w:instrText>
      </w:r>
      <w:r>
        <w:fldChar w:fldCharType="separate"/>
      </w:r>
      <w:r w:rsidR="00B5163E">
        <w:rPr>
          <w:noProof/>
        </w:rPr>
        <w:t>12</w:t>
      </w:r>
      <w:r>
        <w:fldChar w:fldCharType="end"/>
      </w:r>
      <w:bookmarkEnd w:id="88"/>
      <w:r>
        <w:t xml:space="preserve">: </w:t>
      </w:r>
      <w:r w:rsidRPr="00D815C5">
        <w:t xml:space="preserve">Examinations undertaken as part of IBAC investigations </w:t>
      </w:r>
      <w:r>
        <w:t>–</w:t>
      </w:r>
      <w:r w:rsidRPr="00D815C5">
        <w:t xml:space="preserve"> Victoria Police</w:t>
      </w:r>
      <w:bookmarkEnd w:id="89"/>
    </w:p>
    <w:tbl>
      <w:tblPr>
        <w:tblStyle w:val="CustomTablestandard"/>
        <w:tblW w:w="2737" w:type="pct"/>
        <w:tblLook w:val="04E0" w:firstRow="1" w:lastRow="1" w:firstColumn="1" w:lastColumn="0" w:noHBand="0" w:noVBand="1"/>
      </w:tblPr>
      <w:tblGrid>
        <w:gridCol w:w="2897"/>
        <w:gridCol w:w="2044"/>
      </w:tblGrid>
      <w:tr w:rsidR="003A17BD" w14:paraId="25173446" w14:textId="77777777" w:rsidTr="00B5163E">
        <w:trPr>
          <w:cnfStyle w:val="100000000000" w:firstRow="1" w:lastRow="0" w:firstColumn="0" w:lastColumn="0" w:oddVBand="0" w:evenVBand="0" w:oddHBand="0" w:evenHBand="0" w:firstRowFirstColumn="0" w:firstRowLastColumn="0" w:lastRowFirstColumn="0" w:lastRowLastColumn="0"/>
        </w:trPr>
        <w:tc>
          <w:tcPr>
            <w:tcW w:w="2932" w:type="pct"/>
            <w:tcBorders>
              <w:left w:val="nil"/>
            </w:tcBorders>
          </w:tcPr>
          <w:p w14:paraId="0DD03901" w14:textId="77777777" w:rsidR="003A17BD" w:rsidRPr="00151FC7" w:rsidRDefault="003A17BD" w:rsidP="00151FC7">
            <w:pPr>
              <w:pStyle w:val="TableHeading2centrealign"/>
              <w:ind w:left="360" w:hanging="360"/>
              <w:rPr>
                <w:lang w:val="en-US" w:eastAsia="en-US"/>
              </w:rPr>
            </w:pPr>
          </w:p>
        </w:tc>
        <w:tc>
          <w:tcPr>
            <w:tcW w:w="2068" w:type="pct"/>
            <w:hideMark/>
          </w:tcPr>
          <w:p w14:paraId="08279D01" w14:textId="11B82E85" w:rsidR="003A17BD" w:rsidRPr="007E78B5" w:rsidRDefault="000A1691" w:rsidP="007E78B5">
            <w:pPr>
              <w:pStyle w:val="TableHeading3rightalign"/>
            </w:pPr>
            <w:r w:rsidRPr="007E78B5">
              <w:t>2022/23</w:t>
            </w:r>
          </w:p>
        </w:tc>
      </w:tr>
      <w:tr w:rsidR="003A17BD" w14:paraId="2E922F3E" w14:textId="77777777" w:rsidTr="00B5163E">
        <w:tc>
          <w:tcPr>
            <w:tcW w:w="2932" w:type="pct"/>
            <w:tcBorders>
              <w:top w:val="single" w:sz="4" w:space="0" w:color="auto"/>
              <w:left w:val="nil"/>
              <w:bottom w:val="single" w:sz="4" w:space="0" w:color="auto"/>
              <w:right w:val="nil"/>
            </w:tcBorders>
            <w:hideMark/>
          </w:tcPr>
          <w:p w14:paraId="063D2DB6" w14:textId="77777777" w:rsidR="003A17BD" w:rsidRPr="007E78B5" w:rsidRDefault="003A17BD" w:rsidP="007E78B5">
            <w:pPr>
              <w:pStyle w:val="TableBodyText"/>
            </w:pPr>
            <w:r w:rsidRPr="007E78B5">
              <w:t>Private examination days</w:t>
            </w:r>
          </w:p>
        </w:tc>
        <w:tc>
          <w:tcPr>
            <w:tcW w:w="2068" w:type="pct"/>
            <w:tcBorders>
              <w:top w:val="single" w:sz="4" w:space="0" w:color="auto"/>
              <w:left w:val="nil"/>
              <w:bottom w:val="single" w:sz="4" w:space="0" w:color="auto"/>
              <w:right w:val="nil"/>
            </w:tcBorders>
            <w:shd w:val="clear" w:color="auto" w:fill="F2F2F2" w:themeFill="background1" w:themeFillShade="F2"/>
            <w:hideMark/>
          </w:tcPr>
          <w:p w14:paraId="740F4F25" w14:textId="37B8FCCB" w:rsidR="003A17BD" w:rsidRPr="00C445FB" w:rsidRDefault="003B46A7" w:rsidP="00C445FB">
            <w:pPr>
              <w:pStyle w:val="TableBodyTextrightalign"/>
              <w:rPr>
                <w:rStyle w:val="Characterbold"/>
                <w:b w:val="0"/>
              </w:rPr>
            </w:pPr>
            <w:r w:rsidRPr="00C445FB">
              <w:t>1</w:t>
            </w:r>
          </w:p>
        </w:tc>
      </w:tr>
      <w:tr w:rsidR="003A17BD" w14:paraId="1784AB52" w14:textId="77777777" w:rsidTr="00B5163E">
        <w:tc>
          <w:tcPr>
            <w:tcW w:w="2932" w:type="pct"/>
            <w:tcBorders>
              <w:top w:val="single" w:sz="4" w:space="0" w:color="auto"/>
              <w:left w:val="nil"/>
              <w:bottom w:val="single" w:sz="4" w:space="0" w:color="auto"/>
              <w:right w:val="nil"/>
            </w:tcBorders>
            <w:hideMark/>
          </w:tcPr>
          <w:p w14:paraId="392B31D2" w14:textId="3495766E" w:rsidR="003A17BD" w:rsidRPr="00151FC7" w:rsidRDefault="003A17BD" w:rsidP="00B5163E">
            <w:pPr>
              <w:pStyle w:val="TableBodyText"/>
              <w:rPr>
                <w:lang w:val="en-US"/>
              </w:rPr>
            </w:pPr>
            <w:r w:rsidRPr="00151FC7">
              <w:t>Public examination days</w:t>
            </w:r>
          </w:p>
        </w:tc>
        <w:tc>
          <w:tcPr>
            <w:tcW w:w="2068" w:type="pct"/>
            <w:tcBorders>
              <w:top w:val="single" w:sz="4" w:space="0" w:color="auto"/>
              <w:left w:val="nil"/>
              <w:bottom w:val="single" w:sz="4" w:space="0" w:color="auto"/>
              <w:right w:val="nil"/>
            </w:tcBorders>
            <w:shd w:val="clear" w:color="auto" w:fill="F2F2F2" w:themeFill="background1" w:themeFillShade="F2"/>
            <w:hideMark/>
          </w:tcPr>
          <w:p w14:paraId="49230607" w14:textId="33DE851A" w:rsidR="003A17BD" w:rsidRPr="00C445FB" w:rsidRDefault="003B46A7" w:rsidP="00C445FB">
            <w:pPr>
              <w:pStyle w:val="TableBodyTextrightalign"/>
              <w:rPr>
                <w:rStyle w:val="Characterbold"/>
                <w:b w:val="0"/>
              </w:rPr>
            </w:pPr>
            <w:r w:rsidRPr="00C445FB">
              <w:t>0</w:t>
            </w:r>
          </w:p>
        </w:tc>
      </w:tr>
      <w:tr w:rsidR="003A17BD" w14:paraId="7F4D79E7" w14:textId="77777777" w:rsidTr="00B5163E">
        <w:tc>
          <w:tcPr>
            <w:tcW w:w="2932" w:type="pct"/>
            <w:tcBorders>
              <w:top w:val="single" w:sz="4" w:space="0" w:color="auto"/>
              <w:left w:val="nil"/>
              <w:bottom w:val="single" w:sz="4" w:space="0" w:color="auto"/>
              <w:right w:val="nil"/>
            </w:tcBorders>
            <w:hideMark/>
          </w:tcPr>
          <w:p w14:paraId="57AD2B06" w14:textId="77777777" w:rsidR="003A17BD" w:rsidRPr="00151FC7" w:rsidRDefault="003A17BD" w:rsidP="00B5163E">
            <w:pPr>
              <w:pStyle w:val="TableBodyText"/>
              <w:rPr>
                <w:lang w:val="en-US"/>
              </w:rPr>
            </w:pPr>
            <w:r w:rsidRPr="00151FC7">
              <w:t>Witnesses called</w:t>
            </w:r>
          </w:p>
        </w:tc>
        <w:tc>
          <w:tcPr>
            <w:tcW w:w="2068" w:type="pct"/>
            <w:tcBorders>
              <w:top w:val="single" w:sz="4" w:space="0" w:color="auto"/>
              <w:left w:val="nil"/>
              <w:bottom w:val="single" w:sz="4" w:space="0" w:color="auto"/>
              <w:right w:val="nil"/>
            </w:tcBorders>
            <w:shd w:val="clear" w:color="auto" w:fill="F2F2F2" w:themeFill="background1" w:themeFillShade="F2"/>
            <w:hideMark/>
          </w:tcPr>
          <w:p w14:paraId="295874E6" w14:textId="5341101C" w:rsidR="003A17BD" w:rsidRPr="00C445FB" w:rsidRDefault="003B46A7" w:rsidP="00C445FB">
            <w:pPr>
              <w:pStyle w:val="TableBodyTextrightalign"/>
              <w:rPr>
                <w:rStyle w:val="Characterbold"/>
                <w:b w:val="0"/>
              </w:rPr>
            </w:pPr>
            <w:r w:rsidRPr="00C445FB">
              <w:t>1</w:t>
            </w:r>
          </w:p>
        </w:tc>
      </w:tr>
    </w:tbl>
    <w:p w14:paraId="10F1CA34" w14:textId="77777777" w:rsidR="008F19F4" w:rsidRDefault="008F19F4" w:rsidP="003965EA">
      <w:pPr>
        <w:pStyle w:val="TableNote"/>
      </w:pPr>
    </w:p>
    <w:p w14:paraId="6873C9B0" w14:textId="3F74483F" w:rsidR="008F19F4" w:rsidRDefault="008F19F4" w:rsidP="00733366">
      <w:pPr>
        <w:pStyle w:val="BodyText"/>
      </w:pPr>
      <w:r w:rsidRPr="008F19F4">
        <w:t>Section 84 of the IBAC Act gives us a power to compel a police officer or protective services officer to answer questions without conducting an examination.</w:t>
      </w:r>
      <w:r w:rsidR="00A45466" w:rsidRPr="00A45466">
        <w:t xml:space="preserve"> We conducted seven interviews under </w:t>
      </w:r>
      <w:r w:rsidR="00D44971">
        <w:t>s</w:t>
      </w:r>
      <w:r w:rsidR="00A45466" w:rsidRPr="00A45466">
        <w:t>ection 84 during this reporting period.</w:t>
      </w:r>
      <w:r w:rsidRPr="008F19F4">
        <w:t xml:space="preserve"> There is not a corresponding power in relation to other public officers.</w:t>
      </w:r>
    </w:p>
    <w:p w14:paraId="78FDE963" w14:textId="2B5FB00E" w:rsidR="00151FC7" w:rsidRDefault="00151FC7" w:rsidP="00B07072">
      <w:pPr>
        <w:pStyle w:val="Heading4"/>
      </w:pPr>
      <w:bookmarkStart w:id="90" w:name="_Ref149166397"/>
      <w:r w:rsidRPr="00151FC7">
        <w:t>Outcomes of IBAC investigations</w:t>
      </w:r>
      <w:bookmarkEnd w:id="90"/>
    </w:p>
    <w:p w14:paraId="0A9D2650" w14:textId="7934E5F1" w:rsidR="008F19F4" w:rsidRDefault="008F19F4" w:rsidP="00B07072">
      <w:pPr>
        <w:pStyle w:val="Heading5"/>
      </w:pPr>
      <w:r w:rsidRPr="008F19F4">
        <w:t>Recommendations made to Victoria Police</w:t>
      </w:r>
    </w:p>
    <w:p w14:paraId="5604424D" w14:textId="14DA0276" w:rsidR="00D96716" w:rsidRDefault="00D96716" w:rsidP="00D96716">
      <w:pPr>
        <w:pStyle w:val="BodyText"/>
        <w:rPr>
          <w:lang w:eastAsia="en-AU"/>
        </w:rPr>
      </w:pPr>
      <w:r>
        <w:rPr>
          <w:lang w:eastAsia="en-AU"/>
        </w:rPr>
        <w:t xml:space="preserve">Throughout the investigation process, we identify police misconduct issues and make recommendations to Victoria Police aimed at preventing further misconduct. </w:t>
      </w:r>
    </w:p>
    <w:p w14:paraId="7C706646" w14:textId="6A25DDF8" w:rsidR="00D96716" w:rsidRDefault="00D96716" w:rsidP="00D96716">
      <w:pPr>
        <w:pStyle w:val="BodyText"/>
        <w:rPr>
          <w:lang w:eastAsia="en-AU"/>
        </w:rPr>
      </w:pPr>
      <w:r>
        <w:rPr>
          <w:lang w:eastAsia="en-AU"/>
        </w:rPr>
        <w:t>We may request the Chief Commissioner of Police take certain actions when we review the effectiveness and outcomes of an investigation which we referred to Victoria Police.</w:t>
      </w:r>
    </w:p>
    <w:p w14:paraId="3A9582E8" w14:textId="1F370DC5" w:rsidR="00D96716" w:rsidRPr="007211D6" w:rsidRDefault="00D96716" w:rsidP="00D96716">
      <w:pPr>
        <w:pStyle w:val="BodyText"/>
      </w:pPr>
      <w:r w:rsidRPr="0015373B">
        <w:rPr>
          <w:lang w:eastAsia="en-AU"/>
        </w:rPr>
        <w:t xml:space="preserve">In </w:t>
      </w:r>
      <w:r w:rsidR="000A1691">
        <w:rPr>
          <w:lang w:eastAsia="en-AU"/>
        </w:rPr>
        <w:t>2022/23</w:t>
      </w:r>
      <w:r>
        <w:rPr>
          <w:lang w:eastAsia="en-AU"/>
        </w:rPr>
        <w:t>,</w:t>
      </w:r>
      <w:r w:rsidRPr="0015373B">
        <w:rPr>
          <w:lang w:eastAsia="en-AU"/>
        </w:rPr>
        <w:t xml:space="preserve"> </w:t>
      </w:r>
      <w:r>
        <w:rPr>
          <w:lang w:eastAsia="en-AU"/>
        </w:rPr>
        <w:t>we</w:t>
      </w:r>
      <w:r w:rsidRPr="0015373B">
        <w:rPr>
          <w:lang w:eastAsia="en-AU"/>
        </w:rPr>
        <w:t xml:space="preserve"> made </w:t>
      </w:r>
      <w:r w:rsidRPr="00B07072">
        <w:rPr>
          <w:lang w:eastAsia="en-AU"/>
        </w:rPr>
        <w:t>23</w:t>
      </w:r>
      <w:r w:rsidRPr="00F56B9E">
        <w:rPr>
          <w:lang w:eastAsia="en-AU"/>
        </w:rPr>
        <w:t xml:space="preserve"> re</w:t>
      </w:r>
      <w:r w:rsidRPr="0015373B">
        <w:rPr>
          <w:lang w:eastAsia="en-AU"/>
        </w:rPr>
        <w:t>commendations to Victoria Police under section 159 of the IBAC Act</w:t>
      </w:r>
      <w:r>
        <w:rPr>
          <w:lang w:eastAsia="en-AU"/>
        </w:rPr>
        <w:t xml:space="preserve"> </w:t>
      </w:r>
      <w:r w:rsidRPr="00CD63F1">
        <w:rPr>
          <w:lang w:eastAsia="en-AU"/>
        </w:rPr>
        <w:t xml:space="preserve">and </w:t>
      </w:r>
      <w:r w:rsidR="004649B3">
        <w:rPr>
          <w:lang w:eastAsia="en-AU"/>
        </w:rPr>
        <w:t>40</w:t>
      </w:r>
      <w:r w:rsidRPr="00CD63F1">
        <w:rPr>
          <w:lang w:eastAsia="en-AU"/>
        </w:rPr>
        <w:t xml:space="preserve"> requests under section 160 </w:t>
      </w:r>
      <w:r w:rsidRPr="0015373B">
        <w:rPr>
          <w:lang w:eastAsia="en-AU"/>
        </w:rPr>
        <w:t>to improve processes, policies, systems or training</w:t>
      </w:r>
      <w:r>
        <w:rPr>
          <w:lang w:eastAsia="en-AU"/>
        </w:rPr>
        <w:t>,</w:t>
      </w:r>
      <w:r w:rsidRPr="0015373B">
        <w:rPr>
          <w:lang w:eastAsia="en-AU"/>
        </w:rPr>
        <w:t xml:space="preserve"> and </w:t>
      </w:r>
      <w:r>
        <w:rPr>
          <w:lang w:eastAsia="en-AU"/>
        </w:rPr>
        <w:t xml:space="preserve">to </w:t>
      </w:r>
      <w:r w:rsidRPr="0015373B">
        <w:rPr>
          <w:lang w:eastAsia="en-AU"/>
        </w:rPr>
        <w:t>address misconduct risks.</w:t>
      </w:r>
      <w:r>
        <w:rPr>
          <w:lang w:eastAsia="en-AU"/>
        </w:rPr>
        <w:t xml:space="preserve"> </w:t>
      </w:r>
      <w:r w:rsidRPr="0015373B">
        <w:rPr>
          <w:lang w:eastAsia="en-AU"/>
        </w:rPr>
        <w:t xml:space="preserve">IBAC </w:t>
      </w:r>
      <w:r w:rsidR="008F19F4">
        <w:rPr>
          <w:lang w:eastAsia="en-AU"/>
        </w:rPr>
        <w:t>requests that</w:t>
      </w:r>
      <w:r w:rsidR="008F19F4" w:rsidRPr="0015373B">
        <w:rPr>
          <w:lang w:eastAsia="en-AU"/>
        </w:rPr>
        <w:t xml:space="preserve"> </w:t>
      </w:r>
      <w:r w:rsidRPr="0015373B">
        <w:rPr>
          <w:lang w:eastAsia="en-AU"/>
        </w:rPr>
        <w:t xml:space="preserve">Victoria Police respond to </w:t>
      </w:r>
      <w:r w:rsidR="008F19F4">
        <w:rPr>
          <w:lang w:eastAsia="en-AU"/>
        </w:rPr>
        <w:t xml:space="preserve">our </w:t>
      </w:r>
      <w:r w:rsidRPr="0015373B">
        <w:rPr>
          <w:lang w:eastAsia="en-AU"/>
        </w:rPr>
        <w:t xml:space="preserve">recommendations </w:t>
      </w:r>
      <w:r>
        <w:rPr>
          <w:lang w:eastAsia="en-AU"/>
        </w:rPr>
        <w:t>w</w:t>
      </w:r>
      <w:r w:rsidRPr="0015373B">
        <w:rPr>
          <w:lang w:eastAsia="en-AU"/>
        </w:rPr>
        <w:t>ithin a specified period.</w:t>
      </w:r>
    </w:p>
    <w:p w14:paraId="14CBD786" w14:textId="44795D73" w:rsidR="00D96716" w:rsidRDefault="00D96716" w:rsidP="00834775">
      <w:pPr>
        <w:pStyle w:val="Caption"/>
      </w:pPr>
      <w:bookmarkStart w:id="91" w:name="_Ref142669451"/>
      <w:bookmarkStart w:id="92" w:name="_Ref149135864"/>
      <w:r>
        <w:t xml:space="preserve">Table </w:t>
      </w:r>
      <w:r>
        <w:fldChar w:fldCharType="begin"/>
      </w:r>
      <w:r>
        <w:instrText xml:space="preserve"> SEQ Table \* ARABIC </w:instrText>
      </w:r>
      <w:r>
        <w:fldChar w:fldCharType="separate"/>
      </w:r>
      <w:r w:rsidR="00EF6E7F">
        <w:rPr>
          <w:noProof/>
        </w:rPr>
        <w:t>13</w:t>
      </w:r>
      <w:r>
        <w:fldChar w:fldCharType="end"/>
      </w:r>
      <w:bookmarkEnd w:id="91"/>
      <w:r>
        <w:t xml:space="preserve">: </w:t>
      </w:r>
      <w:r w:rsidRPr="005B17B4">
        <w:t>IBAC Act section 159 recommendations and section 160 requests made to Victoria Police</w:t>
      </w:r>
      <w:bookmarkEnd w:id="92"/>
    </w:p>
    <w:tbl>
      <w:tblPr>
        <w:tblStyle w:val="CustomTablestandard"/>
        <w:tblW w:w="5529" w:type="dxa"/>
        <w:tblLook w:val="04A0" w:firstRow="1" w:lastRow="0" w:firstColumn="1" w:lastColumn="0" w:noHBand="0" w:noVBand="1"/>
      </w:tblPr>
      <w:tblGrid>
        <w:gridCol w:w="3870"/>
        <w:gridCol w:w="1659"/>
      </w:tblGrid>
      <w:tr w:rsidR="00D96716" w:rsidRPr="0015373B" w14:paraId="7A2B2AA8" w14:textId="77777777" w:rsidTr="002B01BB">
        <w:trPr>
          <w:cnfStyle w:val="100000000000" w:firstRow="1" w:lastRow="0" w:firstColumn="0" w:lastColumn="0" w:oddVBand="0" w:evenVBand="0" w:oddHBand="0" w:evenHBand="0" w:firstRowFirstColumn="0" w:firstRowLastColumn="0" w:lastRowFirstColumn="0" w:lastRowLastColumn="0"/>
          <w:trHeight w:val="240"/>
        </w:trPr>
        <w:tc>
          <w:tcPr>
            <w:tcW w:w="3870" w:type="dxa"/>
            <w:hideMark/>
          </w:tcPr>
          <w:p w14:paraId="6B17EFF7" w14:textId="77777777" w:rsidR="00D96716" w:rsidRPr="0015373B" w:rsidRDefault="00D96716" w:rsidP="00D200AA">
            <w:pPr>
              <w:pStyle w:val="TableHeading1"/>
              <w:rPr>
                <w:rFonts w:ascii="Times New Roman" w:hAnsi="Times New Roman"/>
                <w:sz w:val="24"/>
              </w:rPr>
            </w:pPr>
            <w:r w:rsidRPr="0015373B">
              <w:rPr>
                <w:lang w:val="en-US"/>
              </w:rPr>
              <w:t>Type of recommendation</w:t>
            </w:r>
            <w:r>
              <w:t xml:space="preserve"> </w:t>
            </w:r>
          </w:p>
        </w:tc>
        <w:tc>
          <w:tcPr>
            <w:tcW w:w="1659" w:type="dxa"/>
            <w:hideMark/>
          </w:tcPr>
          <w:p w14:paraId="105DD117" w14:textId="77777777" w:rsidR="00D96716" w:rsidRPr="0015373B" w:rsidRDefault="00D96716" w:rsidP="00655FB5">
            <w:pPr>
              <w:pStyle w:val="TableHeading3rightalign"/>
              <w:rPr>
                <w:rFonts w:ascii="Times New Roman" w:hAnsi="Times New Roman"/>
                <w:sz w:val="24"/>
              </w:rPr>
            </w:pPr>
            <w:r w:rsidRPr="0015373B">
              <w:rPr>
                <w:lang w:val="en-US"/>
              </w:rPr>
              <w:t>Number</w:t>
            </w:r>
            <w:r>
              <w:t xml:space="preserve"> </w:t>
            </w:r>
          </w:p>
        </w:tc>
      </w:tr>
      <w:tr w:rsidR="00D96716" w:rsidRPr="00F56B9E" w14:paraId="7A15A23D" w14:textId="77777777" w:rsidTr="002B01BB">
        <w:trPr>
          <w:trHeight w:val="90"/>
        </w:trPr>
        <w:tc>
          <w:tcPr>
            <w:tcW w:w="3870" w:type="dxa"/>
            <w:hideMark/>
          </w:tcPr>
          <w:p w14:paraId="65105DEC" w14:textId="3A7DDC51" w:rsidR="00D96716" w:rsidRPr="00B07072" w:rsidRDefault="00842B0B" w:rsidP="00D200AA">
            <w:pPr>
              <w:pStyle w:val="TableBodyText"/>
              <w:rPr>
                <w:rFonts w:ascii="Times New Roman" w:hAnsi="Times New Roman"/>
                <w:sz w:val="24"/>
              </w:rPr>
            </w:pPr>
            <w:r>
              <w:rPr>
                <w:lang w:val="en-US"/>
              </w:rPr>
              <w:t>Section</w:t>
            </w:r>
            <w:r w:rsidR="00D96716" w:rsidRPr="00B07072">
              <w:rPr>
                <w:lang w:val="en-US"/>
              </w:rPr>
              <w:t xml:space="preserve"> 159 recommendations</w:t>
            </w:r>
            <w:r w:rsidR="00D96716" w:rsidRPr="00B07072">
              <w:t xml:space="preserve"> </w:t>
            </w:r>
          </w:p>
        </w:tc>
        <w:tc>
          <w:tcPr>
            <w:tcW w:w="1659" w:type="dxa"/>
            <w:hideMark/>
          </w:tcPr>
          <w:p w14:paraId="3FF02058" w14:textId="77777777" w:rsidR="00D96716" w:rsidRPr="00B07072" w:rsidRDefault="00D96716" w:rsidP="00655FB5">
            <w:pPr>
              <w:pStyle w:val="TableBodyTextrightalign"/>
              <w:rPr>
                <w:rFonts w:ascii="Times New Roman" w:hAnsi="Times New Roman"/>
                <w:sz w:val="24"/>
              </w:rPr>
            </w:pPr>
            <w:r w:rsidRPr="00B07072">
              <w:rPr>
                <w:lang w:val="en-US"/>
              </w:rPr>
              <w:t>23</w:t>
            </w:r>
            <w:r w:rsidRPr="00B07072">
              <w:t xml:space="preserve"> </w:t>
            </w:r>
          </w:p>
        </w:tc>
      </w:tr>
      <w:tr w:rsidR="00D96716" w:rsidRPr="0015373B" w14:paraId="01C7800A" w14:textId="77777777" w:rsidTr="002B01BB">
        <w:trPr>
          <w:trHeight w:val="90"/>
        </w:trPr>
        <w:tc>
          <w:tcPr>
            <w:tcW w:w="3870" w:type="dxa"/>
            <w:hideMark/>
          </w:tcPr>
          <w:p w14:paraId="2AFDE8EF" w14:textId="1D4DF437" w:rsidR="00D96716" w:rsidRPr="0015373B" w:rsidRDefault="00842B0B" w:rsidP="00D200AA">
            <w:pPr>
              <w:pStyle w:val="TableBodyText"/>
              <w:rPr>
                <w:rFonts w:ascii="Times New Roman" w:hAnsi="Times New Roman"/>
                <w:sz w:val="24"/>
              </w:rPr>
            </w:pPr>
            <w:r>
              <w:rPr>
                <w:lang w:val="en-US"/>
              </w:rPr>
              <w:t>Section</w:t>
            </w:r>
            <w:r w:rsidR="00D96716" w:rsidRPr="0015373B">
              <w:rPr>
                <w:lang w:val="en-US"/>
              </w:rPr>
              <w:t xml:space="preserve"> 160 requests</w:t>
            </w:r>
            <w:r w:rsidR="00D96716">
              <w:t xml:space="preserve"> </w:t>
            </w:r>
          </w:p>
        </w:tc>
        <w:tc>
          <w:tcPr>
            <w:tcW w:w="1659" w:type="dxa"/>
            <w:hideMark/>
          </w:tcPr>
          <w:p w14:paraId="69DDEC84" w14:textId="01E55583" w:rsidR="00D96716" w:rsidRPr="0015373B" w:rsidRDefault="004649B3" w:rsidP="00655FB5">
            <w:pPr>
              <w:pStyle w:val="TableBodyTextrightalign"/>
              <w:rPr>
                <w:rFonts w:ascii="Times New Roman" w:hAnsi="Times New Roman"/>
                <w:sz w:val="24"/>
              </w:rPr>
            </w:pPr>
            <w:r>
              <w:rPr>
                <w:lang w:val="en-US"/>
              </w:rPr>
              <w:t>40</w:t>
            </w:r>
          </w:p>
        </w:tc>
      </w:tr>
    </w:tbl>
    <w:p w14:paraId="7B1C18A7" w14:textId="159A2EEF" w:rsidR="00AC07D7" w:rsidRPr="00151FC7" w:rsidRDefault="00621005" w:rsidP="00B07072">
      <w:pPr>
        <w:pStyle w:val="Heading5"/>
      </w:pPr>
      <w:r>
        <w:t>R</w:t>
      </w:r>
      <w:r w:rsidR="00AC07D7" w:rsidRPr="00151FC7">
        <w:t>eviews</w:t>
      </w:r>
      <w:r>
        <w:t xml:space="preserve"> of </w:t>
      </w:r>
      <w:r w:rsidRPr="00151FC7">
        <w:t>Victoria Police</w:t>
      </w:r>
      <w:r>
        <w:t xml:space="preserve"> investigations</w:t>
      </w:r>
    </w:p>
    <w:p w14:paraId="2FAAD513" w14:textId="77777777" w:rsidR="002A0511" w:rsidRDefault="008F19F4" w:rsidP="00AC07D7">
      <w:pPr>
        <w:pStyle w:val="BodyText"/>
      </w:pPr>
      <w:r>
        <w:rPr>
          <w:lang w:eastAsia="en-AU"/>
        </w:rPr>
        <w:t>We</w:t>
      </w:r>
      <w:r w:rsidRPr="00151FC7">
        <w:rPr>
          <w:lang w:eastAsia="en-AU"/>
        </w:rPr>
        <w:t xml:space="preserve"> </w:t>
      </w:r>
      <w:r w:rsidR="00AC07D7" w:rsidRPr="00151FC7">
        <w:rPr>
          <w:lang w:eastAsia="en-AU"/>
        </w:rPr>
        <w:t xml:space="preserve">review </w:t>
      </w:r>
      <w:r w:rsidR="00AC07D7">
        <w:rPr>
          <w:lang w:eastAsia="en-AU"/>
        </w:rPr>
        <w:t xml:space="preserve">Victoria Police’s </w:t>
      </w:r>
      <w:r w:rsidR="00AC07D7" w:rsidRPr="00151FC7">
        <w:rPr>
          <w:lang w:eastAsia="en-AU"/>
        </w:rPr>
        <w:t xml:space="preserve">investigations into allegations of misconduct or serious incidents and deaths associated with police contact. </w:t>
      </w:r>
      <w:r w:rsidR="00AC07D7">
        <w:rPr>
          <w:lang w:eastAsia="en-AU"/>
        </w:rPr>
        <w:t>These i</w:t>
      </w:r>
      <w:r w:rsidR="00AC07D7" w:rsidRPr="00151FC7">
        <w:rPr>
          <w:lang w:eastAsia="en-AU"/>
        </w:rPr>
        <w:t>ndependent review</w:t>
      </w:r>
      <w:r w:rsidR="00AC07D7">
        <w:rPr>
          <w:lang w:eastAsia="en-AU"/>
        </w:rPr>
        <w:t>s</w:t>
      </w:r>
      <w:r w:rsidR="00AC07D7" w:rsidRPr="00151FC7">
        <w:rPr>
          <w:lang w:eastAsia="en-AU"/>
        </w:rPr>
        <w:t xml:space="preserve"> </w:t>
      </w:r>
      <w:r w:rsidR="00AC07D7">
        <w:rPr>
          <w:lang w:eastAsia="en-AU"/>
        </w:rPr>
        <w:t>are</w:t>
      </w:r>
      <w:r w:rsidR="00AC07D7" w:rsidRPr="00151FC7">
        <w:rPr>
          <w:lang w:eastAsia="en-AU"/>
        </w:rPr>
        <w:t xml:space="preserve"> a critical part of </w:t>
      </w:r>
      <w:r w:rsidR="00AC07D7">
        <w:rPr>
          <w:lang w:eastAsia="en-AU"/>
        </w:rPr>
        <w:t xml:space="preserve">our </w:t>
      </w:r>
      <w:r w:rsidR="00AC07D7" w:rsidRPr="00151FC7">
        <w:rPr>
          <w:lang w:eastAsia="en-AU"/>
        </w:rPr>
        <w:t>work</w:t>
      </w:r>
      <w:r>
        <w:rPr>
          <w:lang w:eastAsia="en-AU"/>
        </w:rPr>
        <w:t>.</w:t>
      </w:r>
      <w:r w:rsidR="00A87F47">
        <w:rPr>
          <w:lang w:eastAsia="en-AU"/>
        </w:rPr>
        <w:t xml:space="preserve"> </w:t>
      </w:r>
    </w:p>
    <w:p w14:paraId="7FEAB846" w14:textId="7BB359C7" w:rsidR="00AC07D7" w:rsidRPr="00922665" w:rsidRDefault="00A87F47" w:rsidP="00AC07D7">
      <w:pPr>
        <w:pStyle w:val="BodyText"/>
      </w:pPr>
      <w:r w:rsidRPr="00A87F47">
        <w:t xml:space="preserve">In 2022/23 we adopted a more targeted approach to reviewing matters that are serious and align with IBAC </w:t>
      </w:r>
      <w:r w:rsidR="002A0511">
        <w:t>s</w:t>
      </w:r>
      <w:r w:rsidRPr="00A87F47">
        <w:t xml:space="preserve">trategic </w:t>
      </w:r>
      <w:r w:rsidR="002A0511">
        <w:t>f</w:t>
      </w:r>
      <w:r w:rsidRPr="00A87F47">
        <w:t xml:space="preserve">ocus </w:t>
      </w:r>
      <w:r w:rsidR="002A0511">
        <w:t>a</w:t>
      </w:r>
      <w:r w:rsidRPr="00A87F47">
        <w:t>reas.</w:t>
      </w:r>
    </w:p>
    <w:p w14:paraId="4CBBE5E0" w14:textId="0F903261" w:rsidR="00AC07D7" w:rsidRDefault="008F19F4" w:rsidP="00AC07D7">
      <w:pPr>
        <w:pStyle w:val="BodyText"/>
        <w:rPr>
          <w:lang w:eastAsia="en-AU"/>
        </w:rPr>
      </w:pPr>
      <w:r>
        <w:rPr>
          <w:lang w:eastAsia="en-AU"/>
        </w:rPr>
        <w:t xml:space="preserve">In </w:t>
      </w:r>
      <w:r w:rsidR="000A1691">
        <w:rPr>
          <w:lang w:eastAsia="en-AU"/>
        </w:rPr>
        <w:t>2022/23</w:t>
      </w:r>
      <w:r>
        <w:rPr>
          <w:lang w:eastAsia="en-AU"/>
        </w:rPr>
        <w:t>,</w:t>
      </w:r>
      <w:r w:rsidRPr="008F19F4">
        <w:rPr>
          <w:lang w:eastAsia="en-AU"/>
        </w:rPr>
        <w:t xml:space="preserve"> </w:t>
      </w:r>
      <w:r>
        <w:rPr>
          <w:lang w:eastAsia="en-AU"/>
        </w:rPr>
        <w:t>w</w:t>
      </w:r>
      <w:r w:rsidR="00AC07D7">
        <w:rPr>
          <w:lang w:eastAsia="en-AU"/>
        </w:rPr>
        <w:t xml:space="preserve">e </w:t>
      </w:r>
      <w:r w:rsidR="00AC07D7" w:rsidRPr="00151FC7">
        <w:rPr>
          <w:lang w:eastAsia="en-AU"/>
        </w:rPr>
        <w:t xml:space="preserve">conducted </w:t>
      </w:r>
      <w:r w:rsidR="00AC07D7">
        <w:t>192</w:t>
      </w:r>
      <w:r w:rsidR="00AC07D7" w:rsidRPr="00151FC7">
        <w:rPr>
          <w:lang w:eastAsia="en-AU"/>
        </w:rPr>
        <w:t xml:space="preserve"> reviews of Victoria Police investigations</w:t>
      </w:r>
      <w:r w:rsidR="00AC07D7">
        <w:rPr>
          <w:lang w:eastAsia="en-AU"/>
        </w:rPr>
        <w:t xml:space="preserve">, </w:t>
      </w:r>
      <w:r w:rsidR="00AC07D7" w:rsidRPr="00151FC7">
        <w:rPr>
          <w:lang w:eastAsia="en-AU"/>
        </w:rPr>
        <w:t xml:space="preserve">resulting in </w:t>
      </w:r>
      <w:r w:rsidR="00AC07D7">
        <w:t>40</w:t>
      </w:r>
      <w:r w:rsidR="00AC07D7" w:rsidRPr="00151FC7">
        <w:rPr>
          <w:lang w:eastAsia="en-AU"/>
        </w:rPr>
        <w:t xml:space="preserve"> </w:t>
      </w:r>
      <w:r w:rsidR="00AC07D7">
        <w:rPr>
          <w:lang w:eastAsia="en-AU"/>
        </w:rPr>
        <w:t>requests</w:t>
      </w:r>
      <w:r w:rsidR="00AC07D7" w:rsidRPr="00151FC7">
        <w:rPr>
          <w:lang w:eastAsia="en-AU"/>
        </w:rPr>
        <w:t xml:space="preserve"> being made</w:t>
      </w:r>
      <w:r w:rsidR="00AC07D7">
        <w:rPr>
          <w:lang w:eastAsia="en-AU"/>
        </w:rPr>
        <w:t xml:space="preserve"> to Victoria Police for further action to occur</w:t>
      </w:r>
      <w:r w:rsidR="00AC07D7" w:rsidRPr="00151FC7">
        <w:rPr>
          <w:lang w:eastAsia="en-AU"/>
        </w:rPr>
        <w:t xml:space="preserve">. These are matters where </w:t>
      </w:r>
      <w:r w:rsidR="00AC07D7">
        <w:rPr>
          <w:lang w:eastAsia="en-AU"/>
        </w:rPr>
        <w:t xml:space="preserve">we </w:t>
      </w:r>
      <w:r w:rsidR="00461EC6">
        <w:rPr>
          <w:lang w:eastAsia="en-AU"/>
        </w:rPr>
        <w:t xml:space="preserve">request </w:t>
      </w:r>
      <w:r w:rsidR="00AC07D7">
        <w:rPr>
          <w:lang w:eastAsia="en-AU"/>
        </w:rPr>
        <w:t xml:space="preserve">that Victoria Police provide </w:t>
      </w:r>
      <w:r w:rsidR="00AC07D7" w:rsidRPr="00151FC7">
        <w:rPr>
          <w:lang w:eastAsia="en-AU"/>
        </w:rPr>
        <w:t xml:space="preserve">a formal response or </w:t>
      </w:r>
      <w:r w:rsidR="00AC07D7">
        <w:rPr>
          <w:lang w:eastAsia="en-AU"/>
        </w:rPr>
        <w:t xml:space="preserve">conduct </w:t>
      </w:r>
      <w:r w:rsidR="00AC07D7" w:rsidRPr="00151FC7">
        <w:rPr>
          <w:lang w:eastAsia="en-AU"/>
        </w:rPr>
        <w:t>a reinvestigation</w:t>
      </w:r>
      <w:r w:rsidR="00AC07D7">
        <w:rPr>
          <w:lang w:eastAsia="en-AU"/>
        </w:rPr>
        <w:t>.</w:t>
      </w:r>
    </w:p>
    <w:p w14:paraId="10D581CE" w14:textId="5EBF5B6B" w:rsidR="008F19F4" w:rsidRDefault="008F19F4" w:rsidP="008F19F4">
      <w:pPr>
        <w:pStyle w:val="BodyText"/>
        <w:rPr>
          <w:lang w:eastAsia="en-AU"/>
        </w:rPr>
      </w:pPr>
      <w:r>
        <w:rPr>
          <w:lang w:eastAsia="en-AU"/>
        </w:rPr>
        <w:t xml:space="preserve">Of the total reviews of Victoria Police </w:t>
      </w:r>
      <w:r w:rsidRPr="00765F79">
        <w:rPr>
          <w:lang w:eastAsia="en-AU"/>
        </w:rPr>
        <w:t xml:space="preserve">investigations, </w:t>
      </w:r>
      <w:r w:rsidRPr="00B07072">
        <w:t>42</w:t>
      </w:r>
      <w:r w:rsidRPr="00765F79">
        <w:t xml:space="preserve"> related</w:t>
      </w:r>
      <w:r>
        <w:t xml:space="preserve"> to serious incidents. These include investigations into fatal shootings, suicide attempts in custody and arrests resulting in hospitalisation.</w:t>
      </w:r>
    </w:p>
    <w:p w14:paraId="37A4CE52" w14:textId="1841669F" w:rsidR="008F19F4" w:rsidRPr="007E78B5" w:rsidRDefault="00C90614" w:rsidP="007211D6">
      <w:pPr>
        <w:pStyle w:val="BodyText"/>
      </w:pPr>
      <w:r>
        <w:rPr>
          <w:lang w:eastAsia="en-AU"/>
        </w:rPr>
        <w:t>M</w:t>
      </w:r>
      <w:r w:rsidR="008F19F4">
        <w:rPr>
          <w:lang w:eastAsia="en-AU"/>
        </w:rPr>
        <w:t xml:space="preserve">ore information about our </w:t>
      </w:r>
      <w:hyperlink r:id="rId45" w:history="1">
        <w:r w:rsidR="008F19F4">
          <w:rPr>
            <w:rStyle w:val="Hyperlink"/>
            <w:lang w:eastAsia="en-AU"/>
          </w:rPr>
          <w:t>reviews of police and public sector investigations</w:t>
        </w:r>
      </w:hyperlink>
      <w:r w:rsidR="008F19F4">
        <w:rPr>
          <w:lang w:eastAsia="en-AU"/>
        </w:rPr>
        <w:t xml:space="preserve"> </w:t>
      </w:r>
      <w:r>
        <w:rPr>
          <w:lang w:eastAsia="en-AU"/>
        </w:rPr>
        <w:t xml:space="preserve">is available on the IBAC </w:t>
      </w:r>
      <w:r w:rsidR="008F19F4">
        <w:rPr>
          <w:lang w:eastAsia="en-AU"/>
        </w:rPr>
        <w:t>website (</w:t>
      </w:r>
      <w:r w:rsidR="008F19F4">
        <w:t>www.ibac.vic.gov.au/reviews-police-and-public-sector-investigations</w:t>
      </w:r>
      <w:r w:rsidR="008F19F4">
        <w:rPr>
          <w:lang w:eastAsia="en-AU"/>
        </w:rPr>
        <w:t>).</w:t>
      </w:r>
    </w:p>
    <w:tbl>
      <w:tblPr>
        <w:tblStyle w:val="CustomTablecasestudy"/>
        <w:tblW w:w="0" w:type="auto"/>
        <w:tblLook w:val="04A0" w:firstRow="1" w:lastRow="0" w:firstColumn="1" w:lastColumn="0" w:noHBand="0" w:noVBand="1"/>
      </w:tblPr>
      <w:tblGrid>
        <w:gridCol w:w="9027"/>
      </w:tblGrid>
      <w:tr w:rsidR="00AC07D7" w14:paraId="30FDFBE2" w14:textId="77777777" w:rsidTr="00D200AA">
        <w:trPr>
          <w:cnfStyle w:val="100000000000" w:firstRow="1" w:lastRow="0" w:firstColumn="0" w:lastColumn="0" w:oddVBand="0" w:evenVBand="0" w:oddHBand="0" w:evenHBand="0" w:firstRowFirstColumn="0" w:firstRowLastColumn="0" w:lastRowFirstColumn="0" w:lastRowLastColumn="0"/>
        </w:trPr>
        <w:tc>
          <w:tcPr>
            <w:tcW w:w="9027" w:type="dxa"/>
          </w:tcPr>
          <w:p w14:paraId="2F385500" w14:textId="21E47BA1" w:rsidR="00AC07D7" w:rsidRPr="008743C8" w:rsidRDefault="00AC07D7" w:rsidP="008743C8">
            <w:pPr>
              <w:pStyle w:val="Headingcasestudy"/>
            </w:pPr>
            <w:r w:rsidRPr="008743C8">
              <w:t>Victoria Police investigations of public interest disclosures</w:t>
            </w:r>
          </w:p>
          <w:p w14:paraId="1F21BC7D" w14:textId="430E5ABB" w:rsidR="00AC07D7" w:rsidRDefault="00AC07D7" w:rsidP="00D200AA">
            <w:pPr>
              <w:pStyle w:val="BodyText"/>
            </w:pPr>
            <w:r>
              <w:t>As part of our oversight function, we regularly review Victoria Police investigations of public interest complaints to ensure they were conducted thoroughly and impartially. It is a requirement of the PID Act that the identity of the person who made the public interest complaint remain confidential, and that they are protected against reprisal, such as termination of employment, harassment or legal action. We review public interest complaint investigations carefully to consider whether these legislative requirements have been met.</w:t>
            </w:r>
          </w:p>
          <w:p w14:paraId="6C48D8EE" w14:textId="7C3CBC34" w:rsidR="00AC07D7" w:rsidDel="003271A6" w:rsidRDefault="00AC07D7" w:rsidP="00D200AA">
            <w:pPr>
              <w:pStyle w:val="BodyText"/>
            </w:pPr>
            <w:r>
              <w:t>In the previous financial year, we identified issues with four Victoria Police investigations involving public interest complaints. Two of these investigations involved disclosures from members of the Victorian community relating to police personnel misconduct. The other two investigations resulted from internal disclosures by Victoria Police members relating to undeclared associations and unauthorised access to police information systems.</w:t>
            </w:r>
          </w:p>
          <w:p w14:paraId="41B71447" w14:textId="77777777" w:rsidR="00AC07D7" w:rsidRDefault="00AC07D7" w:rsidP="00D200AA">
            <w:pPr>
              <w:pStyle w:val="BodyText"/>
            </w:pPr>
            <w:r>
              <w:t>We requested that Victoria Police investigate and explain what preventative or educational steps it has taken so that similar issues do not occur in the future.</w:t>
            </w:r>
          </w:p>
          <w:p w14:paraId="2791BE56" w14:textId="7D5D3AF3" w:rsidR="00AC07D7" w:rsidRDefault="00AC07D7" w:rsidP="00D200AA">
            <w:pPr>
              <w:pStyle w:val="BodyText"/>
            </w:pPr>
            <w:r>
              <w:t xml:space="preserve">In the </w:t>
            </w:r>
            <w:r w:rsidR="000A1691">
              <w:t>2022/23</w:t>
            </w:r>
            <w:r>
              <w:t xml:space="preserve"> financial year, Victoria Police provided its response to us. Victoria Police undertook four new internal investigations and found that two of the original investigations had inadvertently breached the PID Act due to inadequate training. Victoria Police provided both investigators with workplace guidance and training specific to the PID Act. We determined that this was an appropriate outcome.</w:t>
            </w:r>
          </w:p>
          <w:p w14:paraId="1D3FBB37" w14:textId="72C2A15F" w:rsidR="00AC07D7" w:rsidRDefault="008F19F4" w:rsidP="00D200AA">
            <w:pPr>
              <w:pStyle w:val="BodyText"/>
              <w:rPr>
                <w:lang w:eastAsia="en-AU"/>
              </w:rPr>
            </w:pPr>
            <w:r w:rsidRPr="008F19F4">
              <w:t>Victoria Police informed IBAC that they are continuing to review and modernise their training to include clear instructions to improve investigators’ understanding of, and compliance with, legislative and policy requirements</w:t>
            </w:r>
            <w:r w:rsidR="00AC07D7">
              <w:t>.</w:t>
            </w:r>
          </w:p>
        </w:tc>
      </w:tr>
    </w:tbl>
    <w:p w14:paraId="08C25801" w14:textId="77777777" w:rsidR="008743C8" w:rsidRDefault="008743C8" w:rsidP="008743C8">
      <w:pPr>
        <w:pStyle w:val="BodyText"/>
      </w:pPr>
    </w:p>
    <w:p w14:paraId="7FFD24E7" w14:textId="35731ECD" w:rsidR="00AB326C" w:rsidRDefault="00AB326C" w:rsidP="00B07072">
      <w:pPr>
        <w:pStyle w:val="Heading5"/>
      </w:pPr>
      <w:r>
        <w:t>Prosecutions</w:t>
      </w:r>
    </w:p>
    <w:p w14:paraId="62F840D5" w14:textId="7F9C1EAE" w:rsidR="00482379" w:rsidRPr="00482379" w:rsidRDefault="008F19F4" w:rsidP="00482379">
      <w:pPr>
        <w:pStyle w:val="BodyText"/>
        <w:rPr>
          <w:lang w:eastAsia="en-AU"/>
        </w:rPr>
      </w:pPr>
      <w:r w:rsidRPr="008F19F4">
        <w:t xml:space="preserve">During </w:t>
      </w:r>
      <w:r w:rsidR="000A1691">
        <w:t>2022/23</w:t>
      </w:r>
      <w:r>
        <w:t>,</w:t>
      </w:r>
      <w:r w:rsidRPr="008F19F4">
        <w:t xml:space="preserve"> we did not commence any prosecutions, nor were there any prosecution outcomes resulting from IBAC police misconduct investigations</w:t>
      </w:r>
      <w:r w:rsidR="00AB326C" w:rsidRPr="00151FC7">
        <w:t>.</w:t>
      </w:r>
      <w:r w:rsidR="00AB326C">
        <w:t xml:space="preserve"> </w:t>
      </w:r>
    </w:p>
    <w:p w14:paraId="4521E783" w14:textId="77777777" w:rsidR="003545E6" w:rsidRPr="00F32A93" w:rsidRDefault="00151FC7" w:rsidP="00B07072">
      <w:pPr>
        <w:pStyle w:val="Heading4"/>
      </w:pPr>
      <w:r w:rsidRPr="00F32A93">
        <w:t>C</w:t>
      </w:r>
      <w:r w:rsidR="003545E6" w:rsidRPr="00F32A93">
        <w:t>ompliance monitoring of Victoria Police</w:t>
      </w:r>
    </w:p>
    <w:p w14:paraId="6A32193C" w14:textId="14306C90" w:rsidR="003545E6" w:rsidRPr="00AA2555" w:rsidRDefault="00EE570F" w:rsidP="003545E6">
      <w:pPr>
        <w:pStyle w:val="BodyText"/>
      </w:pPr>
      <w:r>
        <w:t>Our</w:t>
      </w:r>
      <w:r w:rsidR="00B21D99" w:rsidRPr="00AA2555">
        <w:t xml:space="preserve"> </w:t>
      </w:r>
      <w:r>
        <w:t>e</w:t>
      </w:r>
      <w:r w:rsidR="003545E6" w:rsidRPr="00AA2555">
        <w:t xml:space="preserve">xternal </w:t>
      </w:r>
      <w:r>
        <w:t>o</w:t>
      </w:r>
      <w:r w:rsidR="003545E6" w:rsidRPr="00AA2555">
        <w:t xml:space="preserve">versight team </w:t>
      </w:r>
      <w:r>
        <w:t>monitors</w:t>
      </w:r>
      <w:r w:rsidR="00B21D99" w:rsidRPr="00AA2555">
        <w:t xml:space="preserve"> </w:t>
      </w:r>
      <w:r w:rsidR="003545E6" w:rsidRPr="00AA2555">
        <w:t>Victoria Police’s compliance with the following legislation.</w:t>
      </w:r>
    </w:p>
    <w:p w14:paraId="1EFEF987" w14:textId="77777777" w:rsidR="003545E6" w:rsidRPr="00517D4F" w:rsidRDefault="003545E6" w:rsidP="00B07072">
      <w:pPr>
        <w:pStyle w:val="Heading5"/>
        <w:rPr>
          <w:rFonts w:eastAsia="Arial"/>
        </w:rPr>
      </w:pPr>
      <w:bookmarkStart w:id="93" w:name="_Ref149165184"/>
      <w:r w:rsidRPr="003545E6">
        <w:rPr>
          <w:rStyle w:val="Characteritalic"/>
          <w:rFonts w:eastAsia="Arial"/>
        </w:rPr>
        <w:t>Crimes Act 1958</w:t>
      </w:r>
      <w:r w:rsidRPr="4325EE03">
        <w:rPr>
          <w:rFonts w:eastAsia="Arial"/>
        </w:rPr>
        <w:t xml:space="preserve"> (Vic)</w:t>
      </w:r>
      <w:bookmarkEnd w:id="93"/>
    </w:p>
    <w:p w14:paraId="36B764A5" w14:textId="56B9E1BB" w:rsidR="003545E6" w:rsidRPr="00517D4F" w:rsidRDefault="003545E6" w:rsidP="003545E6">
      <w:pPr>
        <w:pStyle w:val="BodyText"/>
      </w:pPr>
      <w:r w:rsidRPr="4325EE03">
        <w:rPr>
          <w:rFonts w:eastAsia="Calibri" w:cs="Calibri"/>
          <w:szCs w:val="22"/>
        </w:rPr>
        <w:t xml:space="preserve">In May 2023, </w:t>
      </w:r>
      <w:r w:rsidR="00B21D99">
        <w:rPr>
          <w:rFonts w:eastAsia="Calibri" w:cs="Calibri"/>
          <w:szCs w:val="22"/>
        </w:rPr>
        <w:t>we</w:t>
      </w:r>
      <w:r w:rsidR="00B21D99" w:rsidRPr="4325EE03">
        <w:rPr>
          <w:rFonts w:eastAsia="Calibri" w:cs="Calibri"/>
          <w:szCs w:val="22"/>
        </w:rPr>
        <w:t xml:space="preserve"> </w:t>
      </w:r>
      <w:r w:rsidRPr="4325EE03">
        <w:rPr>
          <w:rFonts w:eastAsia="Calibri" w:cs="Calibri"/>
          <w:szCs w:val="22"/>
        </w:rPr>
        <w:t>report</w:t>
      </w:r>
      <w:r w:rsidR="00B53039">
        <w:rPr>
          <w:rFonts w:eastAsia="Calibri" w:cs="Calibri"/>
          <w:szCs w:val="22"/>
        </w:rPr>
        <w:t>ed on</w:t>
      </w:r>
      <w:r w:rsidRPr="4325EE03">
        <w:rPr>
          <w:rFonts w:eastAsia="Calibri" w:cs="Calibri"/>
          <w:szCs w:val="22"/>
        </w:rPr>
        <w:t xml:space="preserve"> </w:t>
      </w:r>
      <w:r w:rsidR="005F158F">
        <w:rPr>
          <w:rFonts w:eastAsia="Calibri" w:cs="Calibri"/>
          <w:szCs w:val="22"/>
        </w:rPr>
        <w:t>the</w:t>
      </w:r>
      <w:r w:rsidRPr="4325EE03">
        <w:rPr>
          <w:rFonts w:eastAsia="Calibri" w:cs="Calibri"/>
          <w:szCs w:val="22"/>
        </w:rPr>
        <w:t xml:space="preserve"> </w:t>
      </w:r>
      <w:r w:rsidR="005F158F" w:rsidRPr="4325EE03">
        <w:rPr>
          <w:rFonts w:eastAsia="Calibri" w:cs="Calibri"/>
          <w:szCs w:val="22"/>
        </w:rPr>
        <w:t>Chief Commissioner of Victoria Police’s obligation under section 464ZN of th</w:t>
      </w:r>
      <w:r w:rsidR="005F158F">
        <w:rPr>
          <w:rFonts w:eastAsia="Calibri" w:cs="Calibri"/>
          <w:szCs w:val="22"/>
        </w:rPr>
        <w:t xml:space="preserve">e Crimes Act </w:t>
      </w:r>
      <w:r w:rsidR="005F158F" w:rsidRPr="4325EE03">
        <w:rPr>
          <w:rFonts w:eastAsia="Calibri" w:cs="Calibri"/>
          <w:szCs w:val="22"/>
        </w:rPr>
        <w:t>to destr</w:t>
      </w:r>
      <w:r w:rsidR="005F158F">
        <w:rPr>
          <w:rFonts w:eastAsia="Calibri" w:cs="Calibri"/>
          <w:szCs w:val="22"/>
        </w:rPr>
        <w:t xml:space="preserve">oy </w:t>
      </w:r>
      <w:r w:rsidR="005F158F" w:rsidRPr="4325EE03">
        <w:rPr>
          <w:rFonts w:eastAsia="Calibri" w:cs="Calibri"/>
          <w:szCs w:val="22"/>
        </w:rPr>
        <w:t>DNA samples</w:t>
      </w:r>
      <w:r w:rsidR="00BA1C99">
        <w:rPr>
          <w:rFonts w:eastAsia="Calibri" w:cs="Calibri"/>
          <w:szCs w:val="22"/>
        </w:rPr>
        <w:t>.</w:t>
      </w:r>
      <w:r w:rsidR="005F158F" w:rsidRPr="4325EE03">
        <w:rPr>
          <w:rFonts w:eastAsia="Calibri" w:cs="Calibri"/>
          <w:szCs w:val="22"/>
        </w:rPr>
        <w:t xml:space="preserve"> </w:t>
      </w:r>
      <w:r w:rsidRPr="4325EE03">
        <w:rPr>
          <w:rFonts w:eastAsia="Calibri" w:cs="Calibri"/>
          <w:szCs w:val="22"/>
        </w:rPr>
        <w:t xml:space="preserve">The report was for the period </w:t>
      </w:r>
      <w:r>
        <w:rPr>
          <w:rFonts w:eastAsia="Calibri" w:cs="Calibri"/>
          <w:szCs w:val="22"/>
        </w:rPr>
        <w:t xml:space="preserve">from </w:t>
      </w:r>
      <w:r w:rsidRPr="4325EE03">
        <w:rPr>
          <w:rFonts w:eastAsia="Calibri" w:cs="Calibri"/>
          <w:szCs w:val="22"/>
        </w:rPr>
        <w:t xml:space="preserve">1 July 2019 to 31 December 2020. </w:t>
      </w:r>
      <w:r w:rsidR="00B21D99">
        <w:rPr>
          <w:rFonts w:eastAsia="Calibri" w:cs="Calibri"/>
          <w:szCs w:val="22"/>
        </w:rPr>
        <w:t>We</w:t>
      </w:r>
      <w:r w:rsidR="00B21D99" w:rsidRPr="4325EE03">
        <w:rPr>
          <w:rFonts w:eastAsia="Calibri" w:cs="Calibri"/>
          <w:szCs w:val="22"/>
        </w:rPr>
        <w:t xml:space="preserve"> </w:t>
      </w:r>
      <w:r w:rsidRPr="4325EE03">
        <w:rPr>
          <w:rFonts w:eastAsia="Calibri" w:cs="Calibri"/>
          <w:szCs w:val="22"/>
        </w:rPr>
        <w:t xml:space="preserve">made three recommendations to Victoria Police within the report </w:t>
      </w:r>
      <w:r w:rsidR="005F158F">
        <w:rPr>
          <w:rFonts w:eastAsia="Calibri" w:cs="Calibri"/>
          <w:szCs w:val="22"/>
        </w:rPr>
        <w:t xml:space="preserve">about </w:t>
      </w:r>
      <w:r w:rsidRPr="4325EE03">
        <w:rPr>
          <w:rFonts w:eastAsia="Calibri" w:cs="Calibri"/>
          <w:szCs w:val="22"/>
        </w:rPr>
        <w:t>updates to systems, policies, procedures and templates.</w:t>
      </w:r>
    </w:p>
    <w:p w14:paraId="349CD50D" w14:textId="33453E04" w:rsidR="003545E6" w:rsidRPr="00517D4F" w:rsidRDefault="003545E6" w:rsidP="003545E6">
      <w:pPr>
        <w:pStyle w:val="BodyText"/>
        <w:rPr>
          <w:rFonts w:eastAsia="Calibri" w:cs="Calibri"/>
          <w:szCs w:val="22"/>
        </w:rPr>
      </w:pPr>
      <w:r w:rsidRPr="4325EE03">
        <w:rPr>
          <w:rFonts w:eastAsia="Calibri" w:cs="Calibri"/>
          <w:szCs w:val="22"/>
        </w:rPr>
        <w:t xml:space="preserve">In January and June 2023, </w:t>
      </w:r>
      <w:r w:rsidR="00681402">
        <w:rPr>
          <w:rFonts w:eastAsia="Calibri" w:cs="Calibri"/>
          <w:szCs w:val="22"/>
        </w:rPr>
        <w:t xml:space="preserve">our </w:t>
      </w:r>
      <w:r w:rsidRPr="4325EE03">
        <w:rPr>
          <w:rFonts w:eastAsia="Calibri" w:cs="Calibri"/>
          <w:szCs w:val="22"/>
        </w:rPr>
        <w:t>officers conducted an inspection of Victoria Police’s records for the period</w:t>
      </w:r>
      <w:r>
        <w:rPr>
          <w:rFonts w:eastAsia="Calibri" w:cs="Calibri"/>
          <w:szCs w:val="22"/>
        </w:rPr>
        <w:t xml:space="preserve"> from</w:t>
      </w:r>
      <w:r w:rsidRPr="4325EE03">
        <w:rPr>
          <w:rFonts w:eastAsia="Calibri" w:cs="Calibri"/>
          <w:szCs w:val="22"/>
        </w:rPr>
        <w:t xml:space="preserve"> 1 July 2019 to 31 December 2022</w:t>
      </w:r>
      <w:r>
        <w:rPr>
          <w:rFonts w:eastAsia="Calibri" w:cs="Calibri"/>
          <w:szCs w:val="22"/>
        </w:rPr>
        <w:t>,</w:t>
      </w:r>
      <w:r w:rsidRPr="4325EE03">
        <w:rPr>
          <w:rFonts w:eastAsia="Calibri" w:cs="Calibri"/>
          <w:szCs w:val="22"/>
        </w:rPr>
        <w:t xml:space="preserve"> to determine the extent of </w:t>
      </w:r>
      <w:r w:rsidR="00681402">
        <w:rPr>
          <w:rFonts w:eastAsia="Calibri" w:cs="Calibri"/>
          <w:szCs w:val="22"/>
        </w:rPr>
        <w:t xml:space="preserve">its </w:t>
      </w:r>
      <w:r w:rsidRPr="4325EE03">
        <w:rPr>
          <w:rFonts w:eastAsia="Calibri" w:cs="Calibri"/>
          <w:szCs w:val="22"/>
        </w:rPr>
        <w:t xml:space="preserve">compliance </w:t>
      </w:r>
      <w:r w:rsidR="00681402">
        <w:rPr>
          <w:rFonts w:eastAsia="Calibri" w:cs="Calibri"/>
          <w:szCs w:val="22"/>
        </w:rPr>
        <w:t xml:space="preserve">with obligations set out in </w:t>
      </w:r>
      <w:r w:rsidR="00681402" w:rsidRPr="4325EE03">
        <w:rPr>
          <w:rFonts w:eastAsia="Calibri" w:cs="Calibri"/>
          <w:szCs w:val="22"/>
        </w:rPr>
        <w:t xml:space="preserve">section 464ZO of the </w:t>
      </w:r>
      <w:r w:rsidR="00681402">
        <w:rPr>
          <w:rFonts w:eastAsia="Calibri" w:cs="Calibri"/>
          <w:szCs w:val="22"/>
        </w:rPr>
        <w:t xml:space="preserve">Crimes </w:t>
      </w:r>
      <w:r w:rsidR="00681402" w:rsidRPr="4325EE03">
        <w:rPr>
          <w:rFonts w:eastAsia="Calibri" w:cs="Calibri"/>
          <w:szCs w:val="22"/>
        </w:rPr>
        <w:t>Act</w:t>
      </w:r>
      <w:r w:rsidR="00681402">
        <w:rPr>
          <w:rFonts w:eastAsia="Calibri" w:cs="Calibri"/>
          <w:szCs w:val="22"/>
        </w:rPr>
        <w:t>,</w:t>
      </w:r>
      <w:r w:rsidR="00681402" w:rsidRPr="4325EE03" w:rsidDel="00681402">
        <w:rPr>
          <w:rFonts w:eastAsia="Calibri" w:cs="Calibri"/>
          <w:szCs w:val="22"/>
        </w:rPr>
        <w:t xml:space="preserve"> </w:t>
      </w:r>
      <w:r w:rsidR="00681402">
        <w:rPr>
          <w:rFonts w:eastAsia="Calibri" w:cs="Calibri"/>
          <w:szCs w:val="22"/>
        </w:rPr>
        <w:t xml:space="preserve">which relate to taking </w:t>
      </w:r>
      <w:r w:rsidRPr="4325EE03">
        <w:rPr>
          <w:rFonts w:eastAsia="Calibri" w:cs="Calibri"/>
          <w:szCs w:val="22"/>
        </w:rPr>
        <w:t>DNA profile samples</w:t>
      </w:r>
      <w:r w:rsidR="00681402">
        <w:rPr>
          <w:rFonts w:eastAsia="Calibri" w:cs="Calibri"/>
          <w:szCs w:val="22"/>
        </w:rPr>
        <w:t xml:space="preserve">. </w:t>
      </w:r>
      <w:r>
        <w:rPr>
          <w:rFonts w:eastAsia="Calibri" w:cs="Calibri"/>
          <w:szCs w:val="22"/>
        </w:rPr>
        <w:t>A</w:t>
      </w:r>
      <w:r w:rsidRPr="4325EE03">
        <w:rPr>
          <w:rFonts w:eastAsia="Calibri" w:cs="Calibri"/>
          <w:szCs w:val="22"/>
        </w:rPr>
        <w:t xml:space="preserve"> final report </w:t>
      </w:r>
      <w:r>
        <w:rPr>
          <w:rFonts w:eastAsia="Calibri" w:cs="Calibri"/>
          <w:szCs w:val="22"/>
        </w:rPr>
        <w:t xml:space="preserve">will be </w:t>
      </w:r>
      <w:r w:rsidRPr="4325EE03">
        <w:rPr>
          <w:rFonts w:eastAsia="Calibri" w:cs="Calibri"/>
          <w:szCs w:val="22"/>
        </w:rPr>
        <w:t xml:space="preserve">given to the Attorney-General in the second half of </w:t>
      </w:r>
      <w:r>
        <w:rPr>
          <w:rFonts w:eastAsia="Calibri" w:cs="Calibri"/>
          <w:szCs w:val="22"/>
        </w:rPr>
        <w:t xml:space="preserve">the </w:t>
      </w:r>
      <w:r w:rsidR="000A1691">
        <w:rPr>
          <w:rFonts w:eastAsia="Calibri" w:cs="Calibri"/>
          <w:szCs w:val="22"/>
        </w:rPr>
        <w:t>2023/24</w:t>
      </w:r>
      <w:r w:rsidRPr="4325EE03">
        <w:rPr>
          <w:rFonts w:eastAsia="Calibri" w:cs="Calibri"/>
          <w:szCs w:val="22"/>
        </w:rPr>
        <w:t xml:space="preserve"> financial year.</w:t>
      </w:r>
    </w:p>
    <w:p w14:paraId="7FA615A8" w14:textId="77777777" w:rsidR="003545E6" w:rsidRPr="00517D4F" w:rsidRDefault="003545E6" w:rsidP="00B07072">
      <w:pPr>
        <w:pStyle w:val="Heading5"/>
        <w:rPr>
          <w:rFonts w:eastAsia="Arial"/>
        </w:rPr>
      </w:pPr>
      <w:bookmarkStart w:id="94" w:name="_Ref149165287"/>
      <w:r w:rsidRPr="003545E6">
        <w:rPr>
          <w:rStyle w:val="Characteritalic"/>
          <w:rFonts w:eastAsia="Arial"/>
        </w:rPr>
        <w:t>Drugs, Poisons and Controlled Substances Act 1981</w:t>
      </w:r>
      <w:r w:rsidRPr="4325EE03">
        <w:rPr>
          <w:rFonts w:eastAsia="Arial"/>
        </w:rPr>
        <w:t xml:space="preserve"> (Vic)</w:t>
      </w:r>
      <w:bookmarkEnd w:id="94"/>
    </w:p>
    <w:p w14:paraId="2199C83E" w14:textId="303E1CAC" w:rsidR="003545E6" w:rsidRPr="00517D4F" w:rsidRDefault="003545E6" w:rsidP="003545E6">
      <w:pPr>
        <w:pStyle w:val="BodyText"/>
        <w:rPr>
          <w:rFonts w:eastAsia="Calibri" w:cs="Calibri"/>
          <w:szCs w:val="22"/>
        </w:rPr>
      </w:pPr>
      <w:r w:rsidRPr="4325EE03">
        <w:rPr>
          <w:rFonts w:eastAsia="Calibri" w:cs="Calibri"/>
          <w:szCs w:val="22"/>
        </w:rPr>
        <w:t xml:space="preserve">In February 2023, </w:t>
      </w:r>
      <w:r w:rsidR="00785B75">
        <w:rPr>
          <w:rFonts w:eastAsia="Calibri" w:cs="Calibri"/>
          <w:szCs w:val="22"/>
        </w:rPr>
        <w:t xml:space="preserve">our </w:t>
      </w:r>
      <w:r w:rsidRPr="4325EE03">
        <w:rPr>
          <w:rFonts w:eastAsia="Calibri" w:cs="Calibri"/>
          <w:szCs w:val="22"/>
        </w:rPr>
        <w:t xml:space="preserve">officers conducted an inspection of Victoria Police’s records </w:t>
      </w:r>
      <w:r w:rsidR="0017751D">
        <w:rPr>
          <w:rFonts w:eastAsia="Calibri" w:cs="Calibri"/>
          <w:szCs w:val="22"/>
        </w:rPr>
        <w:t>relating</w:t>
      </w:r>
      <w:r w:rsidR="0017751D" w:rsidRPr="4325EE03">
        <w:rPr>
          <w:rFonts w:eastAsia="Calibri" w:cs="Calibri"/>
          <w:szCs w:val="22"/>
        </w:rPr>
        <w:t xml:space="preserve"> </w:t>
      </w:r>
      <w:r w:rsidRPr="4325EE03">
        <w:rPr>
          <w:rFonts w:eastAsia="Calibri" w:cs="Calibri"/>
          <w:szCs w:val="22"/>
        </w:rPr>
        <w:t>to the destruction of drugs, poisons, controlled substances, items and equipment</w:t>
      </w:r>
      <w:r w:rsidR="00525E1C">
        <w:rPr>
          <w:rFonts w:eastAsia="Calibri" w:cs="Calibri"/>
          <w:szCs w:val="22"/>
        </w:rPr>
        <w:t xml:space="preserve">. </w:t>
      </w:r>
      <w:r w:rsidRPr="4325EE03">
        <w:rPr>
          <w:rFonts w:eastAsia="Calibri" w:cs="Calibri"/>
          <w:szCs w:val="22"/>
        </w:rPr>
        <w:t xml:space="preserve">The inspection covered the period </w:t>
      </w:r>
      <w:r>
        <w:rPr>
          <w:rFonts w:eastAsia="Calibri" w:cs="Calibri"/>
          <w:szCs w:val="22"/>
        </w:rPr>
        <w:t xml:space="preserve">from </w:t>
      </w:r>
      <w:r w:rsidRPr="4325EE03">
        <w:rPr>
          <w:rFonts w:eastAsia="Calibri" w:cs="Calibri"/>
          <w:szCs w:val="22"/>
        </w:rPr>
        <w:t>1 July 2021 to 30 June 2022.</w:t>
      </w:r>
    </w:p>
    <w:p w14:paraId="23A3AFE4" w14:textId="71EFC86F" w:rsidR="003545E6" w:rsidRPr="007211D6" w:rsidRDefault="00B447ED" w:rsidP="003545E6">
      <w:pPr>
        <w:pStyle w:val="BodyText"/>
      </w:pPr>
      <w:r>
        <w:rPr>
          <w:rFonts w:eastAsia="Calibri" w:cs="Calibri"/>
          <w:szCs w:val="22"/>
        </w:rPr>
        <w:t>I</w:t>
      </w:r>
      <w:r w:rsidR="00DD4D37">
        <w:rPr>
          <w:rFonts w:eastAsia="Calibri" w:cs="Calibri"/>
          <w:szCs w:val="22"/>
        </w:rPr>
        <w:t xml:space="preserve">BAC will report on this inspection </w:t>
      </w:r>
      <w:r w:rsidR="003545E6" w:rsidRPr="1466DEC7">
        <w:rPr>
          <w:rFonts w:eastAsia="Calibri" w:cs="Calibri"/>
          <w:szCs w:val="22"/>
        </w:rPr>
        <w:t xml:space="preserve">in </w:t>
      </w:r>
      <w:r w:rsidR="000A1691">
        <w:rPr>
          <w:rFonts w:eastAsia="Calibri" w:cs="Calibri"/>
          <w:szCs w:val="22"/>
        </w:rPr>
        <w:t>2023/24</w:t>
      </w:r>
      <w:r w:rsidR="003545E6" w:rsidRPr="4325EE03">
        <w:rPr>
          <w:rFonts w:eastAsia="Calibri" w:cs="Calibri"/>
          <w:szCs w:val="22"/>
        </w:rPr>
        <w:t>.</w:t>
      </w:r>
    </w:p>
    <w:p w14:paraId="599F8E99" w14:textId="77777777" w:rsidR="003545E6" w:rsidRPr="00517D4F" w:rsidRDefault="003545E6" w:rsidP="00B07072">
      <w:pPr>
        <w:pStyle w:val="Heading5"/>
        <w:rPr>
          <w:rFonts w:eastAsia="Arial"/>
        </w:rPr>
      </w:pPr>
      <w:r w:rsidRPr="003545E6">
        <w:rPr>
          <w:rStyle w:val="Characteritalic"/>
          <w:rFonts w:eastAsia="Arial"/>
        </w:rPr>
        <w:t>Firearms Act 1996</w:t>
      </w:r>
      <w:r w:rsidRPr="6CAE7C2C">
        <w:rPr>
          <w:rFonts w:eastAsia="Arial"/>
        </w:rPr>
        <w:t xml:space="preserve"> (Vic)</w:t>
      </w:r>
    </w:p>
    <w:p w14:paraId="592E7C71" w14:textId="7D42E6A2" w:rsidR="003545E6" w:rsidRPr="00517D4F" w:rsidRDefault="003545E6" w:rsidP="003545E6">
      <w:pPr>
        <w:pStyle w:val="BodyText"/>
        <w:rPr>
          <w:rFonts w:eastAsia="Calibri" w:cs="Calibri"/>
          <w:szCs w:val="22"/>
        </w:rPr>
      </w:pPr>
      <w:r w:rsidRPr="6CAE7C2C">
        <w:rPr>
          <w:rFonts w:eastAsia="Calibri" w:cs="Calibri"/>
          <w:szCs w:val="22"/>
        </w:rPr>
        <w:t xml:space="preserve">In March 2023, </w:t>
      </w:r>
      <w:r w:rsidR="00785B75">
        <w:rPr>
          <w:rFonts w:eastAsia="Calibri" w:cs="Calibri"/>
          <w:szCs w:val="22"/>
        </w:rPr>
        <w:t xml:space="preserve">our </w:t>
      </w:r>
      <w:r w:rsidRPr="6CAE7C2C">
        <w:rPr>
          <w:rFonts w:eastAsia="Calibri" w:cs="Calibri"/>
          <w:szCs w:val="22"/>
        </w:rPr>
        <w:t xml:space="preserve">officers conducted a review of </w:t>
      </w:r>
      <w:r w:rsidR="008F19F4">
        <w:rPr>
          <w:rFonts w:eastAsia="Calibri" w:cs="Calibri"/>
          <w:szCs w:val="22"/>
        </w:rPr>
        <w:t>22</w:t>
      </w:r>
      <w:r w:rsidR="0027727B">
        <w:rPr>
          <w:rFonts w:eastAsia="Calibri" w:cs="Calibri"/>
          <w:szCs w:val="22"/>
        </w:rPr>
        <w:t xml:space="preserve"> </w:t>
      </w:r>
      <w:r w:rsidRPr="00B1311F">
        <w:rPr>
          <w:rFonts w:eastAsia="Calibri" w:cs="Calibri"/>
          <w:szCs w:val="22"/>
        </w:rPr>
        <w:t>Firearm Prohibition Order</w:t>
      </w:r>
      <w:r>
        <w:rPr>
          <w:rFonts w:eastAsia="Calibri" w:cs="Calibri"/>
          <w:szCs w:val="22"/>
        </w:rPr>
        <w:t>s</w:t>
      </w:r>
      <w:r w:rsidRPr="00B1311F">
        <w:rPr>
          <w:rFonts w:eastAsia="Calibri" w:cs="Calibri"/>
          <w:szCs w:val="22"/>
        </w:rPr>
        <w:t xml:space="preserve"> (FPO</w:t>
      </w:r>
      <w:r>
        <w:rPr>
          <w:rFonts w:eastAsia="Calibri" w:cs="Calibri"/>
          <w:szCs w:val="22"/>
        </w:rPr>
        <w:t>s</w:t>
      </w:r>
      <w:r w:rsidRPr="00B1311F">
        <w:rPr>
          <w:rFonts w:eastAsia="Calibri" w:cs="Calibri"/>
          <w:szCs w:val="22"/>
        </w:rPr>
        <w:t>)</w:t>
      </w:r>
      <w:r w:rsidRPr="6CAE7C2C">
        <w:rPr>
          <w:rFonts w:eastAsia="Calibri" w:cs="Calibri"/>
          <w:szCs w:val="22"/>
        </w:rPr>
        <w:t xml:space="preserve"> made by Victoria Police in the period </w:t>
      </w:r>
      <w:r>
        <w:rPr>
          <w:rFonts w:eastAsia="Calibri" w:cs="Calibri"/>
          <w:szCs w:val="22"/>
        </w:rPr>
        <w:t xml:space="preserve">from </w:t>
      </w:r>
      <w:r w:rsidRPr="6CAE7C2C">
        <w:rPr>
          <w:rFonts w:eastAsia="Calibri" w:cs="Calibri"/>
          <w:szCs w:val="22"/>
        </w:rPr>
        <w:t xml:space="preserve">1 January 2022 to 30 June 2022. </w:t>
      </w:r>
      <w:r w:rsidR="00185BD8">
        <w:rPr>
          <w:rFonts w:eastAsia="Calibri" w:cs="Calibri"/>
          <w:szCs w:val="22"/>
        </w:rPr>
        <w:t xml:space="preserve">We </w:t>
      </w:r>
      <w:r w:rsidRPr="6CAE7C2C">
        <w:rPr>
          <w:rFonts w:eastAsia="Calibri" w:cs="Calibri"/>
          <w:szCs w:val="22"/>
        </w:rPr>
        <w:t xml:space="preserve">recommended to the Chief Commissioner of Police that two FPOs be reviewed with a view to revoking them. Victoria Police advised </w:t>
      </w:r>
      <w:r w:rsidR="00C97705">
        <w:rPr>
          <w:rFonts w:eastAsia="Calibri" w:cs="Calibri"/>
          <w:szCs w:val="22"/>
        </w:rPr>
        <w:t>us</w:t>
      </w:r>
      <w:r w:rsidR="00C97705" w:rsidRPr="6CAE7C2C">
        <w:rPr>
          <w:rFonts w:eastAsia="Calibri" w:cs="Calibri"/>
          <w:szCs w:val="22"/>
        </w:rPr>
        <w:t xml:space="preserve"> </w:t>
      </w:r>
      <w:r w:rsidRPr="6CAE7C2C">
        <w:rPr>
          <w:rFonts w:eastAsia="Calibri" w:cs="Calibri"/>
          <w:szCs w:val="22"/>
        </w:rPr>
        <w:t xml:space="preserve">that </w:t>
      </w:r>
      <w:r>
        <w:rPr>
          <w:rFonts w:eastAsia="Calibri" w:cs="Calibri"/>
          <w:szCs w:val="22"/>
        </w:rPr>
        <w:t>after</w:t>
      </w:r>
      <w:r w:rsidRPr="6CAE7C2C">
        <w:rPr>
          <w:rFonts w:eastAsia="Calibri" w:cs="Calibri"/>
          <w:szCs w:val="22"/>
        </w:rPr>
        <w:t xml:space="preserve"> a review of the two FPOs, one FPO was revoked and one was to remain in effect.</w:t>
      </w:r>
    </w:p>
    <w:p w14:paraId="6768D45D" w14:textId="1384235E" w:rsidR="003545E6" w:rsidRPr="00517D4F" w:rsidRDefault="003545E6" w:rsidP="003545E6">
      <w:pPr>
        <w:pStyle w:val="BodyText"/>
        <w:rPr>
          <w:rFonts w:eastAsia="Calibri" w:cs="Calibri"/>
          <w:szCs w:val="22"/>
        </w:rPr>
      </w:pPr>
      <w:r w:rsidRPr="6CAE7C2C">
        <w:rPr>
          <w:rFonts w:eastAsia="Calibri" w:cs="Calibri"/>
          <w:szCs w:val="22"/>
        </w:rPr>
        <w:t xml:space="preserve">In May 2023, </w:t>
      </w:r>
      <w:r w:rsidR="00E56062">
        <w:rPr>
          <w:rFonts w:eastAsia="Calibri" w:cs="Calibri"/>
          <w:szCs w:val="22"/>
        </w:rPr>
        <w:t xml:space="preserve">our </w:t>
      </w:r>
      <w:r w:rsidRPr="6CAE7C2C">
        <w:rPr>
          <w:rFonts w:eastAsia="Calibri" w:cs="Calibri"/>
          <w:szCs w:val="22"/>
        </w:rPr>
        <w:t xml:space="preserve">officers conducted a review of </w:t>
      </w:r>
      <w:r w:rsidR="008F19F4">
        <w:rPr>
          <w:rFonts w:eastAsia="Calibri" w:cs="Calibri"/>
          <w:szCs w:val="22"/>
        </w:rPr>
        <w:t>39</w:t>
      </w:r>
      <w:r w:rsidR="0036503C">
        <w:rPr>
          <w:rFonts w:eastAsia="Calibri" w:cs="Calibri"/>
          <w:szCs w:val="22"/>
        </w:rPr>
        <w:t xml:space="preserve"> </w:t>
      </w:r>
      <w:r w:rsidRPr="6CAE7C2C">
        <w:rPr>
          <w:rFonts w:eastAsia="Calibri" w:cs="Calibri"/>
          <w:szCs w:val="22"/>
        </w:rPr>
        <w:t xml:space="preserve">FPOs made by Victoria Police in the period </w:t>
      </w:r>
      <w:r>
        <w:rPr>
          <w:rFonts w:eastAsia="Calibri" w:cs="Calibri"/>
          <w:szCs w:val="22"/>
        </w:rPr>
        <w:t xml:space="preserve">from </w:t>
      </w:r>
      <w:r w:rsidRPr="6CAE7C2C">
        <w:rPr>
          <w:rFonts w:eastAsia="Calibri" w:cs="Calibri"/>
          <w:szCs w:val="22"/>
        </w:rPr>
        <w:t xml:space="preserve">1 July 2022 to 31 December 2022. </w:t>
      </w:r>
      <w:r w:rsidR="00E56062">
        <w:rPr>
          <w:rFonts w:eastAsia="Calibri" w:cs="Calibri"/>
          <w:szCs w:val="22"/>
        </w:rPr>
        <w:t xml:space="preserve">We </w:t>
      </w:r>
      <w:r w:rsidRPr="6CAE7C2C">
        <w:rPr>
          <w:rFonts w:eastAsia="Calibri" w:cs="Calibri"/>
          <w:szCs w:val="22"/>
        </w:rPr>
        <w:t xml:space="preserve">recommended to the Chief Commissioner of Police that two FPOs be reviewed with a view to revoking them. </w:t>
      </w:r>
      <w:r w:rsidR="008F19F4" w:rsidRPr="008F19F4">
        <w:rPr>
          <w:rFonts w:eastAsia="Calibri" w:cs="Calibri"/>
          <w:szCs w:val="22"/>
        </w:rPr>
        <w:t>The outcome of the review will be included in the next annual report</w:t>
      </w:r>
      <w:r w:rsidRPr="6CAE7C2C">
        <w:rPr>
          <w:rFonts w:eastAsia="Calibri" w:cs="Calibri"/>
          <w:szCs w:val="22"/>
        </w:rPr>
        <w:t>.</w:t>
      </w:r>
    </w:p>
    <w:p w14:paraId="526152A2" w14:textId="77777777" w:rsidR="003545E6" w:rsidRPr="00517D4F" w:rsidRDefault="003545E6" w:rsidP="00B07072">
      <w:pPr>
        <w:pStyle w:val="Heading5"/>
        <w:rPr>
          <w:rFonts w:eastAsia="Arial"/>
        </w:rPr>
      </w:pPr>
      <w:r w:rsidRPr="003545E6">
        <w:rPr>
          <w:rStyle w:val="Characteritalic"/>
          <w:rFonts w:eastAsia="Arial"/>
        </w:rPr>
        <w:t>Sex Offenders Registration Act 2004</w:t>
      </w:r>
      <w:r w:rsidRPr="6CAE7C2C">
        <w:rPr>
          <w:rFonts w:eastAsia="Arial"/>
        </w:rPr>
        <w:t xml:space="preserve"> (Vic)</w:t>
      </w:r>
    </w:p>
    <w:p w14:paraId="7AABF541" w14:textId="26753790" w:rsidR="003545E6" w:rsidRPr="00517D4F" w:rsidRDefault="003545E6" w:rsidP="003545E6">
      <w:pPr>
        <w:pStyle w:val="BodyText"/>
        <w:rPr>
          <w:rFonts w:eastAsia="Calibri" w:cs="Calibri"/>
          <w:szCs w:val="22"/>
        </w:rPr>
      </w:pPr>
      <w:r w:rsidRPr="1466DEC7">
        <w:rPr>
          <w:rFonts w:eastAsia="Calibri" w:cs="Calibri"/>
          <w:szCs w:val="22"/>
        </w:rPr>
        <w:t xml:space="preserve">In June 2023, </w:t>
      </w:r>
      <w:r w:rsidR="00507CFA">
        <w:rPr>
          <w:rFonts w:eastAsia="Calibri" w:cs="Calibri"/>
          <w:szCs w:val="22"/>
        </w:rPr>
        <w:t>we</w:t>
      </w:r>
      <w:r w:rsidR="00507CFA" w:rsidRPr="1466DEC7">
        <w:rPr>
          <w:rFonts w:eastAsia="Calibri" w:cs="Calibri"/>
          <w:szCs w:val="22"/>
        </w:rPr>
        <w:t xml:space="preserve"> </w:t>
      </w:r>
      <w:r w:rsidRPr="1466DEC7">
        <w:rPr>
          <w:rFonts w:eastAsia="Calibri" w:cs="Calibri"/>
          <w:szCs w:val="22"/>
        </w:rPr>
        <w:t xml:space="preserve">provided a report to the Minister for Police and Emergency Services on Victoria Police’s compliance with various aspects of the </w:t>
      </w:r>
      <w:r w:rsidRPr="001B3448">
        <w:rPr>
          <w:rFonts w:eastAsia="Calibri" w:cs="Calibri"/>
          <w:szCs w:val="22"/>
        </w:rPr>
        <w:t>Sex Offender</w:t>
      </w:r>
      <w:r w:rsidR="004050D7">
        <w:rPr>
          <w:rFonts w:eastAsia="Calibri" w:cs="Calibri"/>
          <w:szCs w:val="22"/>
        </w:rPr>
        <w:t>s</w:t>
      </w:r>
      <w:r w:rsidRPr="001B3448">
        <w:rPr>
          <w:rFonts w:eastAsia="Calibri" w:cs="Calibri"/>
          <w:szCs w:val="22"/>
        </w:rPr>
        <w:t xml:space="preserve"> Registration </w:t>
      </w:r>
      <w:r w:rsidRPr="1466DEC7">
        <w:rPr>
          <w:rFonts w:eastAsia="Calibri" w:cs="Calibri"/>
          <w:szCs w:val="22"/>
        </w:rPr>
        <w:t xml:space="preserve">Act. </w:t>
      </w:r>
      <w:r w:rsidR="00507CFA">
        <w:rPr>
          <w:rFonts w:eastAsia="Calibri" w:cs="Calibri"/>
          <w:szCs w:val="22"/>
        </w:rPr>
        <w:t>We</w:t>
      </w:r>
      <w:r w:rsidR="00507CFA" w:rsidRPr="1466DEC7">
        <w:rPr>
          <w:rFonts w:eastAsia="Calibri" w:cs="Calibri"/>
          <w:szCs w:val="22"/>
        </w:rPr>
        <w:t xml:space="preserve"> </w:t>
      </w:r>
      <w:r w:rsidRPr="1466DEC7">
        <w:rPr>
          <w:rFonts w:eastAsia="Calibri" w:cs="Calibri"/>
          <w:szCs w:val="22"/>
        </w:rPr>
        <w:t>made five recommendations to Victoria Police concerning the review and update of relevant procedures, guidelines and processes.</w:t>
      </w:r>
    </w:p>
    <w:p w14:paraId="31ECA7BD" w14:textId="1B0D51DA" w:rsidR="003545E6" w:rsidRPr="00517D4F" w:rsidRDefault="003545E6" w:rsidP="003545E6">
      <w:pPr>
        <w:pStyle w:val="BodyText"/>
        <w:rPr>
          <w:rFonts w:eastAsia="Calibri" w:cs="Calibri"/>
          <w:szCs w:val="22"/>
        </w:rPr>
      </w:pPr>
      <w:r w:rsidRPr="1466DEC7">
        <w:rPr>
          <w:rFonts w:eastAsia="Calibri" w:cs="Calibri"/>
          <w:szCs w:val="22"/>
        </w:rPr>
        <w:t>This report set out the results of two comprehensive</w:t>
      </w:r>
      <w:r w:rsidRPr="4325EE03">
        <w:rPr>
          <w:rFonts w:eastAsia="Calibri" w:cs="Calibri"/>
          <w:szCs w:val="22"/>
        </w:rPr>
        <w:t xml:space="preserve"> inspections of Victoria Police’s records</w:t>
      </w:r>
      <w:r w:rsidR="003B2C2C">
        <w:rPr>
          <w:rFonts w:eastAsia="Calibri" w:cs="Calibri"/>
          <w:szCs w:val="22"/>
        </w:rPr>
        <w:t xml:space="preserve">, </w:t>
      </w:r>
      <w:r w:rsidR="002501A9">
        <w:rPr>
          <w:rFonts w:eastAsia="Calibri" w:cs="Calibri"/>
          <w:szCs w:val="22"/>
        </w:rPr>
        <w:t>under</w:t>
      </w:r>
      <w:r w:rsidRPr="4325EE03">
        <w:rPr>
          <w:rFonts w:eastAsia="Calibri" w:cs="Calibri"/>
          <w:szCs w:val="22"/>
        </w:rPr>
        <w:t xml:space="preserve"> section 70N of </w:t>
      </w:r>
      <w:r w:rsidRPr="00374C9C">
        <w:rPr>
          <w:rFonts w:eastAsia="Calibri" w:cs="Calibri"/>
          <w:szCs w:val="22"/>
        </w:rPr>
        <w:t>the Sex Offender</w:t>
      </w:r>
      <w:r w:rsidR="003B2C2C">
        <w:rPr>
          <w:rFonts w:eastAsia="Calibri" w:cs="Calibri"/>
          <w:szCs w:val="22"/>
        </w:rPr>
        <w:t>s</w:t>
      </w:r>
      <w:r w:rsidRPr="00374C9C">
        <w:rPr>
          <w:rFonts w:eastAsia="Calibri" w:cs="Calibri"/>
          <w:szCs w:val="22"/>
        </w:rPr>
        <w:t xml:space="preserve"> Registration Act</w:t>
      </w:r>
      <w:r>
        <w:rPr>
          <w:rFonts w:eastAsia="Calibri" w:cs="Calibri"/>
          <w:szCs w:val="22"/>
        </w:rPr>
        <w:t>, which</w:t>
      </w:r>
      <w:r w:rsidR="003B2C2C">
        <w:rPr>
          <w:rFonts w:eastAsia="Calibri" w:cs="Calibri"/>
          <w:szCs w:val="22"/>
        </w:rPr>
        <w:t xml:space="preserve"> we conducted </w:t>
      </w:r>
      <w:r w:rsidRPr="1466DEC7">
        <w:rPr>
          <w:rFonts w:eastAsia="Calibri" w:cs="Calibri"/>
          <w:szCs w:val="22"/>
        </w:rPr>
        <w:t>in October 2019 and November</w:t>
      </w:r>
      <w:r>
        <w:rPr>
          <w:rFonts w:eastAsia="Calibri" w:cs="Calibri"/>
          <w:szCs w:val="22"/>
        </w:rPr>
        <w:t>–</w:t>
      </w:r>
      <w:r w:rsidRPr="1466DEC7">
        <w:rPr>
          <w:rFonts w:eastAsia="Calibri" w:cs="Calibri"/>
          <w:szCs w:val="22"/>
        </w:rPr>
        <w:t xml:space="preserve">December 2021, </w:t>
      </w:r>
      <w:r w:rsidRPr="4325EE03">
        <w:rPr>
          <w:rFonts w:eastAsia="Calibri" w:cs="Calibri"/>
          <w:szCs w:val="22"/>
        </w:rPr>
        <w:t xml:space="preserve">covering an inspection period </w:t>
      </w:r>
      <w:r w:rsidR="003B2C2C">
        <w:rPr>
          <w:rFonts w:eastAsia="Calibri" w:cs="Calibri"/>
          <w:szCs w:val="22"/>
        </w:rPr>
        <w:t>from</w:t>
      </w:r>
      <w:r w:rsidRPr="4325EE03">
        <w:rPr>
          <w:rFonts w:eastAsia="Calibri" w:cs="Calibri"/>
          <w:szCs w:val="22"/>
        </w:rPr>
        <w:t xml:space="preserve"> 1 January 2017 </w:t>
      </w:r>
      <w:r w:rsidR="003B2C2C">
        <w:rPr>
          <w:rFonts w:eastAsia="Calibri" w:cs="Calibri"/>
          <w:szCs w:val="22"/>
        </w:rPr>
        <w:t>to</w:t>
      </w:r>
      <w:r w:rsidRPr="4325EE03">
        <w:rPr>
          <w:rFonts w:eastAsia="Calibri" w:cs="Calibri"/>
          <w:szCs w:val="22"/>
        </w:rPr>
        <w:t xml:space="preserve"> 31 December 2020.</w:t>
      </w:r>
    </w:p>
    <w:p w14:paraId="17D12585" w14:textId="77777777" w:rsidR="003545E6" w:rsidRPr="00517D4F" w:rsidRDefault="003545E6" w:rsidP="00B07072">
      <w:pPr>
        <w:pStyle w:val="Heading5"/>
        <w:rPr>
          <w:rFonts w:eastAsia="Arial"/>
        </w:rPr>
      </w:pPr>
      <w:r w:rsidRPr="003545E6">
        <w:rPr>
          <w:rStyle w:val="Characteritalic"/>
          <w:rFonts w:eastAsia="Arial"/>
        </w:rPr>
        <w:t>Witness Protection Act 1991</w:t>
      </w:r>
      <w:r w:rsidRPr="4325EE03">
        <w:rPr>
          <w:rFonts w:eastAsia="Arial"/>
        </w:rPr>
        <w:t xml:space="preserve"> (Vic)</w:t>
      </w:r>
    </w:p>
    <w:p w14:paraId="4DA95CA8" w14:textId="74455FB4" w:rsidR="00CF7CB9" w:rsidRDefault="003545E6" w:rsidP="003545E6">
      <w:pPr>
        <w:pStyle w:val="BodyText"/>
        <w:rPr>
          <w:rFonts w:eastAsia="Calibri" w:cs="Calibri"/>
          <w:szCs w:val="22"/>
        </w:rPr>
      </w:pPr>
      <w:r w:rsidRPr="4325EE03">
        <w:rPr>
          <w:rFonts w:eastAsia="Calibri" w:cs="Calibri"/>
          <w:szCs w:val="22"/>
        </w:rPr>
        <w:t>In March 2023, IBAC officers conducted an inspection of Victoria Police’s witness protection records</w:t>
      </w:r>
      <w:r>
        <w:rPr>
          <w:rFonts w:eastAsia="Calibri" w:cs="Calibri"/>
          <w:szCs w:val="22"/>
        </w:rPr>
        <w:t>,</w:t>
      </w:r>
      <w:r w:rsidRPr="4325EE03">
        <w:rPr>
          <w:rFonts w:eastAsia="Calibri" w:cs="Calibri"/>
          <w:szCs w:val="22"/>
        </w:rPr>
        <w:t xml:space="preserve"> pursuant to section 20E of the </w:t>
      </w:r>
      <w:r w:rsidRPr="00374C9C">
        <w:rPr>
          <w:rFonts w:eastAsia="Calibri" w:cs="Calibri"/>
          <w:szCs w:val="22"/>
        </w:rPr>
        <w:t>Witness Protection Act</w:t>
      </w:r>
      <w:r w:rsidRPr="4325EE03">
        <w:rPr>
          <w:rFonts w:eastAsia="Calibri" w:cs="Calibri"/>
          <w:szCs w:val="22"/>
        </w:rPr>
        <w:t xml:space="preserve">. </w:t>
      </w:r>
    </w:p>
    <w:p w14:paraId="43E9786E" w14:textId="18C3BF37" w:rsidR="003B684A" w:rsidRPr="00AC53E8" w:rsidRDefault="003545E6" w:rsidP="003B684A">
      <w:pPr>
        <w:pStyle w:val="BodyText"/>
      </w:pPr>
      <w:r w:rsidRPr="4325EE03">
        <w:rPr>
          <w:rFonts w:eastAsia="Calibri" w:cs="Calibri"/>
          <w:szCs w:val="22"/>
        </w:rPr>
        <w:t xml:space="preserve">On 30 June 2023, </w:t>
      </w:r>
      <w:r w:rsidR="00EC71AD">
        <w:rPr>
          <w:rFonts w:eastAsia="Calibri" w:cs="Calibri"/>
          <w:szCs w:val="22"/>
        </w:rPr>
        <w:t>we</w:t>
      </w:r>
      <w:r w:rsidR="00EC71AD" w:rsidRPr="4325EE03">
        <w:rPr>
          <w:rFonts w:eastAsia="Calibri" w:cs="Calibri"/>
          <w:szCs w:val="22"/>
        </w:rPr>
        <w:t xml:space="preserve"> </w:t>
      </w:r>
      <w:r w:rsidRPr="4325EE03">
        <w:rPr>
          <w:rFonts w:eastAsia="Calibri" w:cs="Calibri"/>
          <w:szCs w:val="22"/>
        </w:rPr>
        <w:t>provided a report to the Minister for Police and Emergency Services</w:t>
      </w:r>
      <w:r w:rsidR="00090FCF">
        <w:rPr>
          <w:rFonts w:eastAsia="Calibri" w:cs="Calibri"/>
          <w:szCs w:val="22"/>
        </w:rPr>
        <w:t>, pursuant to</w:t>
      </w:r>
      <w:r w:rsidRPr="4325EE03">
        <w:rPr>
          <w:rFonts w:eastAsia="Calibri" w:cs="Calibri"/>
          <w:szCs w:val="22"/>
        </w:rPr>
        <w:t xml:space="preserve"> section 20G of </w:t>
      </w:r>
      <w:r w:rsidR="00016073" w:rsidRPr="4325EE03">
        <w:rPr>
          <w:rFonts w:eastAsia="Calibri" w:cs="Calibri"/>
          <w:szCs w:val="22"/>
        </w:rPr>
        <w:t>the</w:t>
      </w:r>
      <w:r w:rsidR="00090FCF">
        <w:rPr>
          <w:rFonts w:eastAsia="Calibri" w:cs="Calibri"/>
          <w:szCs w:val="22"/>
        </w:rPr>
        <w:t xml:space="preserve"> Witness Protection</w:t>
      </w:r>
      <w:r w:rsidRPr="4325EE03">
        <w:rPr>
          <w:rFonts w:eastAsia="Calibri" w:cs="Calibri"/>
          <w:szCs w:val="22"/>
        </w:rPr>
        <w:t xml:space="preserve"> Act, outlining the results of this inspection. </w:t>
      </w:r>
      <w:r w:rsidR="00EC71AD">
        <w:rPr>
          <w:rFonts w:eastAsia="Calibri" w:cs="Calibri"/>
          <w:szCs w:val="22"/>
        </w:rPr>
        <w:t>We</w:t>
      </w:r>
      <w:r w:rsidR="00EC71AD" w:rsidRPr="4325EE03">
        <w:rPr>
          <w:rFonts w:eastAsia="Calibri" w:cs="Calibri"/>
          <w:szCs w:val="22"/>
        </w:rPr>
        <w:t xml:space="preserve"> </w:t>
      </w:r>
      <w:r w:rsidRPr="4325EE03">
        <w:rPr>
          <w:rFonts w:eastAsia="Calibri" w:cs="Calibri"/>
          <w:szCs w:val="22"/>
        </w:rPr>
        <w:t>made two recommendations to Victoria Police within the report.</w:t>
      </w:r>
    </w:p>
    <w:p w14:paraId="2CFF34A1" w14:textId="53CAFB2A" w:rsidR="005F0B83" w:rsidRPr="007211D6" w:rsidRDefault="005F0B83" w:rsidP="007211D6">
      <w:pPr>
        <w:pStyle w:val="BodyText"/>
      </w:pPr>
      <w:bookmarkStart w:id="95" w:name="_Toc133920502"/>
      <w:r>
        <w:br w:type="page"/>
      </w:r>
    </w:p>
    <w:p w14:paraId="25105BAD" w14:textId="4CC25E58" w:rsidR="00645420" w:rsidRPr="007F2998" w:rsidRDefault="00645420" w:rsidP="00645420">
      <w:pPr>
        <w:pStyle w:val="Heading2"/>
      </w:pPr>
      <w:bookmarkStart w:id="96" w:name="_Public_sector_oversight"/>
      <w:bookmarkStart w:id="97" w:name="_Toc149127902"/>
      <w:bookmarkEnd w:id="95"/>
      <w:bookmarkEnd w:id="96"/>
      <w:r w:rsidRPr="007F2998">
        <w:t>Public sector overview</w:t>
      </w:r>
      <w:bookmarkEnd w:id="97"/>
    </w:p>
    <w:p w14:paraId="57BC155C" w14:textId="3E9995B0" w:rsidR="00195089" w:rsidRPr="007F2998" w:rsidRDefault="00195089" w:rsidP="007F2998">
      <w:pPr>
        <w:pStyle w:val="Heading4"/>
      </w:pPr>
      <w:r w:rsidRPr="007F2998">
        <w:t>Strategic pillars – An independent, fair and trusted integrity agency; A collaborative way forward</w:t>
      </w:r>
    </w:p>
    <w:p w14:paraId="47C8E9BB" w14:textId="3BA5A37D" w:rsidR="00C90ABE" w:rsidRDefault="00C90ABE" w:rsidP="00C90ABE">
      <w:pPr>
        <w:pStyle w:val="BodyText"/>
      </w:pPr>
      <w:r w:rsidRPr="00C90ABE">
        <w:t>We are an independent integrity agency working towards eliminating corruption in Victoria. We do this by educating and building the capability of the public sector to actively resist corrupt</w:t>
      </w:r>
      <w:r w:rsidR="00385A5D">
        <w:t>ion</w:t>
      </w:r>
      <w:r w:rsidRPr="00C90ABE">
        <w:t xml:space="preserve"> and sharing our insights on Victoria’s corruption landscape.</w:t>
      </w:r>
    </w:p>
    <w:p w14:paraId="58F5C19F" w14:textId="441D12C1" w:rsidR="00A67609" w:rsidRPr="00C90ABE" w:rsidRDefault="00A67609" w:rsidP="00A67609">
      <w:pPr>
        <w:pStyle w:val="BodyText"/>
      </w:pPr>
      <w:r>
        <w:t>We collaborate and actively encourage organisations to approach us to assist them in building a strong integrity culture. We understand that we do not operate alone</w:t>
      </w:r>
      <w:r w:rsidR="00F45CF8">
        <w:t xml:space="preserve"> </w:t>
      </w:r>
      <w:r w:rsidR="002527D7">
        <w:t>–</w:t>
      </w:r>
      <w:r w:rsidR="00F45CF8">
        <w:t xml:space="preserve"> </w:t>
      </w:r>
      <w:r>
        <w:t>we are part of a broader integrity system.</w:t>
      </w:r>
    </w:p>
    <w:p w14:paraId="5BD4DD75" w14:textId="03D743C5" w:rsidR="00E653B3" w:rsidRDefault="00E653B3" w:rsidP="000D6C1B">
      <w:pPr>
        <w:pStyle w:val="BodyText"/>
      </w:pPr>
      <w:r>
        <w:t>As Victoria’s independent public sector oversight body, our role is to prevent and expose corruption, and build a corruption-resistant Victorian public sector.</w:t>
      </w:r>
    </w:p>
    <w:p w14:paraId="1040AAE6" w14:textId="27A8955C" w:rsidR="00E653B3" w:rsidRDefault="007A6B97" w:rsidP="002B01BB">
      <w:pPr>
        <w:pStyle w:val="BodyText"/>
      </w:pPr>
      <w:r>
        <w:t xml:space="preserve">The focus of our work in the public sector in </w:t>
      </w:r>
      <w:r w:rsidR="000A1691">
        <w:t>2022/23</w:t>
      </w:r>
      <w:r>
        <w:t xml:space="preserve"> continued to be h</w:t>
      </w:r>
      <w:r w:rsidR="00E653B3">
        <w:t>igh-risk public sector agencies, major infrastructure projects and improper influence</w:t>
      </w:r>
      <w:r>
        <w:t xml:space="preserve">. </w:t>
      </w:r>
      <w:r w:rsidR="00E653B3">
        <w:t>We tabled four significant special reports that highlighted the ongoing integrity challenges in these areas within the public sector.</w:t>
      </w:r>
    </w:p>
    <w:p w14:paraId="0FE8C605" w14:textId="7263860C" w:rsidR="003438B1" w:rsidRDefault="003438B1" w:rsidP="002B01BB">
      <w:pPr>
        <w:pStyle w:val="BodyText"/>
      </w:pPr>
      <w:r w:rsidRPr="003438B1">
        <w:t xml:space="preserve">The special report for Operation Watts was a joint report of IBAC and the Victorian Ombudsman. It exposed the misuse by members of </w:t>
      </w:r>
      <w:r w:rsidR="00F45CF8">
        <w:t>P</w:t>
      </w:r>
      <w:r w:rsidRPr="003438B1">
        <w:t xml:space="preserve">arliament of their publicly funded staff for party-political purposes. It also found that some members of </w:t>
      </w:r>
      <w:r w:rsidR="00183D32">
        <w:t>P</w:t>
      </w:r>
      <w:r w:rsidRPr="003438B1">
        <w:t>arliament gave publicly funded employment to relatives or as a reward for party-political work, with little regard to the person’s ability to perform the work or to whether the person in fact performed their public duties.</w:t>
      </w:r>
    </w:p>
    <w:p w14:paraId="1BE8E16B" w14:textId="79EDAB3D" w:rsidR="00E653B3" w:rsidRDefault="003438B1" w:rsidP="002B01BB">
      <w:pPr>
        <w:pStyle w:val="BodyText"/>
      </w:pPr>
      <w:r w:rsidRPr="003438B1">
        <w:t>The special report for Operation Daintree highlighted how a union was able to improperly influence the awarding and management of a $1.2 million contract awarded to a training group</w:t>
      </w:r>
      <w:r w:rsidR="00E653B3">
        <w:t xml:space="preserve">. Our operation revealed </w:t>
      </w:r>
      <w:r w:rsidRPr="003438B1">
        <w:t xml:space="preserve">a failure to follow a competitive procurement process and failures by </w:t>
      </w:r>
      <w:r w:rsidR="00E653B3">
        <w:t xml:space="preserve">ministers, ministerial advisors and senior public servants to meet their duties and obligations and </w:t>
      </w:r>
      <w:r w:rsidR="000B64C0">
        <w:t xml:space="preserve">to </w:t>
      </w:r>
      <w:r w:rsidR="00E653B3">
        <w:t>make decisions which are in the public interest.</w:t>
      </w:r>
      <w:r w:rsidR="00E653B3" w:rsidRPr="000F5EDE">
        <w:t xml:space="preserve"> </w:t>
      </w:r>
      <w:r w:rsidR="000B64C0">
        <w:t>C</w:t>
      </w:r>
      <w:r w:rsidR="00E653B3">
        <w:t>onduct</w:t>
      </w:r>
      <w:r w:rsidR="000B64C0">
        <w:t xml:space="preserve"> such as this – </w:t>
      </w:r>
      <w:r w:rsidR="00E653B3">
        <w:t>where public officers make decisions which favour political, personal or organisational interests</w:t>
      </w:r>
      <w:r w:rsidR="000B64C0">
        <w:t xml:space="preserve"> –</w:t>
      </w:r>
      <w:r w:rsidR="00E653B3">
        <w:t xml:space="preserve"> falls short of the standards </w:t>
      </w:r>
      <w:r w:rsidR="000B64C0">
        <w:t xml:space="preserve">required </w:t>
      </w:r>
      <w:r w:rsidR="00E653B3">
        <w:t>of the Victorian public sector.</w:t>
      </w:r>
    </w:p>
    <w:p w14:paraId="501C919F" w14:textId="1E11CD7E" w:rsidR="00E653B3" w:rsidRDefault="003438B1" w:rsidP="000D6C1B">
      <w:pPr>
        <w:pStyle w:val="BodyText"/>
      </w:pPr>
      <w:r w:rsidRPr="003438B1">
        <w:t xml:space="preserve">Operation Clara focussed on a former Victorian Government minister who was a member of the </w:t>
      </w:r>
      <w:r w:rsidR="002F2282">
        <w:t>B</w:t>
      </w:r>
      <w:r w:rsidRPr="003438B1">
        <w:t>oard of the Victorian Planning Authority. The investigation found that he improperly lobbied ministers on behalf of a consortium that was bidding for a $31 billion development in East Werribee. He failed to declare a conflict of interest and to comply with a requirement to register the consortium as a lobbying client. In lieu of direct payment for his lobbying, he obtained benefits from the consortium and its associates in the form of donations to his daughter’s campaign for election to the Victorian Parliament</w:t>
      </w:r>
      <w:r w:rsidR="30DAF4AB">
        <w:t>.</w:t>
      </w:r>
    </w:p>
    <w:p w14:paraId="730B7319" w14:textId="11841A79" w:rsidR="00E653B3" w:rsidRDefault="00E653B3" w:rsidP="002B01BB">
      <w:pPr>
        <w:pStyle w:val="BodyText"/>
      </w:pPr>
      <w:r w:rsidRPr="00607A27">
        <w:t>Our investigations</w:t>
      </w:r>
      <w:r>
        <w:t xml:space="preserve"> and research also uncovered corruption risks relating to the use of donations and lobbying to gain privileged access to and improperly influence decision</w:t>
      </w:r>
      <w:r w:rsidR="00C7644C">
        <w:t>-</w:t>
      </w:r>
      <w:r>
        <w:t>makers. Our special report</w:t>
      </w:r>
      <w:r w:rsidR="00C7644C">
        <w:t>,</w:t>
      </w:r>
      <w:r>
        <w:t xml:space="preserve"> </w:t>
      </w:r>
      <w:r w:rsidRPr="000D6C1B">
        <w:rPr>
          <w:rStyle w:val="Characteritalic"/>
        </w:rPr>
        <w:t>Corruption risks associated with donations and lobbying</w:t>
      </w:r>
      <w:r w:rsidR="00C7644C">
        <w:t xml:space="preserve">, </w:t>
      </w:r>
      <w:r>
        <w:t>made recommendations aimed at improving Victoria’s donations and lobbying regulations across both state and local government.</w:t>
      </w:r>
    </w:p>
    <w:p w14:paraId="194B8D55" w14:textId="4ED636CA" w:rsidR="00E653B3" w:rsidRDefault="00E653B3" w:rsidP="002B01BB">
      <w:pPr>
        <w:pStyle w:val="BodyText"/>
      </w:pPr>
      <w:r>
        <w:t>Results from our perceptions of corruption survey</w:t>
      </w:r>
      <w:r w:rsidR="00C7644C">
        <w:t>s</w:t>
      </w:r>
      <w:r>
        <w:t xml:space="preserve"> showed that perceptions of corruption in the public sector were on the rise</w:t>
      </w:r>
      <w:r w:rsidR="0048215A">
        <w:t>,</w:t>
      </w:r>
      <w:r>
        <w:t xml:space="preserve"> with ‘improper influence’ still one of the key behaviours perceived to be at risk of occurring in the workplace.</w:t>
      </w:r>
    </w:p>
    <w:p w14:paraId="0279A41D" w14:textId="2B2AC2D2" w:rsidR="00E653B3" w:rsidRDefault="00E653B3" w:rsidP="002B01BB">
      <w:pPr>
        <w:pStyle w:val="BodyText"/>
      </w:pPr>
      <w:r>
        <w:t>In response, we launched the second phase of our ‘Speak up to stop it’ campaign</w:t>
      </w:r>
      <w:r w:rsidR="00232F5E" w:rsidRPr="00232F5E">
        <w:t xml:space="preserve"> </w:t>
      </w:r>
      <w:r w:rsidR="00232F5E">
        <w:t>in March 2023</w:t>
      </w:r>
      <w:r>
        <w:t xml:space="preserve"> to remind public </w:t>
      </w:r>
      <w:r w:rsidR="00232F5E">
        <w:t xml:space="preserve">sector </w:t>
      </w:r>
      <w:r>
        <w:t xml:space="preserve">employees about the risks of being improperly influenced to make decisions </w:t>
      </w:r>
      <w:r w:rsidR="00232F5E">
        <w:t xml:space="preserve">that </w:t>
      </w:r>
      <w:r>
        <w:t>are not in the public interest. Using a range of media and education resources, this campaign highlighted our broad-based approach to preventing corruption in Victoria.</w:t>
      </w:r>
    </w:p>
    <w:p w14:paraId="274E1493" w14:textId="22E89A8D" w:rsidR="00E653B3" w:rsidRDefault="00B148C1" w:rsidP="002B01BB">
      <w:pPr>
        <w:pStyle w:val="BodyText"/>
      </w:pPr>
      <w:r>
        <w:t>We play a key role in ensuring p</w:t>
      </w:r>
      <w:r w:rsidR="00E653B3">
        <w:t xml:space="preserve">ublic sector employees </w:t>
      </w:r>
      <w:r w:rsidR="00D877A8">
        <w:t xml:space="preserve">can </w:t>
      </w:r>
      <w:r>
        <w:t>identify</w:t>
      </w:r>
      <w:r w:rsidR="00D877A8">
        <w:t xml:space="preserve"> and</w:t>
      </w:r>
      <w:r>
        <w:t xml:space="preserve"> report</w:t>
      </w:r>
      <w:r w:rsidR="00D877A8">
        <w:t xml:space="preserve"> </w:t>
      </w:r>
      <w:r>
        <w:t xml:space="preserve">corruption. Our ongoing </w:t>
      </w:r>
      <w:r w:rsidR="00D877A8">
        <w:t>prevention and education initiatives will continue to educate the public sector on the risks of corruption, while also promoting a robust integrity culture.</w:t>
      </w:r>
    </w:p>
    <w:p w14:paraId="77C801CC" w14:textId="1D56010F" w:rsidR="007E5C78" w:rsidRDefault="00350C2C" w:rsidP="00350C2C">
      <w:pPr>
        <w:pStyle w:val="Heading2"/>
      </w:pPr>
      <w:bookmarkStart w:id="98" w:name="_Toc149127903"/>
      <w:r>
        <w:t>Public sector oversight</w:t>
      </w:r>
      <w:bookmarkEnd w:id="98"/>
    </w:p>
    <w:p w14:paraId="76052A4D" w14:textId="266E7D42" w:rsidR="00105744" w:rsidRDefault="00531DA8">
      <w:pPr>
        <w:pStyle w:val="Heading3"/>
      </w:pPr>
      <w:bookmarkStart w:id="99" w:name="_Toc149127904"/>
      <w:bookmarkStart w:id="100" w:name="_Ref149135318"/>
      <w:r>
        <w:t xml:space="preserve">Strategic </w:t>
      </w:r>
      <w:r w:rsidR="00AE0A0D">
        <w:t>f</w:t>
      </w:r>
      <w:r>
        <w:t xml:space="preserve">ocus </w:t>
      </w:r>
      <w:r w:rsidR="00AE0A0D">
        <w:t>a</w:t>
      </w:r>
      <w:r>
        <w:t>reas</w:t>
      </w:r>
      <w:bookmarkEnd w:id="99"/>
      <w:bookmarkEnd w:id="100"/>
    </w:p>
    <w:p w14:paraId="2B927BE0" w14:textId="17010328" w:rsidR="00C90477" w:rsidRDefault="009E0004" w:rsidP="00C90477">
      <w:pPr>
        <w:pStyle w:val="BodyText"/>
      </w:pPr>
      <w:r>
        <w:t xml:space="preserve">We </w:t>
      </w:r>
      <w:r w:rsidR="00C90477" w:rsidRPr="00C90477">
        <w:t>continue to identify and monitor emerging trends and areas of risk in the public sector through individual reviews of misconduct and corruption investigations</w:t>
      </w:r>
      <w:r w:rsidR="001378D6">
        <w:t>.</w:t>
      </w:r>
    </w:p>
    <w:p w14:paraId="3FA5468E" w14:textId="6B35E251" w:rsidR="00507E45" w:rsidRPr="00507E45" w:rsidRDefault="001378D6" w:rsidP="00507E45">
      <w:pPr>
        <w:pStyle w:val="BodyText"/>
      </w:pPr>
      <w:r>
        <w:t>Our s</w:t>
      </w:r>
      <w:r w:rsidR="00507E45" w:rsidRPr="00507E45">
        <w:t xml:space="preserve">trategic focus areas guide our work to </w:t>
      </w:r>
      <w:r w:rsidR="0086256E">
        <w:t>identify</w:t>
      </w:r>
      <w:r w:rsidR="0086256E" w:rsidRPr="00507E45">
        <w:t xml:space="preserve"> </w:t>
      </w:r>
      <w:r w:rsidR="00FD06B4">
        <w:t xml:space="preserve">and assist the prevention of </w:t>
      </w:r>
      <w:r w:rsidR="00507E45" w:rsidRPr="00507E45">
        <w:t>public sector corruption</w:t>
      </w:r>
      <w:r>
        <w:t xml:space="preserve">, which in </w:t>
      </w:r>
      <w:r w:rsidR="000A1691">
        <w:t>2022/23</w:t>
      </w:r>
      <w:r w:rsidR="00507E45" w:rsidRPr="00507E45">
        <w:t xml:space="preserve"> were:</w:t>
      </w:r>
    </w:p>
    <w:p w14:paraId="429090EC" w14:textId="0165C1F8" w:rsidR="00507E45" w:rsidRPr="00507E45" w:rsidRDefault="001378D6" w:rsidP="002D3ACD">
      <w:pPr>
        <w:pStyle w:val="ListBullet"/>
      </w:pPr>
      <w:r>
        <w:t>h</w:t>
      </w:r>
      <w:r w:rsidR="00507E45" w:rsidRPr="00507E45">
        <w:t>igh</w:t>
      </w:r>
      <w:r>
        <w:t>-</w:t>
      </w:r>
      <w:r w:rsidR="00507E45" w:rsidRPr="00507E45">
        <w:t>risk public sector agencies</w:t>
      </w:r>
    </w:p>
    <w:p w14:paraId="3F1497AF" w14:textId="48BF553C" w:rsidR="00507E45" w:rsidRPr="00507E45" w:rsidRDefault="00507E45" w:rsidP="002D3ACD">
      <w:pPr>
        <w:pStyle w:val="ListBullet"/>
      </w:pPr>
      <w:r>
        <w:t>m</w:t>
      </w:r>
      <w:r w:rsidRPr="00507E45">
        <w:t>ajor infrastructure projects</w:t>
      </w:r>
    </w:p>
    <w:p w14:paraId="140BE846" w14:textId="47D35C23" w:rsidR="00507E45" w:rsidRPr="00507E45" w:rsidRDefault="00507E45" w:rsidP="002D3ACD">
      <w:pPr>
        <w:pStyle w:val="ListBullet"/>
      </w:pPr>
      <w:r>
        <w:t>i</w:t>
      </w:r>
      <w:r w:rsidRPr="00507E45">
        <w:t>mproper influence</w:t>
      </w:r>
      <w:r>
        <w:t>.</w:t>
      </w:r>
    </w:p>
    <w:p w14:paraId="7D8FCBB4" w14:textId="5A9DADC5" w:rsidR="0091294B" w:rsidRDefault="0091294B" w:rsidP="00B07072">
      <w:pPr>
        <w:pStyle w:val="Heading4"/>
      </w:pPr>
      <w:r>
        <w:t>High-risk public sector agencies</w:t>
      </w:r>
    </w:p>
    <w:p w14:paraId="30ED924A" w14:textId="4D075574" w:rsidR="006D3A05" w:rsidRDefault="00DA7A7E" w:rsidP="00090922">
      <w:pPr>
        <w:pStyle w:val="BodyText"/>
        <w:rPr>
          <w:lang w:eastAsia="en-AU"/>
        </w:rPr>
      </w:pPr>
      <w:r>
        <w:rPr>
          <w:lang w:eastAsia="en-AU"/>
        </w:rPr>
        <w:t xml:space="preserve">In </w:t>
      </w:r>
      <w:r w:rsidR="000A1691">
        <w:t>2022/23</w:t>
      </w:r>
      <w:r>
        <w:t xml:space="preserve">, </w:t>
      </w:r>
      <w:r>
        <w:rPr>
          <w:lang w:eastAsia="en-AU"/>
        </w:rPr>
        <w:t>w</w:t>
      </w:r>
      <w:r w:rsidR="00507E45" w:rsidRPr="00507E45">
        <w:rPr>
          <w:lang w:eastAsia="en-AU"/>
        </w:rPr>
        <w:t xml:space="preserve">e focused on </w:t>
      </w:r>
      <w:r w:rsidR="004F3A72">
        <w:rPr>
          <w:lang w:eastAsia="en-AU"/>
        </w:rPr>
        <w:t xml:space="preserve">the </w:t>
      </w:r>
      <w:r w:rsidR="00507E45" w:rsidRPr="00507E45">
        <w:rPr>
          <w:lang w:eastAsia="en-AU"/>
        </w:rPr>
        <w:t xml:space="preserve">agencies that </w:t>
      </w:r>
      <w:r w:rsidR="004F3A72">
        <w:rPr>
          <w:lang w:eastAsia="en-AU"/>
        </w:rPr>
        <w:t xml:space="preserve">were most </w:t>
      </w:r>
      <w:r w:rsidR="00507E45" w:rsidRPr="00507E45">
        <w:rPr>
          <w:lang w:eastAsia="en-AU"/>
        </w:rPr>
        <w:t>vulnerable to corruption</w:t>
      </w:r>
      <w:r w:rsidR="006D3A05">
        <w:rPr>
          <w:lang w:eastAsia="en-AU"/>
        </w:rPr>
        <w:t>.</w:t>
      </w:r>
    </w:p>
    <w:p w14:paraId="65A0BBBF" w14:textId="079A94B0" w:rsidR="00507E45" w:rsidRPr="009456DC" w:rsidRDefault="006D3A05" w:rsidP="00090922">
      <w:pPr>
        <w:pStyle w:val="BodyText"/>
      </w:pPr>
      <w:r>
        <w:rPr>
          <w:lang w:eastAsia="en-AU"/>
        </w:rPr>
        <w:t xml:space="preserve">Public sector agencies that </w:t>
      </w:r>
      <w:r w:rsidR="00507E45" w:rsidRPr="00507E45">
        <w:rPr>
          <w:lang w:eastAsia="en-AU"/>
        </w:rPr>
        <w:t xml:space="preserve">hold valuable information </w:t>
      </w:r>
      <w:r>
        <w:rPr>
          <w:lang w:eastAsia="en-AU"/>
        </w:rPr>
        <w:t xml:space="preserve">or are responsible for high-value investments, planning, outsourcing of public services, and allocation of funding are </w:t>
      </w:r>
      <w:r w:rsidR="00DA7A7E">
        <w:rPr>
          <w:lang w:eastAsia="en-AU"/>
        </w:rPr>
        <w:t xml:space="preserve">particularly </w:t>
      </w:r>
      <w:r>
        <w:rPr>
          <w:lang w:eastAsia="en-AU"/>
        </w:rPr>
        <w:t>vulnerable to corruption.</w:t>
      </w:r>
    </w:p>
    <w:p w14:paraId="1086C137" w14:textId="11596079" w:rsidR="0091294B" w:rsidRDefault="0091294B" w:rsidP="00B07072">
      <w:pPr>
        <w:pStyle w:val="Heading5"/>
      </w:pPr>
      <w:r>
        <w:t>Parliamentarians and councillors</w:t>
      </w:r>
    </w:p>
    <w:p w14:paraId="1CAF022C" w14:textId="2B15EBF3" w:rsidR="0091294B" w:rsidRPr="007F5CC5" w:rsidRDefault="0091294B" w:rsidP="0091294B">
      <w:pPr>
        <w:pStyle w:val="BodyText"/>
      </w:pPr>
      <w:r w:rsidRPr="007F5CC5">
        <w:t xml:space="preserve">Building on the </w:t>
      </w:r>
      <w:r w:rsidR="00F66E88">
        <w:t>p</w:t>
      </w:r>
      <w:r w:rsidRPr="007F5CC5">
        <w:t>erceptions of corruption survey</w:t>
      </w:r>
      <w:r w:rsidR="00F66E88">
        <w:t>s</w:t>
      </w:r>
      <w:r w:rsidRPr="007F5CC5">
        <w:t xml:space="preserve"> </w:t>
      </w:r>
      <w:r w:rsidR="0017460F">
        <w:t xml:space="preserve">conducted </w:t>
      </w:r>
      <w:r w:rsidRPr="007F5CC5">
        <w:t>in 2022</w:t>
      </w:r>
      <w:r w:rsidR="0017460F">
        <w:t>, and</w:t>
      </w:r>
      <w:r w:rsidRPr="007F5CC5">
        <w:t xml:space="preserve"> with public sector and local government employees in 2023</w:t>
      </w:r>
      <w:r>
        <w:t>,</w:t>
      </w:r>
      <w:r w:rsidRPr="007F5CC5">
        <w:t xml:space="preserve"> </w:t>
      </w:r>
      <w:r w:rsidR="00FA7EC2">
        <w:t>we</w:t>
      </w:r>
      <w:r w:rsidR="00FA7EC2" w:rsidRPr="007F5CC5">
        <w:t xml:space="preserve"> </w:t>
      </w:r>
      <w:r w:rsidRPr="007F5CC5">
        <w:t>expanded the survey to include elected representatives for the first time.</w:t>
      </w:r>
    </w:p>
    <w:p w14:paraId="00F30564" w14:textId="38BA669B" w:rsidR="0091294B" w:rsidRPr="007F5CC5" w:rsidRDefault="0091294B" w:rsidP="0091294B">
      <w:pPr>
        <w:pStyle w:val="BodyText"/>
      </w:pPr>
      <w:r w:rsidRPr="007F5CC5">
        <w:t xml:space="preserve">In May 2023, all members of </w:t>
      </w:r>
      <w:r w:rsidR="00956417">
        <w:t>P</w:t>
      </w:r>
      <w:r w:rsidRPr="007F5CC5">
        <w:t xml:space="preserve">arliament and local government councillors were invited to participate in an online survey to better understand their perceptions of corruption within the Victorian public sector. Insights from the findings are expected to be published in </w:t>
      </w:r>
      <w:r w:rsidR="000A1691">
        <w:t>2023/24</w:t>
      </w:r>
      <w:r w:rsidRPr="007F5CC5">
        <w:t>.</w:t>
      </w:r>
    </w:p>
    <w:p w14:paraId="062271AC" w14:textId="77777777" w:rsidR="0091294B" w:rsidRDefault="0091294B" w:rsidP="00B07072">
      <w:pPr>
        <w:pStyle w:val="Heading5"/>
      </w:pPr>
      <w:r w:rsidRPr="00DC69CF">
        <w:t>Report on agency funding and grants</w:t>
      </w:r>
    </w:p>
    <w:p w14:paraId="726F8AA1" w14:textId="058A95DC" w:rsidR="0091294B" w:rsidRDefault="0091294B" w:rsidP="0091294B">
      <w:pPr>
        <w:pStyle w:val="BodyText"/>
      </w:pPr>
      <w:r>
        <w:t xml:space="preserve">In </w:t>
      </w:r>
      <w:r w:rsidR="000A1691">
        <w:t>2022/23</w:t>
      </w:r>
      <w:r>
        <w:t xml:space="preserve">, </w:t>
      </w:r>
      <w:r w:rsidR="00FA7EC2">
        <w:t xml:space="preserve">we </w:t>
      </w:r>
      <w:r>
        <w:t xml:space="preserve">commenced preliminary work on a report examining the risks associated with funding arrangements and grants. This included </w:t>
      </w:r>
      <w:r w:rsidR="005312B4">
        <w:t xml:space="preserve">developing the scope of the </w:t>
      </w:r>
      <w:r>
        <w:t>project</w:t>
      </w:r>
      <w:r w:rsidR="005312B4">
        <w:t xml:space="preserve"> </w:t>
      </w:r>
      <w:r>
        <w:t>and identif</w:t>
      </w:r>
      <w:r w:rsidR="00B6520B">
        <w:t xml:space="preserve">ying the relevant investigations that will </w:t>
      </w:r>
      <w:r>
        <w:t xml:space="preserve">inform the report. The report will be completed in </w:t>
      </w:r>
      <w:r w:rsidR="000A1691">
        <w:t>2023/24</w:t>
      </w:r>
      <w:r>
        <w:t>.</w:t>
      </w:r>
    </w:p>
    <w:p w14:paraId="3C264233" w14:textId="77777777" w:rsidR="0091294B" w:rsidRDefault="0091294B" w:rsidP="00B07072">
      <w:pPr>
        <w:pStyle w:val="Heading5"/>
      </w:pPr>
      <w:r w:rsidRPr="00DC69CF">
        <w:t>Strategic assessment of water authorities</w:t>
      </w:r>
    </w:p>
    <w:p w14:paraId="5F062078" w14:textId="0DBE454E" w:rsidR="0091294B" w:rsidRDefault="0091294B" w:rsidP="00C90477">
      <w:pPr>
        <w:pStyle w:val="BodyText"/>
      </w:pPr>
      <w:r>
        <w:t xml:space="preserve">In </w:t>
      </w:r>
      <w:r w:rsidR="000A1691">
        <w:t>2022/23</w:t>
      </w:r>
      <w:r>
        <w:t xml:space="preserve">, </w:t>
      </w:r>
      <w:r w:rsidR="00FA7EC2">
        <w:t xml:space="preserve">we </w:t>
      </w:r>
      <w:r>
        <w:t xml:space="preserve">commenced a research project to examine the corruption risks associated with water authorities in Victoria. This project involves close collaboration with the Department of Energy, Environment and Climate Action, its portfolio agencies and other stakeholders to identify corruption risks and develop prevention strategies. This project will </w:t>
      </w:r>
      <w:r w:rsidR="00FB0928">
        <w:t xml:space="preserve">develop </w:t>
      </w:r>
      <w:r>
        <w:t xml:space="preserve">corruption prevention resources in </w:t>
      </w:r>
      <w:r w:rsidR="000A1691">
        <w:t>2023/24</w:t>
      </w:r>
      <w:r>
        <w:t>.</w:t>
      </w:r>
    </w:p>
    <w:p w14:paraId="53AB57DA" w14:textId="77777777" w:rsidR="00864BE1" w:rsidRDefault="00864BE1" w:rsidP="00B07072">
      <w:pPr>
        <w:pStyle w:val="Heading4"/>
      </w:pPr>
      <w:r>
        <w:t>Major infrastructure projects</w:t>
      </w:r>
    </w:p>
    <w:p w14:paraId="7F399A37" w14:textId="6163449D" w:rsidR="00864BE1" w:rsidRPr="00DA7A7E" w:rsidRDefault="00864BE1" w:rsidP="00864BE1">
      <w:pPr>
        <w:pStyle w:val="BodyText"/>
      </w:pPr>
      <w:r>
        <w:t xml:space="preserve">Major infrastructure projects across state and local government involve significant expenditure, which can make them vulnerable to corruption. In February 2023, IBAC published a research report, </w:t>
      </w:r>
      <w:r w:rsidRPr="000F7A68">
        <w:rPr>
          <w:rStyle w:val="Characteritalic"/>
        </w:rPr>
        <w:t>Corruption risks associated with major transport infrastructure projects</w:t>
      </w:r>
      <w:r w:rsidRPr="009A74C9">
        <w:rPr>
          <w:rStyle w:val="Characteritalic"/>
        </w:rPr>
        <w:t xml:space="preserve">, </w:t>
      </w:r>
      <w:r>
        <w:t>and a red-flags checklist to strengthen the public sector’s capacity to detect and prevent corruption</w:t>
      </w:r>
      <w:r w:rsidRPr="009A74C9">
        <w:rPr>
          <w:rStyle w:val="Characteritalic"/>
        </w:rPr>
        <w:t>.</w:t>
      </w:r>
    </w:p>
    <w:p w14:paraId="5FDE3F18" w14:textId="0E8B19DC" w:rsidR="00864BE1" w:rsidRDefault="00864BE1" w:rsidP="00864BE1">
      <w:pPr>
        <w:pStyle w:val="BodyText"/>
      </w:pPr>
      <w:r>
        <w:t xml:space="preserve">The development of this report involved workshops and frequent planning and feedback sessions with the </w:t>
      </w:r>
      <w:r w:rsidR="00E94C66">
        <w:t>Major Transport Infrastructure Authority</w:t>
      </w:r>
      <w:r w:rsidR="000F7A68">
        <w:t xml:space="preserve"> (MTIA)</w:t>
      </w:r>
      <w:r w:rsidR="00E94C66">
        <w:t xml:space="preserve"> </w:t>
      </w:r>
      <w:r>
        <w:t>to identify key corruption risks and relevant prevention and detection strategies.</w:t>
      </w:r>
    </w:p>
    <w:p w14:paraId="6C275328" w14:textId="5CC55AFB" w:rsidR="00864BE1" w:rsidRDefault="00864BE1" w:rsidP="00864BE1">
      <w:pPr>
        <w:pStyle w:val="BodyText"/>
      </w:pPr>
      <w:r>
        <w:t xml:space="preserve">Following the release of the report, </w:t>
      </w:r>
      <w:r w:rsidR="00A06328">
        <w:t xml:space="preserve">we </w:t>
      </w:r>
      <w:r>
        <w:t xml:space="preserve">held a public webinar, </w:t>
      </w:r>
      <w:r w:rsidR="00BA7325">
        <w:t>‘</w:t>
      </w:r>
      <w:r>
        <w:t>Big projects, big risks: Corruption risks in major infrastructure projects</w:t>
      </w:r>
      <w:r w:rsidR="00BA7325">
        <w:t>’</w:t>
      </w:r>
      <w:r>
        <w:t xml:space="preserve">, to share </w:t>
      </w:r>
      <w:r w:rsidR="004F3EDB">
        <w:t xml:space="preserve">our </w:t>
      </w:r>
      <w:r>
        <w:t>findings with the public sector and community. The MTIA participated in this webinar and shared its integrity initiatives and other examples of its corruption prevention measures.</w:t>
      </w:r>
    </w:p>
    <w:p w14:paraId="36C8A773" w14:textId="77777777" w:rsidR="00864BE1" w:rsidRDefault="00864BE1" w:rsidP="00B07072">
      <w:pPr>
        <w:pStyle w:val="Heading4"/>
      </w:pPr>
      <w:r>
        <w:t xml:space="preserve">Improper influence </w:t>
      </w:r>
    </w:p>
    <w:p w14:paraId="049B23CD" w14:textId="6488DA90" w:rsidR="0091072B" w:rsidRPr="0091072B" w:rsidRDefault="0091072B" w:rsidP="0091072B">
      <w:pPr>
        <w:pStyle w:val="BodyText"/>
      </w:pPr>
      <w:r w:rsidRPr="0091072B">
        <w:t>We continued to prevent and expose improper influence on decision-making in the public sector</w:t>
      </w:r>
      <w:r w:rsidR="00DA7A7E">
        <w:t>,</w:t>
      </w:r>
      <w:r w:rsidR="00766B77">
        <w:t xml:space="preserve"> </w:t>
      </w:r>
      <w:r w:rsidRPr="0091072B">
        <w:t xml:space="preserve">with a focus on the influence of lobbyists, donors, government-aligned stakeholders and third-party facilitators. This included </w:t>
      </w:r>
      <w:r w:rsidR="00766B77">
        <w:t xml:space="preserve">publishing special reports </w:t>
      </w:r>
      <w:r w:rsidRPr="0091072B">
        <w:t>on investigations that highlight</w:t>
      </w:r>
      <w:r w:rsidR="00766B77">
        <w:t>ed</w:t>
      </w:r>
      <w:r w:rsidRPr="0091072B">
        <w:t xml:space="preserve"> the corruption risks </w:t>
      </w:r>
      <w:r w:rsidR="00766B77">
        <w:t xml:space="preserve">of </w:t>
      </w:r>
      <w:r w:rsidRPr="0091072B">
        <w:t>improper influence</w:t>
      </w:r>
      <w:r w:rsidR="00DA7A7E">
        <w:t>,</w:t>
      </w:r>
      <w:r w:rsidRPr="0091072B">
        <w:t xml:space="preserve"> </w:t>
      </w:r>
      <w:r w:rsidR="00FB21D5">
        <w:t xml:space="preserve">with </w:t>
      </w:r>
      <w:r w:rsidRPr="0091072B">
        <w:t xml:space="preserve">reforms </w:t>
      </w:r>
      <w:r w:rsidR="00FB21D5">
        <w:t xml:space="preserve">aimed at </w:t>
      </w:r>
      <w:r w:rsidRPr="0091072B">
        <w:t>strengthen</w:t>
      </w:r>
      <w:r w:rsidR="00FB21D5">
        <w:t>ing</w:t>
      </w:r>
      <w:r w:rsidRPr="0091072B">
        <w:t xml:space="preserve"> accountability and transparency.</w:t>
      </w:r>
    </w:p>
    <w:p w14:paraId="4EB914F0" w14:textId="4A7795B2" w:rsidR="0091072B" w:rsidRDefault="0091072B" w:rsidP="00B07072">
      <w:pPr>
        <w:pStyle w:val="Heading5"/>
      </w:pPr>
      <w:bookmarkStart w:id="101" w:name="_Ref142904067"/>
      <w:r w:rsidRPr="0091072B">
        <w:t>Special reports</w:t>
      </w:r>
      <w:bookmarkEnd w:id="101"/>
    </w:p>
    <w:p w14:paraId="40BDE9B6" w14:textId="77777777" w:rsidR="00A051CB" w:rsidRDefault="00A051CB" w:rsidP="0091072B">
      <w:pPr>
        <w:pStyle w:val="BodyText"/>
      </w:pPr>
      <w:r>
        <w:t>Investigating allegations of corruption and publishing special reports that outline our findings is a key part of our role in preventing and exposing corruption in the public sector.</w:t>
      </w:r>
    </w:p>
    <w:p w14:paraId="0F577B15" w14:textId="26EBD1E7" w:rsidR="0091072B" w:rsidRPr="0091072B" w:rsidRDefault="00A051CB" w:rsidP="0091072B">
      <w:pPr>
        <w:pStyle w:val="BodyText"/>
      </w:pPr>
      <w:r>
        <w:t xml:space="preserve">In </w:t>
      </w:r>
      <w:r w:rsidR="000A1691">
        <w:t>2022/23</w:t>
      </w:r>
      <w:r>
        <w:t>, we tabled several special reports</w:t>
      </w:r>
      <w:r w:rsidR="000E0FF8">
        <w:t xml:space="preserve"> that identified </w:t>
      </w:r>
      <w:r w:rsidR="0031676A">
        <w:t xml:space="preserve">ongoing </w:t>
      </w:r>
      <w:r w:rsidR="000E0FF8">
        <w:t>corruption risks</w:t>
      </w:r>
      <w:r w:rsidR="00AE44E9">
        <w:t xml:space="preserve"> and made recommendations aimed at addressing them</w:t>
      </w:r>
      <w:r w:rsidR="000C1356">
        <w:t xml:space="preserve">, while </w:t>
      </w:r>
      <w:r w:rsidR="0031676A">
        <w:t xml:space="preserve">also </w:t>
      </w:r>
      <w:r w:rsidR="00AE44E9">
        <w:t xml:space="preserve">promoting a robust culture of integrity. </w:t>
      </w:r>
      <w:r w:rsidR="000E0FF8">
        <w:t>These special reports included:</w:t>
      </w:r>
    </w:p>
    <w:p w14:paraId="2A19990A" w14:textId="38E48965" w:rsidR="0091072B" w:rsidRPr="002648A4" w:rsidRDefault="0091072B" w:rsidP="0091072B">
      <w:pPr>
        <w:pStyle w:val="ListBullet"/>
        <w:numPr>
          <w:ilvl w:val="0"/>
          <w:numId w:val="3"/>
        </w:numPr>
      </w:pPr>
      <w:r w:rsidRPr="00BD7052">
        <w:rPr>
          <w:rStyle w:val="Characteritalic"/>
        </w:rPr>
        <w:t>Operation Watts</w:t>
      </w:r>
      <w:r w:rsidRPr="31BABAC6">
        <w:t xml:space="preserve"> (tabled </w:t>
      </w:r>
      <w:r>
        <w:t xml:space="preserve">on </w:t>
      </w:r>
      <w:r w:rsidRPr="31BABAC6">
        <w:t>20 July 2022)</w:t>
      </w:r>
    </w:p>
    <w:p w14:paraId="3310E841" w14:textId="70BC399E" w:rsidR="0091072B" w:rsidRDefault="007D33A8" w:rsidP="0091072B">
      <w:pPr>
        <w:pStyle w:val="ListBullet"/>
        <w:numPr>
          <w:ilvl w:val="0"/>
          <w:numId w:val="3"/>
        </w:numPr>
      </w:pPr>
      <w:r w:rsidRPr="00BD7052">
        <w:rPr>
          <w:rStyle w:val="Characteritalic"/>
        </w:rPr>
        <w:t>Corruption risks associated with donations and lobbying</w:t>
      </w:r>
      <w:r>
        <w:t xml:space="preserve"> </w:t>
      </w:r>
      <w:r w:rsidR="0091072B" w:rsidRPr="31BABAC6">
        <w:t xml:space="preserve">(tabled </w:t>
      </w:r>
      <w:r w:rsidR="0091072B">
        <w:t xml:space="preserve">on </w:t>
      </w:r>
      <w:r w:rsidR="0091072B" w:rsidRPr="31BABAC6">
        <w:t>12 October 2022)</w:t>
      </w:r>
    </w:p>
    <w:p w14:paraId="2AAAD45D" w14:textId="20CC77A2" w:rsidR="0091072B" w:rsidRDefault="0091072B" w:rsidP="0091072B">
      <w:pPr>
        <w:pStyle w:val="ListBullet"/>
        <w:numPr>
          <w:ilvl w:val="0"/>
          <w:numId w:val="3"/>
        </w:numPr>
      </w:pPr>
      <w:r w:rsidRPr="00BD7052">
        <w:rPr>
          <w:rStyle w:val="Characteritalic"/>
        </w:rPr>
        <w:t>Operation Clara</w:t>
      </w:r>
      <w:r w:rsidRPr="31BABAC6">
        <w:t xml:space="preserve"> (tabled </w:t>
      </w:r>
      <w:r>
        <w:t xml:space="preserve">on </w:t>
      </w:r>
      <w:r w:rsidRPr="31BABAC6">
        <w:t>21 February 2023)</w:t>
      </w:r>
    </w:p>
    <w:p w14:paraId="76A1C9F3" w14:textId="0602918A" w:rsidR="0091072B" w:rsidRDefault="0091072B" w:rsidP="0091072B">
      <w:pPr>
        <w:pStyle w:val="ListBullet"/>
        <w:numPr>
          <w:ilvl w:val="0"/>
          <w:numId w:val="3"/>
        </w:numPr>
      </w:pPr>
      <w:r w:rsidRPr="00BD7052">
        <w:rPr>
          <w:rStyle w:val="Characteritalic"/>
        </w:rPr>
        <w:t>Operation Daintree</w:t>
      </w:r>
      <w:r w:rsidRPr="31BABAC6">
        <w:t xml:space="preserve"> (tabled </w:t>
      </w:r>
      <w:r>
        <w:t xml:space="preserve">on </w:t>
      </w:r>
      <w:r w:rsidRPr="31BABAC6">
        <w:t>19 April 2023).</w:t>
      </w:r>
    </w:p>
    <w:p w14:paraId="48DE0C3D" w14:textId="6A7BA687" w:rsidR="0091072B" w:rsidRDefault="001A3816" w:rsidP="0091072B">
      <w:pPr>
        <w:pStyle w:val="BodyText"/>
      </w:pPr>
      <w:r>
        <w:t xml:space="preserve">Our </w:t>
      </w:r>
      <w:r w:rsidR="0091072B" w:rsidRPr="0091072B">
        <w:t xml:space="preserve">special report on </w:t>
      </w:r>
      <w:r>
        <w:t xml:space="preserve">the </w:t>
      </w:r>
      <w:r w:rsidR="0091072B" w:rsidRPr="0091072B">
        <w:t>corruption risks associated with donations and lobbying</w:t>
      </w:r>
      <w:r w:rsidR="001259A4">
        <w:t xml:space="preserve"> identified several areas of risk</w:t>
      </w:r>
      <w:r w:rsidR="006B08F0">
        <w:t>,</w:t>
      </w:r>
      <w:r w:rsidR="001259A4">
        <w:t xml:space="preserve"> and </w:t>
      </w:r>
      <w:r w:rsidR="00E11EB0">
        <w:t xml:space="preserve">made recommendations </w:t>
      </w:r>
      <w:r w:rsidR="00A81211">
        <w:t xml:space="preserve">to </w:t>
      </w:r>
      <w:r w:rsidR="00E11EB0">
        <w:t>improv</w:t>
      </w:r>
      <w:r w:rsidR="00A81211">
        <w:t xml:space="preserve">e </w:t>
      </w:r>
      <w:r w:rsidR="001259A4">
        <w:t xml:space="preserve">Victoria’s donations and lobbying regulations. </w:t>
      </w:r>
      <w:r w:rsidR="00A81211">
        <w:t xml:space="preserve">These recommendations </w:t>
      </w:r>
      <w:r w:rsidR="00D442BB">
        <w:t>addressed t</w:t>
      </w:r>
      <w:r w:rsidR="00A81211">
        <w:t>he risks and opportunities</w:t>
      </w:r>
      <w:r w:rsidR="00657682">
        <w:t xml:space="preserve"> for improvement </w:t>
      </w:r>
      <w:r w:rsidR="00A81211">
        <w:t>identified</w:t>
      </w:r>
      <w:r w:rsidR="00D442BB">
        <w:t xml:space="preserve"> in the special report</w:t>
      </w:r>
      <w:r w:rsidR="00A81211">
        <w:t xml:space="preserve">, but </w:t>
      </w:r>
      <w:r w:rsidR="00D442BB">
        <w:t xml:space="preserve">also aimed </w:t>
      </w:r>
      <w:r w:rsidR="008009F2">
        <w:t xml:space="preserve">at bringing </w:t>
      </w:r>
      <w:r w:rsidR="00A81211">
        <w:t xml:space="preserve">Victoria’s donations and lobbying </w:t>
      </w:r>
      <w:r w:rsidR="00CC3B63">
        <w:t xml:space="preserve">regulations </w:t>
      </w:r>
      <w:r w:rsidR="00A81211">
        <w:t>in line with other states and territories.</w:t>
      </w:r>
    </w:p>
    <w:p w14:paraId="6942C5A8" w14:textId="385AC70D" w:rsidR="0091072B" w:rsidRDefault="0091072B" w:rsidP="0091072B">
      <w:pPr>
        <w:pStyle w:val="BodyText"/>
      </w:pPr>
      <w:r w:rsidRPr="0091072B">
        <w:t xml:space="preserve">Operation Clara investigated allegations </w:t>
      </w:r>
      <w:r w:rsidR="00C9472F">
        <w:t xml:space="preserve">that a former government minister engaged in </w:t>
      </w:r>
      <w:r w:rsidRPr="0091072B">
        <w:t>corrupt conduct</w:t>
      </w:r>
      <w:r w:rsidR="00C9472F">
        <w:t>.</w:t>
      </w:r>
      <w:r w:rsidRPr="0091072B">
        <w:t xml:space="preserve"> </w:t>
      </w:r>
      <w:r w:rsidR="00E11EB0">
        <w:t xml:space="preserve">Our </w:t>
      </w:r>
      <w:r w:rsidR="00A54DBC">
        <w:t>operation</w:t>
      </w:r>
      <w:r w:rsidR="009308A5">
        <w:t xml:space="preserve"> identified</w:t>
      </w:r>
      <w:r w:rsidRPr="0091072B">
        <w:t xml:space="preserve"> </w:t>
      </w:r>
      <w:r w:rsidR="00A54DBC">
        <w:t xml:space="preserve">conflict of interest provisions which didn’t go far enough, systemic corruption vulnerabilities and regulatory weaknesses, and </w:t>
      </w:r>
      <w:r w:rsidRPr="0091072B">
        <w:t xml:space="preserve">the need for </w:t>
      </w:r>
      <w:r w:rsidR="00A54DBC">
        <w:t xml:space="preserve">reforms to </w:t>
      </w:r>
      <w:r w:rsidR="009308A5">
        <w:t xml:space="preserve">strengthen </w:t>
      </w:r>
      <w:r w:rsidR="00A54DBC">
        <w:t>the regulation of lobbying in Victoria</w:t>
      </w:r>
      <w:r w:rsidR="009308A5">
        <w:t xml:space="preserve"> and prevent improper influence in public decision-making. We </w:t>
      </w:r>
      <w:r w:rsidRPr="0091072B">
        <w:t xml:space="preserve">added four recommendations to </w:t>
      </w:r>
      <w:r w:rsidR="00CC2541">
        <w:t xml:space="preserve">those already presented in our donations and lobbying special report to </w:t>
      </w:r>
      <w:r w:rsidRPr="0091072B">
        <w:t>ensure Victoria</w:t>
      </w:r>
      <w:r w:rsidR="00CC2541">
        <w:t xml:space="preserve">’s </w:t>
      </w:r>
      <w:r w:rsidRPr="0091072B">
        <w:t>lobbying regulations are in step with other states and territories.</w:t>
      </w:r>
    </w:p>
    <w:p w14:paraId="41A5BF22" w14:textId="764E31AC" w:rsidR="00C97CC2" w:rsidRDefault="0091072B" w:rsidP="0091072B">
      <w:pPr>
        <w:pStyle w:val="BodyText"/>
      </w:pPr>
      <w:r w:rsidRPr="0091072B">
        <w:t xml:space="preserve">Operation Daintree investigated improper influence that compromised the procurement process for, and subsequent management of, a contract awarded to a union-established training group. The report made 17 recommendations to improve ministerial accountability and the standards of conduct for ministerial advisors. See the case </w:t>
      </w:r>
      <w:r w:rsidR="000C0D03">
        <w:t xml:space="preserve">study </w:t>
      </w:r>
      <w:r w:rsidR="009456DC">
        <w:t>below</w:t>
      </w:r>
      <w:r w:rsidRPr="0091072B">
        <w:t xml:space="preserve"> for further information</w:t>
      </w:r>
      <w:r w:rsidR="000C0D03">
        <w:t xml:space="preserve"> </w:t>
      </w:r>
      <w:r w:rsidR="00EB2B81">
        <w:t xml:space="preserve">about </w:t>
      </w:r>
      <w:r w:rsidR="000C0D03">
        <w:t xml:space="preserve">our </w:t>
      </w:r>
      <w:r w:rsidR="00624100">
        <w:t xml:space="preserve">investigation, highlighting how improper influence compromised the procurement process </w:t>
      </w:r>
      <w:r w:rsidR="00EB2B81">
        <w:t xml:space="preserve">of </w:t>
      </w:r>
      <w:r w:rsidR="00624100">
        <w:t>a $1.2</w:t>
      </w:r>
      <w:r w:rsidR="006B08F0">
        <w:t> </w:t>
      </w:r>
      <w:r w:rsidR="00624100">
        <w:t>m</w:t>
      </w:r>
      <w:r w:rsidR="006B08F0">
        <w:t>illion</w:t>
      </w:r>
      <w:r w:rsidR="00624100">
        <w:t xml:space="preserve"> contract</w:t>
      </w:r>
      <w:r w:rsidRPr="0091072B">
        <w:t>.</w:t>
      </w:r>
    </w:p>
    <w:p w14:paraId="227891B3" w14:textId="03D45F01" w:rsidR="009456DC" w:rsidRPr="009456DC" w:rsidRDefault="00C97CC2" w:rsidP="007211D6">
      <w:pPr>
        <w:pStyle w:val="BodyText"/>
      </w:pPr>
      <w:r>
        <w:br w:type="page"/>
      </w:r>
    </w:p>
    <w:tbl>
      <w:tblPr>
        <w:tblStyle w:val="CustomTablecasestudy"/>
        <w:tblW w:w="0" w:type="auto"/>
        <w:tblLook w:val="04A0" w:firstRow="1" w:lastRow="0" w:firstColumn="1" w:lastColumn="0" w:noHBand="0" w:noVBand="1"/>
      </w:tblPr>
      <w:tblGrid>
        <w:gridCol w:w="9027"/>
      </w:tblGrid>
      <w:tr w:rsidR="009456DC" w14:paraId="64785E7C" w14:textId="77777777">
        <w:trPr>
          <w:cnfStyle w:val="100000000000" w:firstRow="1" w:lastRow="0" w:firstColumn="0" w:lastColumn="0" w:oddVBand="0" w:evenVBand="0" w:oddHBand="0" w:evenHBand="0" w:firstRowFirstColumn="0" w:firstRowLastColumn="0" w:lastRowFirstColumn="0" w:lastRowLastColumn="0"/>
        </w:trPr>
        <w:tc>
          <w:tcPr>
            <w:tcW w:w="9027" w:type="dxa"/>
          </w:tcPr>
          <w:p w14:paraId="067A46FD" w14:textId="36FBB629" w:rsidR="009456DC" w:rsidRPr="00C445FB" w:rsidRDefault="009456DC" w:rsidP="00C445FB">
            <w:pPr>
              <w:pStyle w:val="Headingcasestudy"/>
            </w:pPr>
            <w:r w:rsidRPr="00C445FB">
              <w:t>Operation Daintree</w:t>
            </w:r>
          </w:p>
          <w:p w14:paraId="1C020BEA" w14:textId="77777777" w:rsidR="009456DC" w:rsidRPr="009456DC" w:rsidRDefault="009456DC" w:rsidP="009456DC">
            <w:pPr>
              <w:pStyle w:val="BodyText"/>
            </w:pPr>
            <w:r w:rsidRPr="009456DC">
              <w:t>Operation Daintree was an investigation of allegations that the procurement process and awarding of a contract by the then Department of Health and Human Services (DHHS) to the Health Education Federation (HEF) for the delivery of training to health workers in November 2018 constituted serious, corrupt conduct.</w:t>
            </w:r>
          </w:p>
          <w:p w14:paraId="158FC5BC" w14:textId="0D930655" w:rsidR="009456DC" w:rsidRPr="009456DC" w:rsidRDefault="00FE627E" w:rsidP="009456DC">
            <w:pPr>
              <w:pStyle w:val="BodyText"/>
            </w:pPr>
            <w:r>
              <w:t>We</w:t>
            </w:r>
            <w:r w:rsidR="009456DC" w:rsidRPr="009456DC">
              <w:t xml:space="preserve"> initially referred the matter to the Victorian Ombudsman because the allegations fell below our threshold for investigation.</w:t>
            </w:r>
          </w:p>
          <w:p w14:paraId="47A179D7" w14:textId="399522C7" w:rsidR="009456DC" w:rsidRPr="009456DC" w:rsidRDefault="00FE627E" w:rsidP="009456DC">
            <w:pPr>
              <w:pStyle w:val="BodyText"/>
            </w:pPr>
            <w:r>
              <w:t>However, i</w:t>
            </w:r>
            <w:r w:rsidR="009456DC" w:rsidRPr="009456DC">
              <w:t>n November 2019, the Victorian Ombudsman notified IBAC that its investigation had identified evidence of pressure exerted on DHHS staff to award the contract to the HEF, which raised reasonable suspicion of corrupt conduct by several ministers and ministerial staff. We then commenced the Operation Daintree investigation.</w:t>
            </w:r>
          </w:p>
          <w:p w14:paraId="18CBFDF5" w14:textId="74760836" w:rsidR="009456DC" w:rsidRPr="009456DC" w:rsidRDefault="006C1B98" w:rsidP="009456DC">
            <w:pPr>
              <w:pStyle w:val="BodyText"/>
            </w:pPr>
            <w:r>
              <w:t xml:space="preserve">Our </w:t>
            </w:r>
            <w:r w:rsidR="009456DC" w:rsidRPr="009456DC">
              <w:t>special report on Operation Daintree was tabled in</w:t>
            </w:r>
            <w:r w:rsidR="00E85923">
              <w:t xml:space="preserve"> the</w:t>
            </w:r>
            <w:r w:rsidR="009456DC" w:rsidRPr="009456DC">
              <w:t xml:space="preserve"> </w:t>
            </w:r>
            <w:r w:rsidR="00266E36">
              <w:t>Victorian P</w:t>
            </w:r>
            <w:r w:rsidR="009456DC" w:rsidRPr="009456DC">
              <w:t>arliament on 18 April 2023, and published on</w:t>
            </w:r>
            <w:r w:rsidR="00C90614">
              <w:t xml:space="preserve"> the</w:t>
            </w:r>
            <w:r w:rsidR="009456DC" w:rsidRPr="009456DC">
              <w:t xml:space="preserve"> IBAC website</w:t>
            </w:r>
            <w:r w:rsidR="00D12397">
              <w:t xml:space="preserve"> with </w:t>
            </w:r>
            <w:r w:rsidR="009456DC" w:rsidRPr="009456DC">
              <w:t>an easy-to-read summary and short video.</w:t>
            </w:r>
          </w:p>
          <w:p w14:paraId="64DA531A" w14:textId="0DB5A0A7" w:rsidR="009456DC" w:rsidRPr="009456DC" w:rsidRDefault="006C1B98" w:rsidP="009456DC">
            <w:pPr>
              <w:pStyle w:val="BodyText"/>
            </w:pPr>
            <w:r>
              <w:t xml:space="preserve">Our </w:t>
            </w:r>
            <w:r w:rsidR="009456DC" w:rsidRPr="009456DC">
              <w:t>investigation found that in October 2018, the then DHHS entered a $1.2</w:t>
            </w:r>
            <w:r w:rsidR="006B08F0">
              <w:t> </w:t>
            </w:r>
            <w:r w:rsidR="009456DC" w:rsidRPr="009456DC">
              <w:t>million contract with the HEF – a recently established entity linked to the Health Workers Union – to provide occupational violence and aggression training to health workers.</w:t>
            </w:r>
          </w:p>
          <w:p w14:paraId="26B30801" w14:textId="4D0A13BB" w:rsidR="009456DC" w:rsidRPr="009456DC" w:rsidRDefault="006C1B98" w:rsidP="009456DC">
            <w:pPr>
              <w:pStyle w:val="BodyText"/>
            </w:pPr>
            <w:r>
              <w:t>Our</w:t>
            </w:r>
            <w:r w:rsidRPr="009456DC">
              <w:t xml:space="preserve"> </w:t>
            </w:r>
            <w:r w:rsidR="009456DC" w:rsidRPr="009456DC">
              <w:t xml:space="preserve">investigation </w:t>
            </w:r>
            <w:r>
              <w:t xml:space="preserve">also found </w:t>
            </w:r>
            <w:r w:rsidR="009456DC" w:rsidRPr="009456DC">
              <w:t xml:space="preserve">that </w:t>
            </w:r>
            <w:r>
              <w:t xml:space="preserve">the </w:t>
            </w:r>
            <w:r w:rsidR="007E0683">
              <w:t xml:space="preserve">then </w:t>
            </w:r>
            <w:r w:rsidR="009456DC" w:rsidRPr="009456DC">
              <w:t>DHHS did not conduct a competitive process before awarding the contract to the HEF and a senior advisor to the Minister for Health had improperly influenced the awarding of the contract to the HEF.</w:t>
            </w:r>
          </w:p>
          <w:p w14:paraId="3D46D5FF" w14:textId="1A9D753B" w:rsidR="009456DC" w:rsidRPr="009456DC" w:rsidRDefault="009456DC" w:rsidP="009456DC">
            <w:pPr>
              <w:pStyle w:val="BodyText"/>
            </w:pPr>
            <w:r w:rsidRPr="009456DC">
              <w:t xml:space="preserve">While the evidence in Operation Daintree fell short of 'corrupt conduct' as defined in the IBAC Act, it revealed breaches of the duties and obligations of ministers, ministerial advisors and senior public </w:t>
            </w:r>
            <w:r w:rsidR="00D8385F">
              <w:t>officers.</w:t>
            </w:r>
            <w:r w:rsidRPr="009456DC">
              <w:t xml:space="preserve"> Such misconduct leaves the public sector vulnerable to corrupt</w:t>
            </w:r>
            <w:r w:rsidR="00D8385F">
              <w:t>ion.</w:t>
            </w:r>
          </w:p>
          <w:p w14:paraId="6B650816" w14:textId="446CB089" w:rsidR="007072F6" w:rsidRDefault="007072F6" w:rsidP="009456DC">
            <w:pPr>
              <w:pStyle w:val="BodyText"/>
            </w:pPr>
            <w:r>
              <w:t xml:space="preserve">Our report </w:t>
            </w:r>
            <w:r w:rsidR="009456DC" w:rsidRPr="009456DC">
              <w:t>highlighted</w:t>
            </w:r>
            <w:r>
              <w:t>:</w:t>
            </w:r>
          </w:p>
          <w:p w14:paraId="4BF4362F" w14:textId="5D130CC0" w:rsidR="007072F6" w:rsidRDefault="009456DC" w:rsidP="00114F9C">
            <w:pPr>
              <w:pStyle w:val="ListBullet"/>
            </w:pPr>
            <w:r w:rsidRPr="009456DC">
              <w:t>the risks that can arise when a government is contracting with an organisation that has connections with the governing party</w:t>
            </w:r>
          </w:p>
          <w:p w14:paraId="641D09E3" w14:textId="4DEF109D" w:rsidR="007072F6" w:rsidRDefault="009456DC" w:rsidP="00114F9C">
            <w:pPr>
              <w:pStyle w:val="ListBullet"/>
            </w:pPr>
            <w:r w:rsidRPr="009456DC">
              <w:t>issues with the scope of authority of ministerial advisors</w:t>
            </w:r>
          </w:p>
          <w:p w14:paraId="618C63FD" w14:textId="75F571D6" w:rsidR="009456DC" w:rsidRPr="009456DC" w:rsidRDefault="009456DC" w:rsidP="00114F9C">
            <w:pPr>
              <w:pStyle w:val="ListBullet"/>
            </w:pPr>
            <w:r w:rsidRPr="009456DC">
              <w:t>the risks that arise when senior public officers fail to give frank – and potentially unwelcome – advice to their minister.</w:t>
            </w:r>
          </w:p>
          <w:p w14:paraId="61E4BE45" w14:textId="43022F9C" w:rsidR="009456DC" w:rsidRPr="009456DC" w:rsidRDefault="009456DC" w:rsidP="009456DC">
            <w:pPr>
              <w:pStyle w:val="BodyText"/>
            </w:pPr>
            <w:r w:rsidRPr="009456DC">
              <w:t>As a result of Operation Daintree, we made 17 recommendations to ensure ministers have a clear understanding of their obligations for the management of ministerial staff and the role of ministerial advisors is more accountable.</w:t>
            </w:r>
          </w:p>
          <w:p w14:paraId="204B36A0" w14:textId="0C3FC65B" w:rsidR="00C445FB" w:rsidRDefault="009456DC" w:rsidP="009456DC">
            <w:pPr>
              <w:pStyle w:val="BodyText"/>
            </w:pPr>
            <w:r w:rsidRPr="009456DC">
              <w:t xml:space="preserve">We have asked the Victorian Government to provide a progress report to </w:t>
            </w:r>
            <w:r w:rsidR="009B162D">
              <w:t xml:space="preserve">the </w:t>
            </w:r>
            <w:r w:rsidR="00266E36">
              <w:t>Victorian P</w:t>
            </w:r>
            <w:r w:rsidRPr="009456DC">
              <w:t>arliament on the action</w:t>
            </w:r>
            <w:r w:rsidR="004777FD">
              <w:t>s</w:t>
            </w:r>
            <w:r w:rsidRPr="009456DC">
              <w:t xml:space="preserve"> taken in response to the</w:t>
            </w:r>
            <w:r w:rsidR="00AC7F1A">
              <w:t>se</w:t>
            </w:r>
            <w:r w:rsidRPr="009456DC">
              <w:t xml:space="preserve"> recommendations by 31 October 2023, with a further report on those actions by 30 June 2024. </w:t>
            </w:r>
          </w:p>
          <w:p w14:paraId="1F644359" w14:textId="164FF1BC" w:rsidR="009456DC" w:rsidRPr="009456DC" w:rsidRDefault="00867715" w:rsidP="009456DC">
            <w:pPr>
              <w:pStyle w:val="BodyText"/>
            </w:pPr>
            <w:r w:rsidRPr="00867715">
              <w:t>More information about Operation Daintree is available on the IBAC website (www.ibac.vic.gov.au/operation-daintree-special-report)</w:t>
            </w:r>
            <w:r w:rsidR="009456DC" w:rsidRPr="009456DC">
              <w:t>.</w:t>
            </w:r>
          </w:p>
        </w:tc>
      </w:tr>
    </w:tbl>
    <w:p w14:paraId="7B6657CD" w14:textId="77777777" w:rsidR="009456DC" w:rsidRDefault="009456DC" w:rsidP="0091072B">
      <w:pPr>
        <w:pStyle w:val="BodyText"/>
      </w:pPr>
    </w:p>
    <w:p w14:paraId="5ACA73EF" w14:textId="77777777" w:rsidR="00C97CC2" w:rsidRPr="007211D6" w:rsidRDefault="00C97CC2" w:rsidP="007211D6">
      <w:pPr>
        <w:pStyle w:val="BodyText"/>
      </w:pPr>
      <w:r>
        <w:br w:type="page"/>
      </w:r>
    </w:p>
    <w:p w14:paraId="0EA253EC" w14:textId="2D2AB765" w:rsidR="0091072B" w:rsidRPr="0091072B" w:rsidRDefault="0091072B" w:rsidP="00B07072">
      <w:pPr>
        <w:pStyle w:val="Heading5"/>
      </w:pPr>
      <w:r w:rsidRPr="0091072B">
        <w:t>Improper influence campaign</w:t>
      </w:r>
    </w:p>
    <w:p w14:paraId="047A2CAD" w14:textId="7B8B82B8" w:rsidR="0091072B" w:rsidRDefault="0091072B" w:rsidP="0091072B">
      <w:pPr>
        <w:pStyle w:val="BodyText"/>
      </w:pPr>
      <w:r w:rsidRPr="31BABAC6">
        <w:t xml:space="preserve">In March 2023, </w:t>
      </w:r>
      <w:r>
        <w:t>we</w:t>
      </w:r>
      <w:r w:rsidRPr="31BABAC6">
        <w:t xml:space="preserve"> launched the second phase of </w:t>
      </w:r>
      <w:r>
        <w:t>our</w:t>
      </w:r>
      <w:r w:rsidRPr="31BABAC6">
        <w:t xml:space="preserve"> </w:t>
      </w:r>
      <w:r>
        <w:t>‘</w:t>
      </w:r>
      <w:r w:rsidRPr="31BABAC6">
        <w:t>Speak up to stop it</w:t>
      </w:r>
      <w:r>
        <w:t>’</w:t>
      </w:r>
      <w:r w:rsidRPr="31BABAC6">
        <w:t xml:space="preserve"> campaign to remind Victorian public sector employees that they can be at risk of being improperly influenced (phase 1 was launched in </w:t>
      </w:r>
      <w:r w:rsidR="000A1691">
        <w:t>2021/22</w:t>
      </w:r>
      <w:r w:rsidRPr="31BABAC6">
        <w:t>).</w:t>
      </w:r>
    </w:p>
    <w:p w14:paraId="3D38DA1C" w14:textId="2C0C6912" w:rsidR="0091072B" w:rsidRDefault="0091072B" w:rsidP="0091072B">
      <w:pPr>
        <w:pStyle w:val="BodyText"/>
      </w:pPr>
      <w:r w:rsidRPr="31BABAC6">
        <w:t>The campaign was designed to reach public sector employees, including those in government departments and agencies, but also schools, councils and hospitals.</w:t>
      </w:r>
      <w:r>
        <w:t xml:space="preserve"> </w:t>
      </w:r>
      <w:r w:rsidRPr="31BABAC6">
        <w:t xml:space="preserve">Using short videos, Google and social media advertisements, digital banners and guidance materials, </w:t>
      </w:r>
      <w:r w:rsidR="001D63B0">
        <w:t xml:space="preserve">our </w:t>
      </w:r>
      <w:r w:rsidRPr="31BABAC6">
        <w:t>campaign raised awareness of improper influence and why it is important to report it.</w:t>
      </w:r>
    </w:p>
    <w:p w14:paraId="4914456E" w14:textId="38F53864" w:rsidR="0091072B" w:rsidRDefault="0091072B" w:rsidP="0091072B">
      <w:pPr>
        <w:pStyle w:val="BodyText"/>
      </w:pPr>
      <w:r w:rsidRPr="31BABAC6">
        <w:t xml:space="preserve">Results from </w:t>
      </w:r>
      <w:r>
        <w:t>our</w:t>
      </w:r>
      <w:r w:rsidRPr="31BABAC6">
        <w:t xml:space="preserve"> </w:t>
      </w:r>
      <w:r>
        <w:t>p</w:t>
      </w:r>
      <w:r w:rsidRPr="31BABAC6">
        <w:t>erceptions of corruption survey</w:t>
      </w:r>
      <w:r>
        <w:t>s</w:t>
      </w:r>
      <w:r w:rsidRPr="31BABAC6">
        <w:t xml:space="preserve"> released in December 2022 showed that perceptions of public sector corruption were on the rise with improper influence one of the key behaviours perceived to be at risk of occurring in the workplace.</w:t>
      </w:r>
    </w:p>
    <w:p w14:paraId="29B85DF6" w14:textId="7E30B9AF" w:rsidR="0091072B" w:rsidRDefault="0091072B" w:rsidP="0091072B">
      <w:pPr>
        <w:pStyle w:val="BodyText"/>
      </w:pPr>
      <w:r w:rsidRPr="31BABAC6">
        <w:t xml:space="preserve">These results indicated that </w:t>
      </w:r>
      <w:r>
        <w:t>we</w:t>
      </w:r>
      <w:r w:rsidRPr="31BABAC6">
        <w:t xml:space="preserve"> needed to continue to raise awareness of the risks of improper influence and provide guidance to public sector agencies and employees.</w:t>
      </w:r>
    </w:p>
    <w:p w14:paraId="71FA17D8" w14:textId="6FA662F1" w:rsidR="005106AB" w:rsidRDefault="0096509E" w:rsidP="0091072B">
      <w:pPr>
        <w:pStyle w:val="BodyText"/>
      </w:pPr>
      <w:r>
        <w:t xml:space="preserve">Our </w:t>
      </w:r>
      <w:r w:rsidR="0091072B" w:rsidRPr="31BABAC6">
        <w:t>campaign is another step towards</w:t>
      </w:r>
      <w:r w:rsidR="005106AB">
        <w:t>:</w:t>
      </w:r>
    </w:p>
    <w:p w14:paraId="287D3C7F" w14:textId="4D3EDB45" w:rsidR="005106AB" w:rsidRDefault="0091072B" w:rsidP="006B08F0">
      <w:pPr>
        <w:pStyle w:val="ListBullet"/>
      </w:pPr>
      <w:r w:rsidRPr="31BABAC6">
        <w:t xml:space="preserve">building resilience </w:t>
      </w:r>
      <w:r w:rsidR="005106AB">
        <w:t xml:space="preserve">against </w:t>
      </w:r>
      <w:r w:rsidRPr="31BABAC6">
        <w:t>improper influence</w:t>
      </w:r>
    </w:p>
    <w:p w14:paraId="3F621AD2" w14:textId="26EA19FD" w:rsidR="005106AB" w:rsidRDefault="0091072B" w:rsidP="006B08F0">
      <w:pPr>
        <w:pStyle w:val="ListBullet"/>
      </w:pPr>
      <w:r w:rsidRPr="31BABAC6">
        <w:t>strengthening a culture of integrity in the public sector</w:t>
      </w:r>
    </w:p>
    <w:p w14:paraId="20F96768" w14:textId="43DF19BC" w:rsidR="0091072B" w:rsidRDefault="0091072B" w:rsidP="006B08F0">
      <w:pPr>
        <w:pStyle w:val="ListBullet"/>
      </w:pPr>
      <w:r w:rsidRPr="31BABAC6">
        <w:t xml:space="preserve">restoring the community’s </w:t>
      </w:r>
      <w:r w:rsidR="005106AB">
        <w:t xml:space="preserve">trust </w:t>
      </w:r>
      <w:r w:rsidRPr="31BABAC6">
        <w:t>in the decisions made by public officers.</w:t>
      </w:r>
    </w:p>
    <w:p w14:paraId="292D1286" w14:textId="704DD8B6" w:rsidR="007463D5" w:rsidRDefault="007463D5" w:rsidP="00537D7C">
      <w:pPr>
        <w:pStyle w:val="Heading3"/>
      </w:pPr>
      <w:bookmarkStart w:id="102" w:name="_Toc149127905"/>
      <w:bookmarkStart w:id="103" w:name="_Ref149134750"/>
      <w:bookmarkStart w:id="104" w:name="_Ref149134777"/>
      <w:r w:rsidRPr="00537D7C">
        <w:t>Strategic initiatives</w:t>
      </w:r>
      <w:bookmarkEnd w:id="102"/>
      <w:bookmarkEnd w:id="103"/>
      <w:bookmarkEnd w:id="104"/>
    </w:p>
    <w:p w14:paraId="191BA183" w14:textId="77777777" w:rsidR="003149D9" w:rsidRDefault="003149D9" w:rsidP="003149D9">
      <w:pPr>
        <w:pStyle w:val="BodyText"/>
        <w:rPr>
          <w:lang w:eastAsia="en-AU"/>
        </w:rPr>
      </w:pPr>
      <w:r>
        <w:rPr>
          <w:lang w:eastAsia="en-AU"/>
        </w:rPr>
        <w:t>Many of our strategic initiatives benefit both our police oversight work as well as our public sector oversight work. These include:</w:t>
      </w:r>
    </w:p>
    <w:p w14:paraId="540FDDE8" w14:textId="308085A6" w:rsidR="003149D9" w:rsidRDefault="003149D9" w:rsidP="003965EA">
      <w:pPr>
        <w:pStyle w:val="ListBullet"/>
      </w:pPr>
      <w:r>
        <w:t xml:space="preserve">Corruption Prevention strategy </w:t>
      </w:r>
    </w:p>
    <w:p w14:paraId="7FC0DEE9" w14:textId="5C60E02A" w:rsidR="003149D9" w:rsidRDefault="003149D9" w:rsidP="003965EA">
      <w:pPr>
        <w:pStyle w:val="ListBullet"/>
      </w:pPr>
      <w:r>
        <w:t>enhanced witness liaison</w:t>
      </w:r>
    </w:p>
    <w:p w14:paraId="2534A00F" w14:textId="7B754CE1" w:rsidR="003149D9" w:rsidRDefault="003149D9" w:rsidP="003965EA">
      <w:pPr>
        <w:pStyle w:val="ListBullet"/>
      </w:pPr>
      <w:r>
        <w:t>enhanced complainant experience</w:t>
      </w:r>
    </w:p>
    <w:p w14:paraId="6EED2C66" w14:textId="357B2E1F" w:rsidR="003149D9" w:rsidRDefault="003149D9" w:rsidP="003965EA">
      <w:pPr>
        <w:pStyle w:val="ListBullet"/>
      </w:pPr>
      <w:r>
        <w:t>intelligence framework</w:t>
      </w:r>
    </w:p>
    <w:p w14:paraId="1BCD33CD" w14:textId="6824DD96" w:rsidR="003149D9" w:rsidRDefault="003149D9" w:rsidP="003965EA">
      <w:pPr>
        <w:pStyle w:val="ListBullet"/>
      </w:pPr>
      <w:r>
        <w:t xml:space="preserve">investigations framework. </w:t>
      </w:r>
    </w:p>
    <w:p w14:paraId="62F45F8B" w14:textId="511ACE97" w:rsidR="003149D9" w:rsidRPr="003965EA" w:rsidRDefault="003149D9" w:rsidP="003965EA">
      <w:pPr>
        <w:pStyle w:val="BodyText"/>
        <w:rPr>
          <w:lang w:eastAsia="en-AU"/>
        </w:rPr>
      </w:pPr>
      <w:r>
        <w:rPr>
          <w:lang w:eastAsia="en-AU"/>
        </w:rPr>
        <w:t xml:space="preserve">These are discussed in the </w:t>
      </w:r>
      <w:r>
        <w:rPr>
          <w:lang w:eastAsia="en-AU"/>
        </w:rPr>
        <w:fldChar w:fldCharType="begin"/>
      </w:r>
      <w:r>
        <w:rPr>
          <w:lang w:eastAsia="en-AU"/>
        </w:rPr>
        <w:instrText xml:space="preserve"> REF _Ref141259812 \h </w:instrText>
      </w:r>
      <w:r>
        <w:rPr>
          <w:lang w:eastAsia="en-AU"/>
        </w:rPr>
      </w:r>
      <w:r>
        <w:rPr>
          <w:lang w:eastAsia="en-AU"/>
        </w:rPr>
        <w:fldChar w:fldCharType="separate"/>
      </w:r>
      <w:r>
        <w:t>Police oversight</w:t>
      </w:r>
      <w:r>
        <w:rPr>
          <w:lang w:eastAsia="en-AU"/>
        </w:rPr>
        <w:fldChar w:fldCharType="end"/>
      </w:r>
      <w:r>
        <w:rPr>
          <w:lang w:eastAsia="en-AU"/>
        </w:rPr>
        <w:t xml:space="preserve"> section.</w:t>
      </w:r>
    </w:p>
    <w:p w14:paraId="2400E323" w14:textId="2A52B4F5" w:rsidR="002168DA" w:rsidRDefault="002168DA" w:rsidP="00B07072">
      <w:pPr>
        <w:pStyle w:val="Heading4"/>
      </w:pPr>
      <w:r>
        <w:t xml:space="preserve">Corruption </w:t>
      </w:r>
      <w:r w:rsidR="00E44402">
        <w:t>P</w:t>
      </w:r>
      <w:r>
        <w:t xml:space="preserve">revention </w:t>
      </w:r>
      <w:r w:rsidR="00E44402">
        <w:t>S</w:t>
      </w:r>
      <w:r>
        <w:t>trategy</w:t>
      </w:r>
    </w:p>
    <w:p w14:paraId="2617163B" w14:textId="56C635A9" w:rsidR="009456DC" w:rsidRPr="009456DC" w:rsidRDefault="009456DC" w:rsidP="009456DC">
      <w:pPr>
        <w:pStyle w:val="BodyText"/>
      </w:pPr>
      <w:r w:rsidRPr="009456DC">
        <w:t xml:space="preserve">As noted in the </w:t>
      </w:r>
      <w:r w:rsidRPr="009456DC">
        <w:fldChar w:fldCharType="begin"/>
      </w:r>
      <w:r w:rsidRPr="009456DC">
        <w:instrText xml:space="preserve"> REF _Ref140849637 \h </w:instrText>
      </w:r>
      <w:r w:rsidRPr="009456DC">
        <w:fldChar w:fldCharType="separate"/>
      </w:r>
      <w:r w:rsidRPr="009456DC">
        <w:t>Police oversight</w:t>
      </w:r>
      <w:r w:rsidRPr="009456DC">
        <w:fldChar w:fldCharType="end"/>
      </w:r>
      <w:r w:rsidRPr="009456DC">
        <w:t xml:space="preserve"> section, </w:t>
      </w:r>
      <w:r w:rsidR="004F5C2D">
        <w:t xml:space="preserve">our </w:t>
      </w:r>
      <w:r w:rsidRPr="000227E4">
        <w:t xml:space="preserve">Corruption Prevention </w:t>
      </w:r>
      <w:r w:rsidR="00723697">
        <w:t>S</w:t>
      </w:r>
      <w:r w:rsidRPr="000227E4">
        <w:t xml:space="preserve">trategy </w:t>
      </w:r>
      <w:r w:rsidRPr="009456DC">
        <w:t>identifies our role to inform, support and educate the public sector and police on the harmful effects of corruption and police misconduct</w:t>
      </w:r>
      <w:r w:rsidR="00D01960">
        <w:t xml:space="preserve"> </w:t>
      </w:r>
      <w:r w:rsidR="00E7479B">
        <w:t>–</w:t>
      </w:r>
      <w:r w:rsidRPr="009456DC">
        <w:t xml:space="preserve"> and how to prevent it.</w:t>
      </w:r>
      <w:r w:rsidR="006B08F0">
        <w:t xml:space="preserve"> </w:t>
      </w:r>
      <w:r w:rsidR="00C85367">
        <w:t xml:space="preserve">We deliver </w:t>
      </w:r>
      <w:r w:rsidRPr="009456DC">
        <w:t>prevention and education initiatives</w:t>
      </w:r>
      <w:r w:rsidR="00C85367">
        <w:t xml:space="preserve"> </w:t>
      </w:r>
      <w:r w:rsidRPr="009456DC">
        <w:t xml:space="preserve">to </w:t>
      </w:r>
      <w:r w:rsidR="00C85367">
        <w:t xml:space="preserve">a variety of </w:t>
      </w:r>
      <w:r w:rsidRPr="009456DC">
        <w:t>audiences in the public sector</w:t>
      </w:r>
      <w:r w:rsidR="00DB15ED">
        <w:t>.</w:t>
      </w:r>
    </w:p>
    <w:p w14:paraId="09D670B1" w14:textId="12445E78" w:rsidR="002168DA" w:rsidRPr="005C0460" w:rsidRDefault="002168DA" w:rsidP="002168DA">
      <w:pPr>
        <w:pStyle w:val="BodyText"/>
      </w:pPr>
      <w:r>
        <w:t xml:space="preserve">In </w:t>
      </w:r>
      <w:r w:rsidR="000A1691">
        <w:t>2022/23</w:t>
      </w:r>
      <w:r>
        <w:t>, implement</w:t>
      </w:r>
      <w:r w:rsidR="00785C84">
        <w:t>ation</w:t>
      </w:r>
      <w:r>
        <w:t xml:space="preserve"> of </w:t>
      </w:r>
      <w:r w:rsidR="009456DC">
        <w:t xml:space="preserve">our </w:t>
      </w:r>
      <w:r w:rsidRPr="000227E4">
        <w:t xml:space="preserve">Corruption Prevention </w:t>
      </w:r>
      <w:r w:rsidR="00723697">
        <w:t>S</w:t>
      </w:r>
      <w:r w:rsidRPr="000227E4">
        <w:t>trategy</w:t>
      </w:r>
      <w:r w:rsidR="00E02C78">
        <w:t xml:space="preserve"> focus</w:t>
      </w:r>
      <w:r w:rsidR="006B08F0">
        <w:t>ed</w:t>
      </w:r>
      <w:r w:rsidR="00E02C78">
        <w:t xml:space="preserve"> on</w:t>
      </w:r>
      <w:r w:rsidR="008438C9">
        <w:t>:</w:t>
      </w:r>
    </w:p>
    <w:p w14:paraId="02ADE1D7" w14:textId="65F13AC1" w:rsidR="002168DA" w:rsidRPr="005C0460" w:rsidRDefault="002168DA" w:rsidP="004B370E">
      <w:pPr>
        <w:pStyle w:val="ListBullet"/>
      </w:pPr>
      <w:r>
        <w:t>internal data analytics capability</w:t>
      </w:r>
    </w:p>
    <w:p w14:paraId="63BD96AC" w14:textId="0304913C" w:rsidR="002168DA" w:rsidRPr="005C0460" w:rsidRDefault="002168DA" w:rsidP="004B370E">
      <w:pPr>
        <w:pStyle w:val="ListBullet"/>
      </w:pPr>
      <w:r>
        <w:t>communication and engagement activities</w:t>
      </w:r>
      <w:r w:rsidR="006B08F0">
        <w:t>,</w:t>
      </w:r>
      <w:r>
        <w:t xml:space="preserve"> with </w:t>
      </w:r>
      <w:r w:rsidR="008438C9">
        <w:t>an emphasis</w:t>
      </w:r>
      <w:r>
        <w:t xml:space="preserve"> on accessible content</w:t>
      </w:r>
    </w:p>
    <w:p w14:paraId="7B4A2CB5" w14:textId="1E85060F" w:rsidR="002168DA" w:rsidRPr="005C0460" w:rsidRDefault="002168DA" w:rsidP="004B370E">
      <w:pPr>
        <w:pStyle w:val="ListBullet"/>
      </w:pPr>
      <w:r>
        <w:t>opportunities to collaborate with other agencies on prevention and education initiatives.</w:t>
      </w:r>
    </w:p>
    <w:p w14:paraId="4F21A595" w14:textId="603CD265" w:rsidR="00FB7DF9" w:rsidRDefault="009179BE">
      <w:pPr>
        <w:pStyle w:val="BodyText"/>
      </w:pPr>
      <w:r>
        <w:t>T</w:t>
      </w:r>
      <w:r w:rsidR="002168DA" w:rsidRPr="31BABAC6">
        <w:t>he Prevention and Education Advisory Committee</w:t>
      </w:r>
      <w:r>
        <w:t xml:space="preserve"> was established in </w:t>
      </w:r>
      <w:r w:rsidRPr="009179BE">
        <w:t>October 2022</w:t>
      </w:r>
      <w:r>
        <w:t xml:space="preserve"> </w:t>
      </w:r>
      <w:r w:rsidR="00460253">
        <w:t>and</w:t>
      </w:r>
      <w:r w:rsidR="002168DA" w:rsidRPr="31BABAC6">
        <w:t xml:space="preserve"> includes representatives from the</w:t>
      </w:r>
      <w:r w:rsidR="00FB7DF9">
        <w:t>:</w:t>
      </w:r>
      <w:r w:rsidR="002168DA" w:rsidRPr="31BABAC6">
        <w:t xml:space="preserve"> </w:t>
      </w:r>
    </w:p>
    <w:p w14:paraId="61EBCB3F" w14:textId="4CF34498" w:rsidR="00FB7DF9" w:rsidRDefault="002168DA" w:rsidP="006B08F0">
      <w:pPr>
        <w:pStyle w:val="ListBullet"/>
      </w:pPr>
      <w:r w:rsidRPr="31BABAC6">
        <w:t>Local Government Inspectorate</w:t>
      </w:r>
    </w:p>
    <w:p w14:paraId="2E41ACF2" w14:textId="7C49D328" w:rsidR="00FB7DF9" w:rsidRDefault="00723697" w:rsidP="006B08F0">
      <w:pPr>
        <w:pStyle w:val="ListBullet"/>
      </w:pPr>
      <w:r>
        <w:t>OVIC</w:t>
      </w:r>
    </w:p>
    <w:p w14:paraId="22A5FB02" w14:textId="5851C922" w:rsidR="00FB7DF9" w:rsidRDefault="00723697" w:rsidP="006B08F0">
      <w:pPr>
        <w:pStyle w:val="ListBullet"/>
      </w:pPr>
      <w:r>
        <w:t>VAGO</w:t>
      </w:r>
    </w:p>
    <w:p w14:paraId="50EA16DA" w14:textId="44ACF7B9" w:rsidR="00FB7DF9" w:rsidRDefault="002168DA" w:rsidP="006B08F0">
      <w:pPr>
        <w:pStyle w:val="ListBullet"/>
      </w:pPr>
      <w:r w:rsidRPr="31BABAC6">
        <w:t>Victorian Ombudsman</w:t>
      </w:r>
    </w:p>
    <w:p w14:paraId="4FD21077" w14:textId="59834731" w:rsidR="00FB7DF9" w:rsidRDefault="00C934D9" w:rsidP="006B08F0">
      <w:pPr>
        <w:pStyle w:val="ListBullet"/>
      </w:pPr>
      <w:r>
        <w:t>VPSC</w:t>
      </w:r>
      <w:r w:rsidR="002168DA" w:rsidRPr="31BABAC6">
        <w:t>.</w:t>
      </w:r>
    </w:p>
    <w:p w14:paraId="0988574E" w14:textId="6C9E703D" w:rsidR="002168DA" w:rsidRDefault="002168DA" w:rsidP="00E11A56">
      <w:pPr>
        <w:pStyle w:val="BodyText"/>
      </w:pPr>
      <w:r w:rsidRPr="31BABAC6">
        <w:t xml:space="preserve">The committee provides a forum </w:t>
      </w:r>
      <w:r w:rsidR="003503A6">
        <w:t xml:space="preserve">for collaboration on </w:t>
      </w:r>
      <w:r w:rsidRPr="31BABAC6">
        <w:t>corruption prevention</w:t>
      </w:r>
      <w:r w:rsidR="00755681">
        <w:t>, as well as</w:t>
      </w:r>
      <w:r w:rsidRPr="31BABAC6">
        <w:t xml:space="preserve"> resources and training for the public sector.</w:t>
      </w:r>
      <w:r w:rsidR="00DD1452">
        <w:t xml:space="preserve"> </w:t>
      </w:r>
      <w:r w:rsidR="00C3652E">
        <w:t xml:space="preserve">We developed a </w:t>
      </w:r>
      <w:r w:rsidRPr="31BABAC6">
        <w:t xml:space="preserve">suite of e-learning modules </w:t>
      </w:r>
      <w:r w:rsidR="00755681">
        <w:t xml:space="preserve">that covered </w:t>
      </w:r>
      <w:r w:rsidR="00755681" w:rsidRPr="00755681">
        <w:t>IBAC</w:t>
      </w:r>
      <w:r w:rsidR="00755681">
        <w:t xml:space="preserve">’s role </w:t>
      </w:r>
      <w:r w:rsidR="00755681" w:rsidRPr="00755681">
        <w:t>and the Victorian integrity system</w:t>
      </w:r>
      <w:r w:rsidR="00755681">
        <w:t>, as well as</w:t>
      </w:r>
      <w:r w:rsidRPr="31BABAC6">
        <w:t xml:space="preserve"> a range of corruption prevention topics</w:t>
      </w:r>
      <w:r w:rsidR="00C3652E">
        <w:t xml:space="preserve">, </w:t>
      </w:r>
      <w:r w:rsidR="00DD1452">
        <w:t>including:</w:t>
      </w:r>
      <w:r w:rsidRPr="31BABAC6">
        <w:t xml:space="preserve"> </w:t>
      </w:r>
    </w:p>
    <w:p w14:paraId="1E9340AE" w14:textId="68BCCDFB" w:rsidR="002168DA" w:rsidRPr="00755681" w:rsidRDefault="002168DA" w:rsidP="00D200AA">
      <w:pPr>
        <w:pStyle w:val="ListBullet"/>
        <w:rPr>
          <w:rFonts w:eastAsia="Calibri"/>
        </w:rPr>
      </w:pPr>
      <w:r w:rsidRPr="00755681">
        <w:rPr>
          <w:rFonts w:eastAsia="Calibri"/>
        </w:rPr>
        <w:t>procurement</w:t>
      </w:r>
    </w:p>
    <w:p w14:paraId="12251E84" w14:textId="56EAB263" w:rsidR="002168DA" w:rsidRDefault="002168DA" w:rsidP="00E11A56">
      <w:pPr>
        <w:pStyle w:val="ListBullet"/>
        <w:rPr>
          <w:rFonts w:eastAsia="Calibri"/>
        </w:rPr>
      </w:pPr>
      <w:r w:rsidRPr="31BABAC6">
        <w:rPr>
          <w:rFonts w:eastAsia="Calibri"/>
        </w:rPr>
        <w:t>conflict of interest</w:t>
      </w:r>
    </w:p>
    <w:p w14:paraId="3510767C" w14:textId="39279AE7" w:rsidR="002168DA" w:rsidRDefault="002168DA" w:rsidP="00E11A56">
      <w:pPr>
        <w:pStyle w:val="ListBullet"/>
        <w:rPr>
          <w:rFonts w:eastAsia="Calibri"/>
        </w:rPr>
      </w:pPr>
      <w:r w:rsidRPr="31BABAC6">
        <w:rPr>
          <w:rFonts w:eastAsia="Calibri"/>
        </w:rPr>
        <w:t>public interest disclosures</w:t>
      </w:r>
      <w:r w:rsidR="00755681">
        <w:rPr>
          <w:rFonts w:eastAsia="Calibri"/>
        </w:rPr>
        <w:t>.</w:t>
      </w:r>
    </w:p>
    <w:p w14:paraId="539E464B" w14:textId="1819C6F0" w:rsidR="002168DA" w:rsidRDefault="00755681" w:rsidP="006E17A8">
      <w:pPr>
        <w:pStyle w:val="BodyText"/>
      </w:pPr>
      <w:r>
        <w:t xml:space="preserve">We also developed a module on the </w:t>
      </w:r>
      <w:r w:rsidR="002168DA" w:rsidRPr="31BABAC6">
        <w:t>Australian Standard on Fraud and Corruption Control.</w:t>
      </w:r>
    </w:p>
    <w:p w14:paraId="79FB7D84" w14:textId="5EE0E741" w:rsidR="002168DA" w:rsidRDefault="002168DA" w:rsidP="00E11A56">
      <w:pPr>
        <w:pStyle w:val="BodyText"/>
      </w:pPr>
      <w:r w:rsidRPr="31BABAC6">
        <w:t>The</w:t>
      </w:r>
      <w:r w:rsidR="00DF1E60">
        <w:t>se</w:t>
      </w:r>
      <w:r w:rsidRPr="31BABAC6">
        <w:t xml:space="preserve"> modules will be launched and promoted to public sector agencies and local government in </w:t>
      </w:r>
      <w:r w:rsidR="000A1691">
        <w:t>2023/24</w:t>
      </w:r>
      <w:r w:rsidRPr="31BABAC6">
        <w:t>.</w:t>
      </w:r>
    </w:p>
    <w:p w14:paraId="400B1BBA" w14:textId="2164DA38" w:rsidR="002168DA" w:rsidRDefault="00DD7A04" w:rsidP="00E11A56">
      <w:pPr>
        <w:pStyle w:val="BodyText"/>
      </w:pPr>
      <w:r>
        <w:t>We</w:t>
      </w:r>
      <w:r w:rsidRPr="31BABAC6">
        <w:t xml:space="preserve"> </w:t>
      </w:r>
      <w:r w:rsidR="002168DA" w:rsidRPr="31BABAC6">
        <w:t xml:space="preserve">refreshed </w:t>
      </w:r>
      <w:r>
        <w:t>our</w:t>
      </w:r>
      <w:r w:rsidR="002168DA" w:rsidRPr="31BABAC6">
        <w:t xml:space="preserve"> </w:t>
      </w:r>
      <w:r w:rsidR="00F66E88">
        <w:t>p</w:t>
      </w:r>
      <w:r w:rsidR="002168DA" w:rsidRPr="31BABAC6">
        <w:t>erceptions of corruption survey</w:t>
      </w:r>
      <w:r w:rsidR="00F66E88">
        <w:t>s</w:t>
      </w:r>
      <w:r w:rsidR="002168DA" w:rsidRPr="31BABAC6">
        <w:t xml:space="preserve"> in 2022 and 2023. In 2022, over 12,000 people participated in one of five surveys targeted at:</w:t>
      </w:r>
    </w:p>
    <w:p w14:paraId="05338245" w14:textId="77777777" w:rsidR="002168DA" w:rsidRDefault="002168DA" w:rsidP="00E11A56">
      <w:pPr>
        <w:pStyle w:val="ListBullet"/>
        <w:rPr>
          <w:rFonts w:eastAsia="Calibri"/>
        </w:rPr>
      </w:pPr>
      <w:r w:rsidRPr="31BABAC6">
        <w:rPr>
          <w:rFonts w:eastAsia="Calibri"/>
        </w:rPr>
        <w:t>public sector and local government employees</w:t>
      </w:r>
    </w:p>
    <w:p w14:paraId="2419406C" w14:textId="77777777" w:rsidR="002168DA" w:rsidRDefault="002168DA" w:rsidP="00E11A56">
      <w:pPr>
        <w:pStyle w:val="ListBullet"/>
        <w:rPr>
          <w:rFonts w:eastAsia="Calibri"/>
        </w:rPr>
      </w:pPr>
      <w:r w:rsidRPr="31BABAC6">
        <w:rPr>
          <w:rFonts w:eastAsia="Calibri"/>
        </w:rPr>
        <w:t>Victoria Police employees</w:t>
      </w:r>
    </w:p>
    <w:p w14:paraId="77C94147" w14:textId="77777777" w:rsidR="002168DA" w:rsidRDefault="002168DA" w:rsidP="00E11A56">
      <w:pPr>
        <w:pStyle w:val="ListBullet"/>
        <w:rPr>
          <w:rFonts w:eastAsia="Calibri"/>
        </w:rPr>
      </w:pPr>
      <w:r w:rsidRPr="31BABAC6">
        <w:rPr>
          <w:rFonts w:eastAsia="Calibri"/>
        </w:rPr>
        <w:t>Victorian Government business suppliers</w:t>
      </w:r>
    </w:p>
    <w:p w14:paraId="7EDA3D05" w14:textId="77777777" w:rsidR="002168DA" w:rsidRDefault="002168DA" w:rsidP="00E11A56">
      <w:pPr>
        <w:pStyle w:val="ListBullet"/>
        <w:rPr>
          <w:rFonts w:eastAsia="Calibri"/>
        </w:rPr>
      </w:pPr>
      <w:r w:rsidRPr="31BABAC6">
        <w:rPr>
          <w:rFonts w:eastAsia="Calibri"/>
        </w:rPr>
        <w:t>the Victorian community.</w:t>
      </w:r>
    </w:p>
    <w:p w14:paraId="1563EF51" w14:textId="3AD01468" w:rsidR="002168DA" w:rsidRDefault="002168DA" w:rsidP="00E11A56">
      <w:pPr>
        <w:pStyle w:val="BodyText"/>
      </w:pPr>
      <w:r w:rsidRPr="31BABAC6">
        <w:t>In 2023, the surveys were expanded to focus on elected representatives for the first time.</w:t>
      </w:r>
    </w:p>
    <w:p w14:paraId="67ABB2CD" w14:textId="349A08F6" w:rsidR="00F44A93" w:rsidRPr="00594A96" w:rsidRDefault="002168DA">
      <w:pPr>
        <w:pStyle w:val="BodyText"/>
      </w:pPr>
      <w:r w:rsidRPr="00594A96">
        <w:t>As noted in</w:t>
      </w:r>
      <w:r w:rsidR="00001F0A" w:rsidRPr="00594A96">
        <w:t xml:space="preserve"> </w:t>
      </w:r>
      <w:r w:rsidR="009160F9" w:rsidRPr="00594A96">
        <w:fldChar w:fldCharType="begin"/>
      </w:r>
      <w:r w:rsidR="009160F9" w:rsidRPr="00594A96">
        <w:instrText xml:space="preserve"> REF _Ref140832510 \n \h </w:instrText>
      </w:r>
      <w:r w:rsidR="00C14960">
        <w:rPr>
          <w:highlight w:val="yellow"/>
        </w:rPr>
        <w:instrText xml:space="preserve"> \* MERGEFORMAT </w:instrText>
      </w:r>
      <w:r w:rsidR="009160F9" w:rsidRPr="00594A96">
        <w:fldChar w:fldCharType="separate"/>
      </w:r>
      <w:r w:rsidR="009160F9" w:rsidRPr="00594A96">
        <w:t>Section 1:</w:t>
      </w:r>
      <w:r w:rsidR="009160F9" w:rsidRPr="00594A96">
        <w:fldChar w:fldCharType="end"/>
      </w:r>
      <w:r w:rsidR="009160F9" w:rsidRPr="00594A96">
        <w:t xml:space="preserve"> </w:t>
      </w:r>
      <w:r w:rsidR="009160F9" w:rsidRPr="00594A96">
        <w:fldChar w:fldCharType="begin"/>
      </w:r>
      <w:r w:rsidR="009160F9" w:rsidRPr="00594A96">
        <w:instrText xml:space="preserve"> REF _Ref140832516 \h </w:instrText>
      </w:r>
      <w:r w:rsidR="00C14960">
        <w:rPr>
          <w:highlight w:val="yellow"/>
        </w:rPr>
        <w:instrText xml:space="preserve"> \* MERGEFORMAT </w:instrText>
      </w:r>
      <w:r w:rsidR="009160F9" w:rsidRPr="00594A96">
        <w:fldChar w:fldCharType="separate"/>
      </w:r>
      <w:r w:rsidR="009160F9" w:rsidRPr="00594A96">
        <w:t>Year in review</w:t>
      </w:r>
      <w:r w:rsidR="009160F9" w:rsidRPr="00594A96">
        <w:fldChar w:fldCharType="end"/>
      </w:r>
      <w:r w:rsidR="00B14EA1" w:rsidRPr="00594A96">
        <w:t xml:space="preserve">, </w:t>
      </w:r>
      <w:r w:rsidR="001F33B7" w:rsidRPr="00594A96">
        <w:t xml:space="preserve">we </w:t>
      </w:r>
      <w:r w:rsidRPr="00594A96">
        <w:t>also commenced a project to develop an organisational integrity maturity rating system to provide public sector agencies with a consistent way to understand how mature their integrity practices are and where they can be strengthened.</w:t>
      </w:r>
      <w:r w:rsidR="002A1347" w:rsidRPr="00594A96">
        <w:t xml:space="preserve"> </w:t>
      </w:r>
      <w:r w:rsidR="00382183" w:rsidRPr="00594A96">
        <w:t>A key part this project was the r</w:t>
      </w:r>
      <w:r w:rsidRPr="00594A96">
        <w:t>esearch and consultation w</w:t>
      </w:r>
      <w:r w:rsidR="00382183" w:rsidRPr="00594A96">
        <w:t xml:space="preserve">e </w:t>
      </w:r>
      <w:r w:rsidR="000120CD" w:rsidRPr="00594A96">
        <w:t xml:space="preserve">undertook </w:t>
      </w:r>
      <w:r w:rsidRPr="00594A96">
        <w:t xml:space="preserve">in </w:t>
      </w:r>
      <w:r w:rsidR="000A1691">
        <w:t>2022/23</w:t>
      </w:r>
      <w:r w:rsidR="00382183" w:rsidRPr="00594A96">
        <w:t xml:space="preserve">, which </w:t>
      </w:r>
      <w:r w:rsidR="00507BBE" w:rsidRPr="00594A96">
        <w:t xml:space="preserve">is </w:t>
      </w:r>
      <w:r w:rsidR="00382183" w:rsidRPr="00594A96">
        <w:t>inform</w:t>
      </w:r>
      <w:r w:rsidR="00507BBE" w:rsidRPr="00594A96">
        <w:t>ing</w:t>
      </w:r>
      <w:r w:rsidR="00382183" w:rsidRPr="00594A96">
        <w:t xml:space="preserve"> the </w:t>
      </w:r>
      <w:r w:rsidRPr="00594A96">
        <w:t xml:space="preserve">development of a rating system and options for </w:t>
      </w:r>
      <w:r w:rsidR="00A4398E" w:rsidRPr="00594A96">
        <w:t>implementation.</w:t>
      </w:r>
    </w:p>
    <w:p w14:paraId="399CA615" w14:textId="009FAA09" w:rsidR="00F5590E" w:rsidRPr="00594A96" w:rsidRDefault="002168DA">
      <w:pPr>
        <w:pStyle w:val="BodyText"/>
      </w:pPr>
      <w:r w:rsidRPr="00594A96">
        <w:t xml:space="preserve">The rating system </w:t>
      </w:r>
      <w:r w:rsidR="00427CED" w:rsidRPr="00594A96">
        <w:t>that is</w:t>
      </w:r>
      <w:r w:rsidR="00D52736" w:rsidRPr="00594A96">
        <w:t xml:space="preserve"> developed </w:t>
      </w:r>
      <w:r w:rsidRPr="00594A96">
        <w:t xml:space="preserve">will </w:t>
      </w:r>
      <w:r w:rsidR="00D52736" w:rsidRPr="00594A96">
        <w:t>enable</w:t>
      </w:r>
      <w:r w:rsidRPr="00594A96">
        <w:t xml:space="preserve"> Victorian Government departments to assess the strength of their integrity systems. </w:t>
      </w:r>
    </w:p>
    <w:p w14:paraId="35E0ABB3" w14:textId="3CB0186F" w:rsidR="002168DA" w:rsidRDefault="002168DA" w:rsidP="002775D9">
      <w:pPr>
        <w:pStyle w:val="BodyText"/>
      </w:pPr>
      <w:r w:rsidRPr="00594A96">
        <w:t xml:space="preserve">In </w:t>
      </w:r>
      <w:r w:rsidR="000A1691">
        <w:t>2023/24</w:t>
      </w:r>
      <w:r w:rsidRPr="00594A96">
        <w:t xml:space="preserve">, </w:t>
      </w:r>
      <w:r w:rsidR="00F44A93" w:rsidRPr="00594A96">
        <w:t xml:space="preserve">we </w:t>
      </w:r>
      <w:r w:rsidRPr="00594A96">
        <w:t>will seek input and information from other Victorian integrity agencies on the implementation of the integrity maturity rating system</w:t>
      </w:r>
      <w:r w:rsidR="00F5590E" w:rsidRPr="00594A96">
        <w:t>. We will also</w:t>
      </w:r>
      <w:r w:rsidRPr="00594A96">
        <w:t xml:space="preserve"> </w:t>
      </w:r>
      <w:r w:rsidR="00F5590E" w:rsidRPr="00594A96">
        <w:t>trial</w:t>
      </w:r>
      <w:r w:rsidRPr="00594A96">
        <w:t xml:space="preserve"> it with selected Victorian Government departments.</w:t>
      </w:r>
    </w:p>
    <w:p w14:paraId="5AA622C9" w14:textId="3B05C75B" w:rsidR="009456DC" w:rsidRDefault="009456DC">
      <w:pPr>
        <w:pStyle w:val="Heading3"/>
      </w:pPr>
      <w:bookmarkStart w:id="105" w:name="_Toc149127906"/>
      <w:bookmarkStart w:id="106" w:name="_Ref149135346"/>
      <w:r>
        <w:t>Other core activity</w:t>
      </w:r>
      <w:bookmarkEnd w:id="105"/>
      <w:bookmarkEnd w:id="106"/>
    </w:p>
    <w:p w14:paraId="4EA0AB30" w14:textId="6758F46F" w:rsidR="00062518" w:rsidRDefault="003052A4" w:rsidP="00B07072">
      <w:pPr>
        <w:pStyle w:val="Heading4"/>
      </w:pPr>
      <w:r w:rsidRPr="003052A4">
        <w:t>Prevention and education</w:t>
      </w:r>
    </w:p>
    <w:p w14:paraId="44806900" w14:textId="0A030890" w:rsidR="009456DC" w:rsidRPr="009456DC" w:rsidRDefault="009456DC" w:rsidP="009456DC">
      <w:pPr>
        <w:pStyle w:val="BodyText"/>
      </w:pPr>
      <w:r w:rsidRPr="009456DC">
        <w:t xml:space="preserve">In </w:t>
      </w:r>
      <w:r w:rsidR="000A1691">
        <w:t>2022/23</w:t>
      </w:r>
      <w:r w:rsidRPr="009456DC">
        <w:t>, we made presentations at 62 external forums and speaking engagements targeted at the public sector and community (excluding police).</w:t>
      </w:r>
      <w:r w:rsidR="000E0EB4">
        <w:t xml:space="preserve"> </w:t>
      </w:r>
      <w:r w:rsidRPr="009456DC">
        <w:t>Examples of some of these engagements include:</w:t>
      </w:r>
    </w:p>
    <w:p w14:paraId="3B1642CD" w14:textId="2C31B3E8" w:rsidR="009456DC" w:rsidRPr="009456DC" w:rsidRDefault="000E0EB4" w:rsidP="00A07B34">
      <w:pPr>
        <w:pStyle w:val="ListBullet"/>
        <w:numPr>
          <w:ilvl w:val="0"/>
          <w:numId w:val="3"/>
        </w:numPr>
      </w:pPr>
      <w:r>
        <w:t>‘</w:t>
      </w:r>
      <w:r w:rsidRPr="009456DC">
        <w:t>What happens when I make a complaint to IBAC?</w:t>
      </w:r>
      <w:r>
        <w:t xml:space="preserve">’ </w:t>
      </w:r>
      <w:r w:rsidR="009456DC" w:rsidRPr="009456DC">
        <w:t>webinar held as part of Law Week in May 2023</w:t>
      </w:r>
    </w:p>
    <w:p w14:paraId="600D887D" w14:textId="77777777" w:rsidR="009456DC" w:rsidRPr="009456DC" w:rsidRDefault="009456DC" w:rsidP="009456DC">
      <w:pPr>
        <w:pStyle w:val="ListBullet"/>
        <w:numPr>
          <w:ilvl w:val="0"/>
          <w:numId w:val="3"/>
        </w:numPr>
      </w:pPr>
      <w:r w:rsidRPr="009456DC">
        <w:t>joint forums hosted with other integrity agencies on topics such as good governance, information management, privacy awareness and procurement</w:t>
      </w:r>
    </w:p>
    <w:p w14:paraId="023A1156" w14:textId="3BA68CE7" w:rsidR="009456DC" w:rsidRPr="009456DC" w:rsidRDefault="009456DC" w:rsidP="009456DC">
      <w:pPr>
        <w:pStyle w:val="ListBullet"/>
        <w:numPr>
          <w:ilvl w:val="0"/>
          <w:numId w:val="3"/>
        </w:numPr>
      </w:pPr>
      <w:r w:rsidRPr="009456DC">
        <w:t>induction</w:t>
      </w:r>
      <w:r w:rsidR="00213E65">
        <w:t xml:space="preserve"> presentation</w:t>
      </w:r>
      <w:r w:rsidRPr="009456DC">
        <w:t xml:space="preserve"> </w:t>
      </w:r>
      <w:r w:rsidR="00FF1734">
        <w:t>f</w:t>
      </w:r>
      <w:r w:rsidRPr="009456DC">
        <w:t>o</w:t>
      </w:r>
      <w:r w:rsidR="00FF1734">
        <w:t>r</w:t>
      </w:r>
      <w:r w:rsidRPr="009456DC">
        <w:t xml:space="preserve"> new </w:t>
      </w:r>
      <w:r w:rsidR="000E0EB4">
        <w:t>m</w:t>
      </w:r>
      <w:r w:rsidRPr="009456DC">
        <w:t xml:space="preserve">embers of </w:t>
      </w:r>
      <w:r w:rsidR="00266E36">
        <w:t>P</w:t>
      </w:r>
      <w:r w:rsidRPr="009456DC">
        <w:t>arliament</w:t>
      </w:r>
    </w:p>
    <w:p w14:paraId="08B7AF44" w14:textId="21650503" w:rsidR="009456DC" w:rsidRPr="009456DC" w:rsidRDefault="009456DC" w:rsidP="009456DC">
      <w:pPr>
        <w:pStyle w:val="ListBullet"/>
        <w:numPr>
          <w:ilvl w:val="0"/>
          <w:numId w:val="3"/>
        </w:numPr>
      </w:pPr>
      <w:r w:rsidRPr="009456DC">
        <w:t>presentations to leaderships teams within departments, public sector agencies and councils, and at leadership programs and conferences, including at the Institute of Public Administration Australia, Victoria’s Senior Executive Integrity and Ethical Leadership Program, the Victorian Public Sector Commission’s Executive Induction Program, and Municipal Association of Victoria’s Councillor Leadership Conference</w:t>
      </w:r>
      <w:r w:rsidR="00114F9C">
        <w:t>.</w:t>
      </w:r>
    </w:p>
    <w:p w14:paraId="5ECD3B2F" w14:textId="6C1809DB" w:rsidR="009456DC" w:rsidRPr="009456DC" w:rsidRDefault="009456DC" w:rsidP="009456DC">
      <w:pPr>
        <w:pStyle w:val="BodyText"/>
      </w:pPr>
      <w:r w:rsidRPr="009456DC">
        <w:t xml:space="preserve">In addition to the reports and resources, we also published a range of education and information resources in </w:t>
      </w:r>
      <w:r w:rsidR="000A1691">
        <w:t>2022/23</w:t>
      </w:r>
      <w:r w:rsidRPr="009456DC">
        <w:t xml:space="preserve"> to prevent public sector corruption. </w:t>
      </w:r>
      <w:r w:rsidR="00943891">
        <w:t>T</w:t>
      </w:r>
      <w:r w:rsidRPr="009456DC">
        <w:t>hese resources include podcasts on topics such as working with diverse communities and corruption risks associated with donations and lobbying.</w:t>
      </w:r>
    </w:p>
    <w:p w14:paraId="1154ED1A" w14:textId="3395EB20" w:rsidR="009456DC" w:rsidRPr="009456DC" w:rsidRDefault="009456DC" w:rsidP="009456DC">
      <w:pPr>
        <w:pStyle w:val="BodyText"/>
      </w:pPr>
      <w:r w:rsidRPr="009456DC">
        <w:t xml:space="preserve">Throughout </w:t>
      </w:r>
      <w:r w:rsidR="000A1691">
        <w:t>2022/23</w:t>
      </w:r>
      <w:r w:rsidRPr="009456DC">
        <w:t xml:space="preserve">, we liaised with key public sector stakeholders and developed sector profiles for human services, education, transport, local government and Victoria Police. These sector profiles </w:t>
      </w:r>
      <w:r w:rsidR="00943891">
        <w:t xml:space="preserve">will be </w:t>
      </w:r>
      <w:r w:rsidRPr="009456DC">
        <w:t xml:space="preserve">launched in </w:t>
      </w:r>
      <w:r w:rsidR="000A1691">
        <w:t>2023/24</w:t>
      </w:r>
      <w:r w:rsidRPr="009456DC">
        <w:t>, with others to follow.</w:t>
      </w:r>
    </w:p>
    <w:p w14:paraId="1B78CD91" w14:textId="64C1F463" w:rsidR="005E2E3E" w:rsidRPr="005E2E3E" w:rsidRDefault="00834775" w:rsidP="00B07072">
      <w:pPr>
        <w:pStyle w:val="Heading4"/>
      </w:pPr>
      <w:bookmarkStart w:id="107" w:name="_Ref149167721"/>
      <w:r>
        <w:t>C</w:t>
      </w:r>
      <w:r w:rsidR="005E2E3E" w:rsidRPr="005E2E3E">
        <w:t>omplaints and notifications</w:t>
      </w:r>
      <w:bookmarkEnd w:id="107"/>
    </w:p>
    <w:p w14:paraId="04730461" w14:textId="07FED6C4" w:rsidR="005E2E3E" w:rsidRPr="005E2E3E" w:rsidRDefault="005E2E3E" w:rsidP="005E2E3E">
      <w:pPr>
        <w:pStyle w:val="BodyText"/>
      </w:pPr>
      <w:r w:rsidRPr="005E2E3E">
        <w:t xml:space="preserve">In </w:t>
      </w:r>
      <w:r w:rsidR="000A1691">
        <w:t>2022/23</w:t>
      </w:r>
      <w:r w:rsidRPr="005E2E3E">
        <w:t xml:space="preserve">, IBAC received </w:t>
      </w:r>
      <w:r w:rsidR="00AD70D6">
        <w:t>1</w:t>
      </w:r>
      <w:r w:rsidR="001F578A">
        <w:t>,</w:t>
      </w:r>
      <w:r w:rsidR="00AD70D6">
        <w:t>396</w:t>
      </w:r>
      <w:r w:rsidRPr="005E2E3E">
        <w:t xml:space="preserve"> complaints and notifications relating to the public sector. Of these, </w:t>
      </w:r>
      <w:r w:rsidR="00C75C70">
        <w:t>59</w:t>
      </w:r>
      <w:r w:rsidRPr="005E2E3E">
        <w:t xml:space="preserve"> per cent were complaints and </w:t>
      </w:r>
      <w:r w:rsidR="007C6333">
        <w:t>41</w:t>
      </w:r>
      <w:r w:rsidRPr="005E2E3E">
        <w:t xml:space="preserve"> per cent were notifications. Of the </w:t>
      </w:r>
      <w:r w:rsidR="0053402D">
        <w:t xml:space="preserve">total </w:t>
      </w:r>
      <w:r w:rsidRPr="005E2E3E">
        <w:t>notifications</w:t>
      </w:r>
      <w:r w:rsidR="0053402D">
        <w:t xml:space="preserve"> received</w:t>
      </w:r>
      <w:r w:rsidRPr="005E2E3E">
        <w:t xml:space="preserve">, </w:t>
      </w:r>
      <w:r w:rsidR="001F578A" w:rsidRPr="001F578A">
        <w:t>264 were assessable disclosures under the PID Act</w:t>
      </w:r>
      <w:r w:rsidRPr="005E2E3E">
        <w:t xml:space="preserve">. There was a </w:t>
      </w:r>
      <w:r w:rsidR="00123641">
        <w:t>2</w:t>
      </w:r>
      <w:r w:rsidR="008F7296">
        <w:t>1</w:t>
      </w:r>
      <w:r w:rsidRPr="005E2E3E">
        <w:t xml:space="preserve"> per cent decrease in public sector complaints and notifications received in </w:t>
      </w:r>
      <w:r w:rsidR="000A1691">
        <w:t>2022/23</w:t>
      </w:r>
      <w:r w:rsidR="0079280C">
        <w:t xml:space="preserve">; however, </w:t>
      </w:r>
      <w:r w:rsidR="009D2254" w:rsidRPr="009D2254">
        <w:t>this is 24 per cent more than we received in 2020/21</w:t>
      </w:r>
      <w:r w:rsidR="00864644">
        <w:t>.</w:t>
      </w:r>
    </w:p>
    <w:p w14:paraId="4FB13624" w14:textId="056CCB9F" w:rsidR="000D4BB3" w:rsidRPr="005E2E3E" w:rsidRDefault="000D4BB3" w:rsidP="00834775">
      <w:pPr>
        <w:pStyle w:val="Caption"/>
      </w:pPr>
      <w:bookmarkStart w:id="108" w:name="_Ref142901297"/>
      <w:bookmarkStart w:id="109" w:name="_Ref149135730"/>
      <w:r w:rsidRPr="005E2E3E">
        <w:t xml:space="preserve">Figure </w:t>
      </w:r>
      <w:r w:rsidRPr="005E2E3E">
        <w:fldChar w:fldCharType="begin"/>
      </w:r>
      <w:r w:rsidRPr="005E2E3E">
        <w:instrText xml:space="preserve"> SEQ Figure \* ARABIC </w:instrText>
      </w:r>
      <w:r w:rsidRPr="005E2E3E">
        <w:fldChar w:fldCharType="separate"/>
      </w:r>
      <w:r w:rsidR="00EB1177">
        <w:rPr>
          <w:noProof/>
        </w:rPr>
        <w:t>4</w:t>
      </w:r>
      <w:r w:rsidRPr="005E2E3E">
        <w:fldChar w:fldCharType="end"/>
      </w:r>
      <w:bookmarkEnd w:id="108"/>
      <w:r w:rsidRPr="005E2E3E">
        <w:t xml:space="preserve">: </w:t>
      </w:r>
      <w:r w:rsidR="00834775">
        <w:t>C</w:t>
      </w:r>
      <w:r w:rsidRPr="005E2E3E">
        <w:t>omplaints and notifications received relating to the public sector</w:t>
      </w:r>
      <w:bookmarkEnd w:id="109"/>
    </w:p>
    <w:p w14:paraId="5C76F5A4" w14:textId="77777777" w:rsidR="000D4BB3" w:rsidRPr="005E2E3E" w:rsidRDefault="000D4BB3" w:rsidP="000D4BB3">
      <w:pPr>
        <w:pStyle w:val="Image"/>
      </w:pPr>
      <w:r w:rsidRPr="005E2E3E">
        <w:rPr>
          <w:noProof/>
        </w:rPr>
        <w:drawing>
          <wp:inline distT="0" distB="0" distL="0" distR="0" wp14:anchorId="5B27871A" wp14:editId="1676D753">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0696672" w14:textId="415B004E" w:rsidR="005E2E3E" w:rsidRPr="005E2E3E" w:rsidRDefault="000D4BB3" w:rsidP="00B07072">
      <w:pPr>
        <w:pStyle w:val="Heading5"/>
      </w:pPr>
      <w:r w:rsidRPr="005E2E3E">
        <w:t>Assessment timeliness</w:t>
      </w:r>
    </w:p>
    <w:p w14:paraId="368BD072" w14:textId="30EA85BE" w:rsidR="005E2E3E" w:rsidRPr="005E2E3E" w:rsidRDefault="00733366" w:rsidP="005E2E3E">
      <w:pPr>
        <w:pStyle w:val="BodyText"/>
      </w:pPr>
      <w:r w:rsidRPr="00733366">
        <w:t xml:space="preserve">Timeliness targets for public sector complaint and notification assessments were not met in </w:t>
      </w:r>
      <w:r w:rsidR="000A1691">
        <w:t>2022/23</w:t>
      </w:r>
      <w:r w:rsidR="00743160">
        <w:t>.</w:t>
      </w:r>
      <w:r w:rsidRPr="00733366">
        <w:t xml:space="preserve"> </w:t>
      </w:r>
      <w:r w:rsidR="00743160">
        <w:t>H</w:t>
      </w:r>
      <w:r w:rsidRPr="00733366">
        <w:t>owever</w:t>
      </w:r>
      <w:r>
        <w:t>,</w:t>
      </w:r>
      <w:r w:rsidRPr="00733366">
        <w:t xml:space="preserve"> timeliness improved 45 per cent </w:t>
      </w:r>
      <w:r w:rsidR="00A6467F">
        <w:t>compared to</w:t>
      </w:r>
      <w:r w:rsidRPr="00733366">
        <w:t xml:space="preserve"> the previous reporting period. Although there was a 21 per cent decrease in the number of public sector complaints and notifications received, timeliness results were impacted by legacy matters and complexity. As mentioned in the </w:t>
      </w:r>
      <w:r>
        <w:fldChar w:fldCharType="begin"/>
      </w:r>
      <w:r>
        <w:instrText xml:space="preserve"> REF _Ref141259812 \h </w:instrText>
      </w:r>
      <w:r>
        <w:fldChar w:fldCharType="separate"/>
      </w:r>
      <w:r>
        <w:t>Police oversight</w:t>
      </w:r>
      <w:r>
        <w:fldChar w:fldCharType="end"/>
      </w:r>
      <w:r w:rsidRPr="00733366">
        <w:t xml:space="preserve"> section, one aspect of complexity relates to the number of allegations that make up each complaint or notification</w:t>
      </w:r>
      <w:r w:rsidR="00127F81" w:rsidRPr="005E2E3E">
        <w:t>.</w:t>
      </w:r>
    </w:p>
    <w:p w14:paraId="2E43EF26" w14:textId="5E4FA574" w:rsidR="00EF6E7F" w:rsidRDefault="00EF6E7F" w:rsidP="00834775">
      <w:pPr>
        <w:pStyle w:val="Caption"/>
      </w:pPr>
      <w:bookmarkStart w:id="110" w:name="_Ref149135866"/>
      <w:r>
        <w:t xml:space="preserve">Table </w:t>
      </w:r>
      <w:r>
        <w:fldChar w:fldCharType="begin"/>
      </w:r>
      <w:r>
        <w:instrText xml:space="preserve"> SEQ Table \* ARABIC </w:instrText>
      </w:r>
      <w:r>
        <w:fldChar w:fldCharType="separate"/>
      </w:r>
      <w:r w:rsidR="00114F9C">
        <w:rPr>
          <w:noProof/>
        </w:rPr>
        <w:t>14</w:t>
      </w:r>
      <w:r>
        <w:fldChar w:fldCharType="end"/>
      </w:r>
      <w:r>
        <w:t xml:space="preserve">: </w:t>
      </w:r>
      <w:r w:rsidR="00F94656" w:rsidRPr="007259AF">
        <w:t xml:space="preserve">IBAC </w:t>
      </w:r>
      <w:r w:rsidR="000A1691">
        <w:t>2022/23</w:t>
      </w:r>
      <w:r w:rsidR="00F94656" w:rsidRPr="007259AF">
        <w:t xml:space="preserve"> output performance – </w:t>
      </w:r>
      <w:r w:rsidR="00F94656">
        <w:t>public sector</w:t>
      </w:r>
      <w:r w:rsidR="00F94656" w:rsidRPr="007259AF">
        <w:t xml:space="preserve"> complaint assessments</w:t>
      </w:r>
      <w:bookmarkEnd w:id="110"/>
    </w:p>
    <w:tbl>
      <w:tblPr>
        <w:tblStyle w:val="CustomTablestandard"/>
        <w:tblW w:w="0" w:type="auto"/>
        <w:tblLook w:val="04A0" w:firstRow="1" w:lastRow="0" w:firstColumn="1" w:lastColumn="0" w:noHBand="0" w:noVBand="1"/>
      </w:tblPr>
      <w:tblGrid>
        <w:gridCol w:w="2552"/>
        <w:gridCol w:w="1417"/>
        <w:gridCol w:w="1276"/>
        <w:gridCol w:w="1276"/>
        <w:gridCol w:w="1559"/>
        <w:gridCol w:w="947"/>
      </w:tblGrid>
      <w:tr w:rsidR="005E2E3E" w14:paraId="397512B9" w14:textId="77777777">
        <w:trPr>
          <w:cnfStyle w:val="100000000000" w:firstRow="1" w:lastRow="0" w:firstColumn="0" w:lastColumn="0" w:oddVBand="0" w:evenVBand="0" w:oddHBand="0" w:evenHBand="0" w:firstRowFirstColumn="0" w:firstRowLastColumn="0" w:lastRowFirstColumn="0" w:lastRowLastColumn="0"/>
          <w:trHeight w:val="300"/>
        </w:trPr>
        <w:tc>
          <w:tcPr>
            <w:tcW w:w="2552" w:type="dxa"/>
          </w:tcPr>
          <w:p w14:paraId="2CC885A0" w14:textId="77777777" w:rsidR="005E2E3E" w:rsidRPr="005E2E3E" w:rsidRDefault="005E2E3E" w:rsidP="005E2E3E">
            <w:pPr>
              <w:pStyle w:val="TableHeading1"/>
            </w:pPr>
            <w:r w:rsidRPr="005E2E3E">
              <w:t>Performance measures</w:t>
            </w:r>
          </w:p>
        </w:tc>
        <w:tc>
          <w:tcPr>
            <w:tcW w:w="1417" w:type="dxa"/>
          </w:tcPr>
          <w:p w14:paraId="23BB074B" w14:textId="77777777" w:rsidR="005E2E3E" w:rsidRPr="005E2E3E" w:rsidRDefault="005E2E3E" w:rsidP="005E2E3E">
            <w:pPr>
              <w:pStyle w:val="TableHeading1"/>
            </w:pPr>
            <w:r w:rsidRPr="005E2E3E">
              <w:t>Unit of measure</w:t>
            </w:r>
          </w:p>
        </w:tc>
        <w:tc>
          <w:tcPr>
            <w:tcW w:w="1276" w:type="dxa"/>
          </w:tcPr>
          <w:p w14:paraId="59139C9D" w14:textId="27AE48E3" w:rsidR="005E2E3E" w:rsidRPr="005E2E3E" w:rsidRDefault="000A1691" w:rsidP="00114F9C">
            <w:pPr>
              <w:pStyle w:val="TableHeading2centrealign"/>
            </w:pPr>
            <w:r>
              <w:t>2022/23</w:t>
            </w:r>
            <w:r w:rsidR="005E2E3E" w:rsidRPr="005E2E3E">
              <w:t xml:space="preserve"> actual</w:t>
            </w:r>
          </w:p>
        </w:tc>
        <w:tc>
          <w:tcPr>
            <w:tcW w:w="1276" w:type="dxa"/>
          </w:tcPr>
          <w:p w14:paraId="606C211A" w14:textId="227584BF" w:rsidR="005E2E3E" w:rsidRPr="005E2E3E" w:rsidRDefault="000A1691" w:rsidP="00114F9C">
            <w:pPr>
              <w:pStyle w:val="TableHeading2centrealign"/>
            </w:pPr>
            <w:r>
              <w:t>2022/23</w:t>
            </w:r>
            <w:r w:rsidR="005E2E3E" w:rsidRPr="005E2E3E">
              <w:t xml:space="preserve"> target</w:t>
            </w:r>
          </w:p>
        </w:tc>
        <w:tc>
          <w:tcPr>
            <w:tcW w:w="1559" w:type="dxa"/>
          </w:tcPr>
          <w:p w14:paraId="2F3EDC21" w14:textId="4D9C56C0" w:rsidR="005E2E3E" w:rsidRPr="005E2E3E" w:rsidRDefault="00641142" w:rsidP="00114F9C">
            <w:pPr>
              <w:pStyle w:val="TableHeading2centrealign"/>
            </w:pPr>
            <w:r>
              <w:t>V</w:t>
            </w:r>
            <w:r w:rsidR="00D81D00" w:rsidDel="00645EC0">
              <w:t>ariation</w:t>
            </w:r>
            <w:r w:rsidR="00D81D00">
              <w:t xml:space="preserve"> against target (%)</w:t>
            </w:r>
          </w:p>
        </w:tc>
        <w:tc>
          <w:tcPr>
            <w:tcW w:w="947" w:type="dxa"/>
          </w:tcPr>
          <w:p w14:paraId="198FB73B" w14:textId="77777777" w:rsidR="005E2E3E" w:rsidRPr="005E2E3E" w:rsidRDefault="005E2E3E" w:rsidP="00114F9C">
            <w:pPr>
              <w:pStyle w:val="TableHeading2centrealign"/>
            </w:pPr>
            <w:r w:rsidRPr="005E2E3E">
              <w:t>Result</w:t>
            </w:r>
          </w:p>
        </w:tc>
      </w:tr>
      <w:tr w:rsidR="005E2E3E" w14:paraId="19A16293" w14:textId="77777777">
        <w:trPr>
          <w:trHeight w:val="300"/>
        </w:trPr>
        <w:tc>
          <w:tcPr>
            <w:tcW w:w="2552" w:type="dxa"/>
          </w:tcPr>
          <w:p w14:paraId="5B5C1733" w14:textId="77777777" w:rsidR="005E2E3E" w:rsidRPr="00114F9C" w:rsidRDefault="005E2E3E" w:rsidP="005E2E3E">
            <w:pPr>
              <w:pStyle w:val="TableBodyText"/>
              <w:rPr>
                <w:rStyle w:val="Characterbold"/>
              </w:rPr>
            </w:pPr>
            <w:r w:rsidRPr="00114F9C">
              <w:rPr>
                <w:rStyle w:val="Characterbold"/>
              </w:rPr>
              <w:t>Timeliness</w:t>
            </w:r>
          </w:p>
        </w:tc>
        <w:tc>
          <w:tcPr>
            <w:tcW w:w="1417" w:type="dxa"/>
          </w:tcPr>
          <w:p w14:paraId="76F2F11E" w14:textId="77777777" w:rsidR="005E2E3E" w:rsidRPr="005E2E3E" w:rsidRDefault="005E2E3E" w:rsidP="005E2E3E">
            <w:pPr>
              <w:pStyle w:val="TableBodyText"/>
            </w:pPr>
          </w:p>
        </w:tc>
        <w:tc>
          <w:tcPr>
            <w:tcW w:w="1276" w:type="dxa"/>
          </w:tcPr>
          <w:p w14:paraId="6118F3D3" w14:textId="77777777" w:rsidR="005E2E3E" w:rsidRPr="005E2E3E" w:rsidRDefault="005E2E3E" w:rsidP="005E2E3E">
            <w:pPr>
              <w:pStyle w:val="TableBodyText"/>
            </w:pPr>
          </w:p>
        </w:tc>
        <w:tc>
          <w:tcPr>
            <w:tcW w:w="1276" w:type="dxa"/>
          </w:tcPr>
          <w:p w14:paraId="154EBD19" w14:textId="77777777" w:rsidR="005E2E3E" w:rsidRPr="005E2E3E" w:rsidRDefault="005E2E3E" w:rsidP="005E2E3E">
            <w:pPr>
              <w:pStyle w:val="TableBodyText"/>
            </w:pPr>
          </w:p>
        </w:tc>
        <w:tc>
          <w:tcPr>
            <w:tcW w:w="1559" w:type="dxa"/>
          </w:tcPr>
          <w:p w14:paraId="08B91A96" w14:textId="77777777" w:rsidR="005E2E3E" w:rsidRPr="005E2E3E" w:rsidRDefault="005E2E3E" w:rsidP="005E2E3E">
            <w:pPr>
              <w:pStyle w:val="TableBodyText"/>
            </w:pPr>
          </w:p>
        </w:tc>
        <w:tc>
          <w:tcPr>
            <w:tcW w:w="947" w:type="dxa"/>
          </w:tcPr>
          <w:p w14:paraId="403DB04D" w14:textId="77777777" w:rsidR="005E2E3E" w:rsidRPr="005E2E3E" w:rsidRDefault="005E2E3E" w:rsidP="005E2E3E">
            <w:pPr>
              <w:pStyle w:val="TableHeading1"/>
            </w:pPr>
          </w:p>
        </w:tc>
      </w:tr>
      <w:tr w:rsidR="005E2E3E" w:rsidRPr="00AA6925" w14:paraId="381C2F31" w14:textId="77777777">
        <w:trPr>
          <w:trHeight w:val="300"/>
        </w:trPr>
        <w:tc>
          <w:tcPr>
            <w:tcW w:w="2552" w:type="dxa"/>
          </w:tcPr>
          <w:p w14:paraId="5F4F6AC1" w14:textId="64920609" w:rsidR="005E2E3E" w:rsidRPr="005E2E3E" w:rsidRDefault="005E2E3E" w:rsidP="005E2E3E">
            <w:pPr>
              <w:pStyle w:val="TableBodyText"/>
            </w:pPr>
            <w:r w:rsidRPr="005E2E3E">
              <w:t>PID complaints and notifications assessed within 30 days</w:t>
            </w:r>
          </w:p>
        </w:tc>
        <w:tc>
          <w:tcPr>
            <w:tcW w:w="1417" w:type="dxa"/>
          </w:tcPr>
          <w:p w14:paraId="04BF67A7" w14:textId="77777777" w:rsidR="005E2E3E" w:rsidRPr="005E2E3E" w:rsidRDefault="005E2E3E" w:rsidP="00114F9C">
            <w:pPr>
              <w:pStyle w:val="TableBodyText"/>
            </w:pPr>
            <w:r w:rsidRPr="005E2E3E">
              <w:t>Percentage</w:t>
            </w:r>
          </w:p>
        </w:tc>
        <w:tc>
          <w:tcPr>
            <w:tcW w:w="1276" w:type="dxa"/>
          </w:tcPr>
          <w:p w14:paraId="3DF8169C" w14:textId="77777777" w:rsidR="005E2E3E" w:rsidRPr="00F007E0" w:rsidRDefault="005E2E3E" w:rsidP="005E2E3E">
            <w:pPr>
              <w:pStyle w:val="TableBodyTextcentrealign"/>
            </w:pPr>
            <w:r w:rsidRPr="008E55B2">
              <w:t>65</w:t>
            </w:r>
          </w:p>
        </w:tc>
        <w:tc>
          <w:tcPr>
            <w:tcW w:w="1276" w:type="dxa"/>
          </w:tcPr>
          <w:p w14:paraId="71882733" w14:textId="77777777" w:rsidR="005E2E3E" w:rsidRPr="00F007E0" w:rsidRDefault="005E2E3E" w:rsidP="005E2E3E">
            <w:pPr>
              <w:pStyle w:val="TableBodyTextcentrealign"/>
            </w:pPr>
            <w:r w:rsidRPr="008E55B2">
              <w:t>70</w:t>
            </w:r>
          </w:p>
        </w:tc>
        <w:tc>
          <w:tcPr>
            <w:tcW w:w="1559" w:type="dxa"/>
          </w:tcPr>
          <w:p w14:paraId="0F54C924" w14:textId="77777777" w:rsidR="005E2E3E" w:rsidRPr="00F007E0" w:rsidRDefault="005E2E3E" w:rsidP="005E2E3E">
            <w:pPr>
              <w:pStyle w:val="TableBodyTextcentrealign"/>
            </w:pPr>
            <w:r w:rsidRPr="008E55B2">
              <w:t>-7</w:t>
            </w:r>
          </w:p>
        </w:tc>
        <w:tc>
          <w:tcPr>
            <w:tcW w:w="947" w:type="dxa"/>
          </w:tcPr>
          <w:p w14:paraId="42B51610" w14:textId="276423DC" w:rsidR="005E2E3E" w:rsidRPr="007E78B5" w:rsidRDefault="00F20BB9" w:rsidP="007E78B5">
            <w:pPr>
              <w:pStyle w:val="TableBodyTextcentrealign"/>
            </w:pPr>
            <w:r w:rsidRPr="007E78B5">
              <w:rPr>
                <w:rFonts w:ascii="Cambria Math" w:eastAsia="Hiragino Sans W3" w:hAnsi="Cambria Math" w:cs="Cambria Math"/>
              </w:rPr>
              <w:t>◼</w:t>
            </w:r>
          </w:p>
        </w:tc>
      </w:tr>
      <w:tr w:rsidR="005E2E3E" w:rsidRPr="00AA6925" w14:paraId="26F946D2" w14:textId="77777777">
        <w:trPr>
          <w:trHeight w:val="300"/>
        </w:trPr>
        <w:tc>
          <w:tcPr>
            <w:tcW w:w="2552" w:type="dxa"/>
          </w:tcPr>
          <w:p w14:paraId="2C4B3A4D" w14:textId="1996D8F4" w:rsidR="005E2E3E" w:rsidRPr="005E2E3E" w:rsidRDefault="005E2E3E" w:rsidP="005E2E3E">
            <w:pPr>
              <w:pStyle w:val="TableBodyText"/>
            </w:pPr>
            <w:r w:rsidRPr="005E2E3E">
              <w:t xml:space="preserve">Complaints or notifications about </w:t>
            </w:r>
            <w:r w:rsidR="00C445FB">
              <w:t xml:space="preserve">public sector </w:t>
            </w:r>
            <w:r w:rsidR="00733366">
              <w:t>corruption</w:t>
            </w:r>
            <w:r w:rsidRPr="005E2E3E">
              <w:t xml:space="preserve"> assessed by IBAC within 45 days</w:t>
            </w:r>
          </w:p>
        </w:tc>
        <w:tc>
          <w:tcPr>
            <w:tcW w:w="1417" w:type="dxa"/>
          </w:tcPr>
          <w:p w14:paraId="5D086B18" w14:textId="77777777" w:rsidR="005E2E3E" w:rsidRPr="005E2E3E" w:rsidRDefault="005E2E3E" w:rsidP="00114F9C">
            <w:pPr>
              <w:pStyle w:val="TableBodyText"/>
            </w:pPr>
            <w:r w:rsidRPr="005E2E3E">
              <w:t>Percentage</w:t>
            </w:r>
          </w:p>
        </w:tc>
        <w:tc>
          <w:tcPr>
            <w:tcW w:w="1276" w:type="dxa"/>
          </w:tcPr>
          <w:p w14:paraId="270170BB" w14:textId="77777777" w:rsidR="005E2E3E" w:rsidRPr="008E55B2" w:rsidRDefault="005E2E3E" w:rsidP="005E2E3E">
            <w:pPr>
              <w:pStyle w:val="TableBodyTextcentrealign"/>
            </w:pPr>
            <w:r w:rsidRPr="008E55B2">
              <w:t>55</w:t>
            </w:r>
          </w:p>
        </w:tc>
        <w:tc>
          <w:tcPr>
            <w:tcW w:w="1276" w:type="dxa"/>
          </w:tcPr>
          <w:p w14:paraId="7D4E76D1" w14:textId="77777777" w:rsidR="005E2E3E" w:rsidRPr="008E55B2" w:rsidRDefault="005E2E3E" w:rsidP="005E2E3E">
            <w:pPr>
              <w:pStyle w:val="TableBodyTextcentrealign"/>
            </w:pPr>
            <w:r w:rsidRPr="008E55B2">
              <w:t>85</w:t>
            </w:r>
          </w:p>
        </w:tc>
        <w:tc>
          <w:tcPr>
            <w:tcW w:w="1559" w:type="dxa"/>
          </w:tcPr>
          <w:p w14:paraId="46313BAB" w14:textId="77777777" w:rsidR="005E2E3E" w:rsidRPr="008E55B2" w:rsidRDefault="005E2E3E" w:rsidP="005E2E3E">
            <w:pPr>
              <w:pStyle w:val="TableBodyTextcentrealign"/>
            </w:pPr>
            <w:r w:rsidRPr="008E55B2">
              <w:t>-35</w:t>
            </w:r>
          </w:p>
        </w:tc>
        <w:tc>
          <w:tcPr>
            <w:tcW w:w="947" w:type="dxa"/>
          </w:tcPr>
          <w:p w14:paraId="69CADFD1" w14:textId="0FFC6337" w:rsidR="005E2E3E" w:rsidRPr="007E78B5" w:rsidRDefault="00F20BB9" w:rsidP="007E78B5">
            <w:pPr>
              <w:pStyle w:val="TableBodyTextcentrealign"/>
            </w:pPr>
            <w:r w:rsidRPr="007E78B5">
              <w:rPr>
                <w:rFonts w:ascii="Cambria Math" w:eastAsia="Hiragino Sans W3" w:hAnsi="Cambria Math" w:cs="Cambria Math"/>
              </w:rPr>
              <w:t>◼</w:t>
            </w:r>
          </w:p>
        </w:tc>
      </w:tr>
    </w:tbl>
    <w:p w14:paraId="67EC2DCA" w14:textId="616116F3" w:rsidR="005E2E3E" w:rsidRDefault="009057FB" w:rsidP="005E2E3E">
      <w:pPr>
        <w:pStyle w:val="TableNote"/>
      </w:pPr>
      <w:r>
        <w:t>Note</w:t>
      </w:r>
    </w:p>
    <w:p w14:paraId="11590B19" w14:textId="4DA5DEF1" w:rsidR="00733366" w:rsidRDefault="005E2E3E" w:rsidP="003965EA">
      <w:pPr>
        <w:pStyle w:val="TableNote"/>
      </w:pPr>
      <w:r w:rsidRPr="005E2E3E">
        <w:t xml:space="preserve">A large number of </w:t>
      </w:r>
      <w:r w:rsidR="008B6291">
        <w:t>legacy</w:t>
      </w:r>
      <w:r w:rsidR="008B6291" w:rsidRPr="005E2E3E">
        <w:t xml:space="preserve"> </w:t>
      </w:r>
      <w:r w:rsidRPr="005E2E3E">
        <w:t xml:space="preserve">matters were assessed in </w:t>
      </w:r>
      <w:r w:rsidR="000A1691">
        <w:t>2022/23</w:t>
      </w:r>
      <w:r w:rsidRPr="005E2E3E">
        <w:t xml:space="preserve"> and this impacted the overall timeliness of complaint assessments. There is also the impact of capacity which is expected to improve with the recruitment of new assessment officer locum roles.</w:t>
      </w:r>
    </w:p>
    <w:p w14:paraId="5CD22FB6" w14:textId="28F4BAC5" w:rsidR="00733366" w:rsidRPr="00733366" w:rsidRDefault="00641142" w:rsidP="00E66E8B">
      <w:pPr>
        <w:pStyle w:val="Heading5"/>
      </w:pPr>
      <w:r>
        <w:t xml:space="preserve">Assessment </w:t>
      </w:r>
      <w:r w:rsidR="00733366" w:rsidRPr="00733366">
        <w:t>of complaints and notifications</w:t>
      </w:r>
    </w:p>
    <w:p w14:paraId="25647BB2" w14:textId="048DCF26" w:rsidR="007E4414" w:rsidRPr="00655FB5" w:rsidRDefault="009A74E9" w:rsidP="00834775">
      <w:pPr>
        <w:pStyle w:val="Caption"/>
      </w:pPr>
      <w:bookmarkStart w:id="111" w:name="_Ref149135870"/>
      <w:r>
        <w:t xml:space="preserve">Table </w:t>
      </w:r>
      <w:r>
        <w:fldChar w:fldCharType="begin"/>
      </w:r>
      <w:r>
        <w:instrText xml:space="preserve"> SEQ Table \* ARABIC </w:instrText>
      </w:r>
      <w:r>
        <w:fldChar w:fldCharType="separate"/>
      </w:r>
      <w:r w:rsidR="00EF6E7F">
        <w:rPr>
          <w:noProof/>
        </w:rPr>
        <w:t>15</w:t>
      </w:r>
      <w:r>
        <w:rPr>
          <w:noProof/>
        </w:rPr>
        <w:fldChar w:fldCharType="end"/>
      </w:r>
      <w:r>
        <w:t>: Public sector c</w:t>
      </w:r>
      <w:r w:rsidRPr="00903F86">
        <w:t>omplaints and notifications</w:t>
      </w:r>
      <w:bookmarkEnd w:id="111"/>
    </w:p>
    <w:tbl>
      <w:tblPr>
        <w:tblStyle w:val="CustomTablestandard"/>
        <w:tblW w:w="5000" w:type="pct"/>
        <w:tblLook w:val="04E0" w:firstRow="1" w:lastRow="1" w:firstColumn="1" w:lastColumn="0" w:noHBand="0" w:noVBand="1"/>
      </w:tblPr>
      <w:tblGrid>
        <w:gridCol w:w="5430"/>
        <w:gridCol w:w="1199"/>
        <w:gridCol w:w="1199"/>
        <w:gridCol w:w="1199"/>
      </w:tblGrid>
      <w:tr w:rsidR="00592459" w14:paraId="68DB1DD8" w14:textId="77777777" w:rsidTr="00592459">
        <w:trPr>
          <w:cnfStyle w:val="100000000000" w:firstRow="1" w:lastRow="0" w:firstColumn="0" w:lastColumn="0" w:oddVBand="0" w:evenVBand="0" w:oddHBand="0" w:evenHBand="0" w:firstRowFirstColumn="0" w:firstRowLastColumn="0" w:lastRowFirstColumn="0" w:lastRowLastColumn="0"/>
        </w:trPr>
        <w:tc>
          <w:tcPr>
            <w:tcW w:w="3008" w:type="pct"/>
            <w:tcBorders>
              <w:left w:val="nil"/>
            </w:tcBorders>
          </w:tcPr>
          <w:p w14:paraId="20EF23B1" w14:textId="77777777" w:rsidR="00592459" w:rsidRDefault="00592459" w:rsidP="00D200AA">
            <w:pPr>
              <w:pStyle w:val="TableHeading2centrealign"/>
              <w:rPr>
                <w:lang w:eastAsia="en-US"/>
              </w:rPr>
            </w:pPr>
          </w:p>
        </w:tc>
        <w:tc>
          <w:tcPr>
            <w:tcW w:w="664" w:type="pct"/>
            <w:hideMark/>
          </w:tcPr>
          <w:p w14:paraId="11390AC8" w14:textId="07E89220" w:rsidR="00592459" w:rsidRDefault="000A1691" w:rsidP="00D200AA">
            <w:pPr>
              <w:pStyle w:val="TableHeading3rightalign"/>
            </w:pPr>
            <w:r>
              <w:t>2022/23</w:t>
            </w:r>
          </w:p>
        </w:tc>
        <w:tc>
          <w:tcPr>
            <w:tcW w:w="664" w:type="pct"/>
            <w:hideMark/>
          </w:tcPr>
          <w:p w14:paraId="545F4716" w14:textId="003A7A92" w:rsidR="00592459" w:rsidRDefault="000A1691" w:rsidP="00D200AA">
            <w:pPr>
              <w:pStyle w:val="TableHeading3rightalign"/>
            </w:pPr>
            <w:r>
              <w:t>2021/22</w:t>
            </w:r>
          </w:p>
        </w:tc>
        <w:tc>
          <w:tcPr>
            <w:tcW w:w="664" w:type="pct"/>
            <w:tcBorders>
              <w:right w:val="nil"/>
            </w:tcBorders>
            <w:hideMark/>
          </w:tcPr>
          <w:p w14:paraId="66370C2E" w14:textId="5E7CD534" w:rsidR="00592459" w:rsidRDefault="000A1691" w:rsidP="00D200AA">
            <w:pPr>
              <w:pStyle w:val="TableHeading3rightalign"/>
            </w:pPr>
            <w:r>
              <w:t>2020/21</w:t>
            </w:r>
          </w:p>
        </w:tc>
      </w:tr>
      <w:tr w:rsidR="00592459" w14:paraId="221C956D" w14:textId="77777777" w:rsidTr="00592459">
        <w:tc>
          <w:tcPr>
            <w:tcW w:w="3008" w:type="pct"/>
            <w:tcBorders>
              <w:top w:val="single" w:sz="4" w:space="0" w:color="auto"/>
              <w:left w:val="nil"/>
              <w:bottom w:val="single" w:sz="4" w:space="0" w:color="auto"/>
              <w:right w:val="nil"/>
            </w:tcBorders>
          </w:tcPr>
          <w:p w14:paraId="3914DF34" w14:textId="3BE83CFE" w:rsidR="00592459" w:rsidRPr="000A786F" w:rsidRDefault="00864644" w:rsidP="00D200AA">
            <w:pPr>
              <w:pStyle w:val="TableBodyText"/>
              <w:rPr>
                <w:rStyle w:val="Characterbold"/>
              </w:rPr>
            </w:pPr>
            <w:r w:rsidRPr="00864644">
              <w:rPr>
                <w:rStyle w:val="Characterbold"/>
              </w:rPr>
              <w:t>Received</w:t>
            </w:r>
          </w:p>
        </w:tc>
        <w:tc>
          <w:tcPr>
            <w:tcW w:w="664" w:type="pct"/>
            <w:tcBorders>
              <w:top w:val="single" w:sz="4" w:space="0" w:color="auto"/>
              <w:left w:val="nil"/>
              <w:bottom w:val="single" w:sz="4" w:space="0" w:color="auto"/>
              <w:right w:val="nil"/>
            </w:tcBorders>
            <w:shd w:val="clear" w:color="auto" w:fill="F2F2F2" w:themeFill="background1" w:themeFillShade="F2"/>
          </w:tcPr>
          <w:p w14:paraId="70C3B1C4" w14:textId="77777777" w:rsidR="00592459" w:rsidRPr="008C06C0" w:rsidRDefault="00592459" w:rsidP="00D200AA">
            <w:pPr>
              <w:pStyle w:val="TableBodyTextrightalign"/>
              <w:rPr>
                <w:b/>
                <w:highlight w:val="yellow"/>
              </w:rPr>
            </w:pPr>
          </w:p>
        </w:tc>
        <w:tc>
          <w:tcPr>
            <w:tcW w:w="664" w:type="pct"/>
            <w:tcBorders>
              <w:top w:val="single" w:sz="4" w:space="0" w:color="auto"/>
              <w:left w:val="nil"/>
              <w:bottom w:val="single" w:sz="4" w:space="0" w:color="auto"/>
              <w:right w:val="nil"/>
            </w:tcBorders>
          </w:tcPr>
          <w:p w14:paraId="1E87B147" w14:textId="77777777" w:rsidR="00592459" w:rsidRPr="00120BC0" w:rsidRDefault="00592459" w:rsidP="00D200AA">
            <w:pPr>
              <w:pStyle w:val="TableBodyTextrightalign"/>
            </w:pPr>
          </w:p>
        </w:tc>
        <w:tc>
          <w:tcPr>
            <w:tcW w:w="664" w:type="pct"/>
            <w:tcBorders>
              <w:top w:val="single" w:sz="4" w:space="0" w:color="auto"/>
              <w:left w:val="nil"/>
              <w:bottom w:val="single" w:sz="4" w:space="0" w:color="auto"/>
              <w:right w:val="nil"/>
            </w:tcBorders>
          </w:tcPr>
          <w:p w14:paraId="56A8BB0C" w14:textId="77777777" w:rsidR="00592459" w:rsidRPr="001D50E4" w:rsidRDefault="00592459" w:rsidP="00D200AA">
            <w:pPr>
              <w:pStyle w:val="TableBodyTextrightalign"/>
            </w:pPr>
          </w:p>
        </w:tc>
      </w:tr>
      <w:tr w:rsidR="00592459" w14:paraId="244051F1" w14:textId="77777777" w:rsidTr="00592459">
        <w:tc>
          <w:tcPr>
            <w:tcW w:w="3008" w:type="pct"/>
            <w:tcBorders>
              <w:top w:val="single" w:sz="4" w:space="0" w:color="auto"/>
              <w:left w:val="nil"/>
              <w:bottom w:val="single" w:sz="4" w:space="0" w:color="auto"/>
              <w:right w:val="nil"/>
            </w:tcBorders>
            <w:hideMark/>
          </w:tcPr>
          <w:p w14:paraId="3D9D36D0" w14:textId="77777777" w:rsidR="00592459" w:rsidRDefault="00592459" w:rsidP="00592459">
            <w:pPr>
              <w:pStyle w:val="TableBodyText"/>
              <w:rPr>
                <w:rFonts w:asciiTheme="minorHAnsi" w:hAnsiTheme="minorHAnsi" w:cstheme="minorBidi"/>
                <w:lang w:eastAsia="en-US"/>
              </w:rPr>
            </w:pPr>
            <w:r w:rsidRPr="0312517E">
              <w:rPr>
                <w:lang w:eastAsia="en-US"/>
              </w:rPr>
              <w:t>Total complaints and notifications received</w:t>
            </w:r>
          </w:p>
        </w:tc>
        <w:tc>
          <w:tcPr>
            <w:tcW w:w="664" w:type="pct"/>
            <w:tcBorders>
              <w:top w:val="single" w:sz="4" w:space="0" w:color="auto"/>
              <w:left w:val="nil"/>
              <w:bottom w:val="single" w:sz="4" w:space="0" w:color="auto"/>
              <w:right w:val="nil"/>
            </w:tcBorders>
            <w:shd w:val="clear" w:color="auto" w:fill="F2F2F2" w:themeFill="background1" w:themeFillShade="F2"/>
          </w:tcPr>
          <w:p w14:paraId="534C9697" w14:textId="014BDFFB" w:rsidR="00592459" w:rsidRPr="00592459" w:rsidRDefault="00592459" w:rsidP="00592459">
            <w:pPr>
              <w:pStyle w:val="TableBodyTextrightalign"/>
              <w:rPr>
                <w:rStyle w:val="Characterbold"/>
              </w:rPr>
            </w:pPr>
            <w:r w:rsidRPr="00592459">
              <w:rPr>
                <w:rStyle w:val="Characterbold"/>
              </w:rPr>
              <w:t>1</w:t>
            </w:r>
            <w:r w:rsidR="00A36322">
              <w:rPr>
                <w:rStyle w:val="Characterbold"/>
              </w:rPr>
              <w:t>,</w:t>
            </w:r>
            <w:r w:rsidRPr="00592459">
              <w:rPr>
                <w:rStyle w:val="Characterbold"/>
              </w:rPr>
              <w:t>396</w:t>
            </w:r>
          </w:p>
        </w:tc>
        <w:tc>
          <w:tcPr>
            <w:tcW w:w="664" w:type="pct"/>
            <w:tcBorders>
              <w:top w:val="single" w:sz="4" w:space="0" w:color="auto"/>
              <w:left w:val="nil"/>
              <w:bottom w:val="single" w:sz="4" w:space="0" w:color="auto"/>
              <w:right w:val="nil"/>
            </w:tcBorders>
          </w:tcPr>
          <w:p w14:paraId="3C39EE35" w14:textId="200C9491" w:rsidR="00592459" w:rsidRPr="00592459" w:rsidRDefault="00592459" w:rsidP="00592459">
            <w:pPr>
              <w:pStyle w:val="TableBodyTextrightalign"/>
              <w:rPr>
                <w:rStyle w:val="Characterbold"/>
              </w:rPr>
            </w:pPr>
            <w:r w:rsidRPr="00592459">
              <w:rPr>
                <w:rStyle w:val="Characterbold"/>
              </w:rPr>
              <w:t>1,763</w:t>
            </w:r>
          </w:p>
        </w:tc>
        <w:tc>
          <w:tcPr>
            <w:tcW w:w="664" w:type="pct"/>
            <w:tcBorders>
              <w:top w:val="single" w:sz="4" w:space="0" w:color="auto"/>
              <w:left w:val="nil"/>
              <w:bottom w:val="single" w:sz="4" w:space="0" w:color="auto"/>
              <w:right w:val="nil"/>
            </w:tcBorders>
          </w:tcPr>
          <w:p w14:paraId="15742872" w14:textId="75B029EF" w:rsidR="00592459" w:rsidRPr="00592459" w:rsidRDefault="00592459" w:rsidP="00592459">
            <w:pPr>
              <w:pStyle w:val="TableBodyTextrightalign"/>
              <w:rPr>
                <w:rStyle w:val="Characterbold"/>
              </w:rPr>
            </w:pPr>
            <w:r w:rsidRPr="00592459">
              <w:rPr>
                <w:rStyle w:val="Characterbold"/>
              </w:rPr>
              <w:t>1,122</w:t>
            </w:r>
          </w:p>
        </w:tc>
      </w:tr>
      <w:tr w:rsidR="00592459" w14:paraId="7CDDF0C5" w14:textId="77777777" w:rsidTr="00592459">
        <w:tc>
          <w:tcPr>
            <w:tcW w:w="3008" w:type="pct"/>
            <w:tcBorders>
              <w:top w:val="single" w:sz="4" w:space="0" w:color="auto"/>
              <w:left w:val="nil"/>
              <w:bottom w:val="single" w:sz="4" w:space="0" w:color="auto"/>
              <w:right w:val="nil"/>
            </w:tcBorders>
            <w:hideMark/>
          </w:tcPr>
          <w:p w14:paraId="52944AB0" w14:textId="77777777" w:rsidR="00592459" w:rsidRDefault="00592459" w:rsidP="00592459">
            <w:pPr>
              <w:pStyle w:val="TableListBullet"/>
              <w:numPr>
                <w:ilvl w:val="0"/>
                <w:numId w:val="26"/>
              </w:numPr>
              <w:rPr>
                <w:lang w:val="en-US"/>
              </w:rPr>
            </w:pPr>
            <w:r>
              <w:rPr>
                <w:lang w:eastAsia="en-US"/>
              </w:rPr>
              <w:t xml:space="preserve">complaints </w:t>
            </w:r>
          </w:p>
        </w:tc>
        <w:tc>
          <w:tcPr>
            <w:tcW w:w="664" w:type="pct"/>
            <w:tcBorders>
              <w:top w:val="single" w:sz="4" w:space="0" w:color="auto"/>
              <w:left w:val="nil"/>
              <w:bottom w:val="single" w:sz="4" w:space="0" w:color="auto"/>
              <w:right w:val="nil"/>
            </w:tcBorders>
            <w:shd w:val="clear" w:color="auto" w:fill="F2F2F2" w:themeFill="background1" w:themeFillShade="F2"/>
          </w:tcPr>
          <w:p w14:paraId="1E022E5C" w14:textId="48733022" w:rsidR="00592459" w:rsidRPr="000A786F" w:rsidRDefault="00592459" w:rsidP="00592459">
            <w:pPr>
              <w:pStyle w:val="TableBodyTextrightalign"/>
              <w:rPr>
                <w:rStyle w:val="Characterbold"/>
                <w:b w:val="0"/>
              </w:rPr>
            </w:pPr>
            <w:r w:rsidRPr="00322849">
              <w:t>824</w:t>
            </w:r>
          </w:p>
        </w:tc>
        <w:tc>
          <w:tcPr>
            <w:tcW w:w="664" w:type="pct"/>
            <w:tcBorders>
              <w:top w:val="single" w:sz="4" w:space="0" w:color="auto"/>
              <w:left w:val="nil"/>
              <w:bottom w:val="single" w:sz="4" w:space="0" w:color="auto"/>
              <w:right w:val="nil"/>
            </w:tcBorders>
          </w:tcPr>
          <w:p w14:paraId="54B952E4" w14:textId="57D035B0" w:rsidR="00592459" w:rsidRDefault="00592459" w:rsidP="00592459">
            <w:pPr>
              <w:pStyle w:val="TableBodyTextrightalign"/>
              <w:rPr>
                <w:rStyle w:val="Characterbold"/>
              </w:rPr>
            </w:pPr>
            <w:r w:rsidRPr="00322849">
              <w:t>1,392</w:t>
            </w:r>
          </w:p>
        </w:tc>
        <w:tc>
          <w:tcPr>
            <w:tcW w:w="664" w:type="pct"/>
            <w:tcBorders>
              <w:top w:val="single" w:sz="4" w:space="0" w:color="auto"/>
              <w:left w:val="nil"/>
              <w:bottom w:val="single" w:sz="4" w:space="0" w:color="auto"/>
              <w:right w:val="nil"/>
            </w:tcBorders>
          </w:tcPr>
          <w:p w14:paraId="64ADDC01" w14:textId="03F3027F" w:rsidR="00592459" w:rsidRDefault="00592459" w:rsidP="00592459">
            <w:pPr>
              <w:pStyle w:val="TableBodyTextrightalign"/>
              <w:rPr>
                <w:rStyle w:val="Characterbold"/>
              </w:rPr>
            </w:pPr>
            <w:r w:rsidRPr="00322849">
              <w:t>777</w:t>
            </w:r>
          </w:p>
        </w:tc>
      </w:tr>
      <w:tr w:rsidR="00592459" w14:paraId="734812A3" w14:textId="77777777" w:rsidTr="00592459">
        <w:tc>
          <w:tcPr>
            <w:tcW w:w="3008" w:type="pct"/>
            <w:tcBorders>
              <w:top w:val="single" w:sz="4" w:space="0" w:color="auto"/>
              <w:left w:val="nil"/>
              <w:bottom w:val="single" w:sz="4" w:space="0" w:color="auto"/>
              <w:right w:val="nil"/>
            </w:tcBorders>
            <w:hideMark/>
          </w:tcPr>
          <w:p w14:paraId="696AB0AC" w14:textId="77777777" w:rsidR="00592459" w:rsidRDefault="00592459" w:rsidP="00592459">
            <w:pPr>
              <w:pStyle w:val="TableListBullet"/>
              <w:numPr>
                <w:ilvl w:val="0"/>
                <w:numId w:val="26"/>
              </w:numPr>
              <w:rPr>
                <w:lang w:val="en-US"/>
              </w:rPr>
            </w:pPr>
            <w:r w:rsidRPr="0312517E">
              <w:rPr>
                <w:lang w:eastAsia="en-US"/>
              </w:rPr>
              <w:t xml:space="preserve">notifications </w:t>
            </w:r>
          </w:p>
        </w:tc>
        <w:tc>
          <w:tcPr>
            <w:tcW w:w="664" w:type="pct"/>
            <w:tcBorders>
              <w:top w:val="single" w:sz="4" w:space="0" w:color="auto"/>
              <w:left w:val="nil"/>
              <w:bottom w:val="single" w:sz="4" w:space="0" w:color="auto"/>
              <w:right w:val="nil"/>
            </w:tcBorders>
            <w:shd w:val="clear" w:color="auto" w:fill="F2F2F2" w:themeFill="background1" w:themeFillShade="F2"/>
          </w:tcPr>
          <w:p w14:paraId="3D08A11C" w14:textId="6FB332DC" w:rsidR="00592459" w:rsidRPr="005360C3" w:rsidRDefault="004D5BC7" w:rsidP="00592459">
            <w:pPr>
              <w:pStyle w:val="TableBodyTextrightalign"/>
              <w:rPr>
                <w:rStyle w:val="Characterbold"/>
                <w:b w:val="0"/>
              </w:rPr>
            </w:pPr>
            <w:r>
              <w:t>572</w:t>
            </w:r>
          </w:p>
        </w:tc>
        <w:tc>
          <w:tcPr>
            <w:tcW w:w="664" w:type="pct"/>
            <w:tcBorders>
              <w:top w:val="single" w:sz="4" w:space="0" w:color="auto"/>
              <w:left w:val="nil"/>
              <w:bottom w:val="single" w:sz="4" w:space="0" w:color="auto"/>
              <w:right w:val="nil"/>
            </w:tcBorders>
          </w:tcPr>
          <w:p w14:paraId="0F1974DC" w14:textId="71BDC7FF" w:rsidR="00592459" w:rsidRDefault="00592459" w:rsidP="00592459">
            <w:pPr>
              <w:pStyle w:val="TableBodyTextrightalign"/>
              <w:rPr>
                <w:rStyle w:val="Characterbold"/>
              </w:rPr>
            </w:pPr>
            <w:r w:rsidRPr="00322849">
              <w:t xml:space="preserve">371 </w:t>
            </w:r>
          </w:p>
        </w:tc>
        <w:tc>
          <w:tcPr>
            <w:tcW w:w="664" w:type="pct"/>
            <w:tcBorders>
              <w:top w:val="single" w:sz="4" w:space="0" w:color="auto"/>
              <w:left w:val="nil"/>
              <w:bottom w:val="single" w:sz="4" w:space="0" w:color="auto"/>
              <w:right w:val="nil"/>
            </w:tcBorders>
          </w:tcPr>
          <w:p w14:paraId="5EA4CC8C" w14:textId="77848032" w:rsidR="00592459" w:rsidRDefault="00592459" w:rsidP="00592459">
            <w:pPr>
              <w:pStyle w:val="TableBodyTextrightalign"/>
              <w:rPr>
                <w:rStyle w:val="Characterbold"/>
              </w:rPr>
            </w:pPr>
            <w:r w:rsidRPr="00322849">
              <w:t>345</w:t>
            </w:r>
          </w:p>
        </w:tc>
      </w:tr>
      <w:tr w:rsidR="00592459" w14:paraId="18A3F38B" w14:textId="77777777" w:rsidTr="00592459">
        <w:tc>
          <w:tcPr>
            <w:tcW w:w="3008" w:type="pct"/>
            <w:tcBorders>
              <w:top w:val="single" w:sz="4" w:space="0" w:color="auto"/>
              <w:left w:val="nil"/>
              <w:bottom w:val="single" w:sz="4" w:space="0" w:color="auto"/>
              <w:right w:val="nil"/>
            </w:tcBorders>
            <w:hideMark/>
          </w:tcPr>
          <w:p w14:paraId="2EFFFA1E" w14:textId="4C61D828" w:rsidR="00592459" w:rsidRDefault="00592459" w:rsidP="00592459">
            <w:pPr>
              <w:pStyle w:val="TableListBullet2"/>
              <w:numPr>
                <w:ilvl w:val="1"/>
                <w:numId w:val="26"/>
              </w:numPr>
              <w:rPr>
                <w:lang w:val="en-US"/>
              </w:rPr>
            </w:pPr>
            <w:r w:rsidRPr="0312517E">
              <w:rPr>
                <w:lang w:eastAsia="en-US"/>
              </w:rPr>
              <w:t>PIDs and PID notifications</w:t>
            </w:r>
            <w:r w:rsidR="005215C7">
              <w:rPr>
                <w:rStyle w:val="Charactersuperscript"/>
                <w:lang w:eastAsia="en-US"/>
              </w:rPr>
              <w:t>(a)</w:t>
            </w:r>
          </w:p>
        </w:tc>
        <w:tc>
          <w:tcPr>
            <w:tcW w:w="664" w:type="pct"/>
            <w:tcBorders>
              <w:top w:val="single" w:sz="4" w:space="0" w:color="auto"/>
              <w:left w:val="nil"/>
              <w:bottom w:val="single" w:sz="4" w:space="0" w:color="auto"/>
              <w:right w:val="nil"/>
            </w:tcBorders>
            <w:shd w:val="clear" w:color="auto" w:fill="F2F2F2" w:themeFill="background1" w:themeFillShade="F2"/>
          </w:tcPr>
          <w:p w14:paraId="2D2B10F7" w14:textId="2713BF19" w:rsidR="00592459" w:rsidRPr="000A786F" w:rsidRDefault="00592459" w:rsidP="00592459">
            <w:pPr>
              <w:pStyle w:val="TableBodyTextrightalign"/>
              <w:rPr>
                <w:rStyle w:val="Characterbold"/>
                <w:b w:val="0"/>
              </w:rPr>
            </w:pPr>
            <w:r w:rsidRPr="00322849">
              <w:t>264</w:t>
            </w:r>
          </w:p>
        </w:tc>
        <w:tc>
          <w:tcPr>
            <w:tcW w:w="664" w:type="pct"/>
            <w:tcBorders>
              <w:top w:val="single" w:sz="4" w:space="0" w:color="auto"/>
              <w:left w:val="nil"/>
              <w:bottom w:val="single" w:sz="4" w:space="0" w:color="auto"/>
              <w:right w:val="nil"/>
            </w:tcBorders>
          </w:tcPr>
          <w:p w14:paraId="683692D1" w14:textId="2A487E8A" w:rsidR="00592459" w:rsidRDefault="00592459" w:rsidP="00592459">
            <w:pPr>
              <w:pStyle w:val="TableBodyTextrightalign"/>
              <w:rPr>
                <w:rStyle w:val="Characterbold"/>
              </w:rPr>
            </w:pPr>
            <w:r w:rsidRPr="00322849">
              <w:t>197</w:t>
            </w:r>
          </w:p>
        </w:tc>
        <w:tc>
          <w:tcPr>
            <w:tcW w:w="664" w:type="pct"/>
            <w:tcBorders>
              <w:top w:val="single" w:sz="4" w:space="0" w:color="auto"/>
              <w:left w:val="nil"/>
              <w:bottom w:val="single" w:sz="4" w:space="0" w:color="auto"/>
              <w:right w:val="nil"/>
            </w:tcBorders>
          </w:tcPr>
          <w:p w14:paraId="10AB59E2" w14:textId="25283702" w:rsidR="00592459" w:rsidRDefault="00592459" w:rsidP="00592459">
            <w:pPr>
              <w:pStyle w:val="TableBodyTextrightalign"/>
              <w:rPr>
                <w:rStyle w:val="Characterbold"/>
              </w:rPr>
            </w:pPr>
            <w:r w:rsidRPr="00322849">
              <w:t>238</w:t>
            </w:r>
          </w:p>
        </w:tc>
      </w:tr>
      <w:tr w:rsidR="00592459" w14:paraId="442052D6" w14:textId="77777777" w:rsidTr="00592459">
        <w:tc>
          <w:tcPr>
            <w:tcW w:w="3008" w:type="pct"/>
            <w:tcBorders>
              <w:top w:val="single" w:sz="4" w:space="0" w:color="auto"/>
              <w:left w:val="nil"/>
              <w:bottom w:val="single" w:sz="4" w:space="0" w:color="auto"/>
              <w:right w:val="nil"/>
            </w:tcBorders>
          </w:tcPr>
          <w:p w14:paraId="64C2D710" w14:textId="599227A2" w:rsidR="00592459" w:rsidRPr="000A786F" w:rsidRDefault="00592459" w:rsidP="00D200AA">
            <w:pPr>
              <w:pStyle w:val="TableBodyText"/>
              <w:rPr>
                <w:rStyle w:val="Characterbold"/>
              </w:rPr>
            </w:pPr>
            <w:r w:rsidRPr="000A786F">
              <w:rPr>
                <w:rStyle w:val="Characterbold"/>
              </w:rPr>
              <w:t>Assessed</w:t>
            </w:r>
          </w:p>
        </w:tc>
        <w:tc>
          <w:tcPr>
            <w:tcW w:w="664" w:type="pct"/>
            <w:tcBorders>
              <w:top w:val="single" w:sz="4" w:space="0" w:color="auto"/>
              <w:left w:val="nil"/>
              <w:bottom w:val="single" w:sz="4" w:space="0" w:color="auto"/>
              <w:right w:val="nil"/>
            </w:tcBorders>
            <w:shd w:val="clear" w:color="auto" w:fill="F2F2F2" w:themeFill="background1" w:themeFillShade="F2"/>
          </w:tcPr>
          <w:p w14:paraId="21C16A2A" w14:textId="77777777" w:rsidR="00592459" w:rsidRPr="004C536B" w:rsidRDefault="00592459" w:rsidP="00D200AA">
            <w:pPr>
              <w:pStyle w:val="TableBodyTextrightalign"/>
              <w:rPr>
                <w:b/>
                <w:highlight w:val="green"/>
              </w:rPr>
            </w:pPr>
          </w:p>
        </w:tc>
        <w:tc>
          <w:tcPr>
            <w:tcW w:w="664" w:type="pct"/>
            <w:tcBorders>
              <w:top w:val="single" w:sz="4" w:space="0" w:color="auto"/>
              <w:left w:val="nil"/>
              <w:bottom w:val="single" w:sz="4" w:space="0" w:color="auto"/>
              <w:right w:val="nil"/>
            </w:tcBorders>
          </w:tcPr>
          <w:p w14:paraId="14128F93" w14:textId="77777777" w:rsidR="00592459" w:rsidRPr="00120BC0" w:rsidRDefault="00592459" w:rsidP="00D200AA">
            <w:pPr>
              <w:pStyle w:val="TableBodyTextrightalign"/>
            </w:pPr>
          </w:p>
        </w:tc>
        <w:tc>
          <w:tcPr>
            <w:tcW w:w="664" w:type="pct"/>
            <w:tcBorders>
              <w:top w:val="single" w:sz="4" w:space="0" w:color="auto"/>
              <w:left w:val="nil"/>
              <w:bottom w:val="single" w:sz="4" w:space="0" w:color="auto"/>
              <w:right w:val="nil"/>
            </w:tcBorders>
          </w:tcPr>
          <w:p w14:paraId="271AA45D" w14:textId="77777777" w:rsidR="00592459" w:rsidRPr="001D50E4" w:rsidRDefault="00592459" w:rsidP="00D200AA">
            <w:pPr>
              <w:pStyle w:val="TableBodyTextrightalign"/>
            </w:pPr>
          </w:p>
        </w:tc>
      </w:tr>
      <w:tr w:rsidR="00592459" w14:paraId="3D4E7F9A" w14:textId="77777777" w:rsidTr="00592459">
        <w:tc>
          <w:tcPr>
            <w:tcW w:w="3008" w:type="pct"/>
            <w:tcBorders>
              <w:top w:val="single" w:sz="4" w:space="0" w:color="auto"/>
              <w:left w:val="nil"/>
              <w:bottom w:val="single" w:sz="4" w:space="0" w:color="auto"/>
              <w:right w:val="nil"/>
            </w:tcBorders>
            <w:hideMark/>
          </w:tcPr>
          <w:p w14:paraId="2716A76C" w14:textId="4B0DCE8C" w:rsidR="00592459" w:rsidRDefault="00592459" w:rsidP="00592459">
            <w:pPr>
              <w:pStyle w:val="TableBodyText"/>
              <w:rPr>
                <w:lang w:val="en-US"/>
              </w:rPr>
            </w:pPr>
            <w:r w:rsidRPr="0312517E">
              <w:rPr>
                <w:lang w:eastAsia="en-US"/>
              </w:rPr>
              <w:t xml:space="preserve">Total </w:t>
            </w:r>
            <w:r>
              <w:rPr>
                <w:lang w:eastAsia="en-US"/>
              </w:rPr>
              <w:t>complaints and notifications</w:t>
            </w:r>
            <w:r w:rsidR="00230731">
              <w:rPr>
                <w:lang w:eastAsia="en-US"/>
              </w:rPr>
              <w:t xml:space="preserve"> assessed</w:t>
            </w:r>
            <w:r>
              <w:rPr>
                <w:rStyle w:val="Charactersuperscript"/>
                <w:lang w:eastAsia="en-US"/>
              </w:rPr>
              <w:t>(</w:t>
            </w:r>
            <w:r w:rsidR="005215C7">
              <w:rPr>
                <w:rStyle w:val="Charactersuperscript"/>
                <w:lang w:eastAsia="en-US"/>
              </w:rPr>
              <w:t>b</w:t>
            </w:r>
            <w:r>
              <w:rPr>
                <w:rStyle w:val="Charactersuperscript"/>
                <w:lang w:eastAsia="en-US"/>
              </w:rPr>
              <w:t>)</w:t>
            </w:r>
          </w:p>
        </w:tc>
        <w:tc>
          <w:tcPr>
            <w:tcW w:w="664" w:type="pct"/>
            <w:tcBorders>
              <w:top w:val="single" w:sz="4" w:space="0" w:color="auto"/>
              <w:left w:val="nil"/>
              <w:bottom w:val="single" w:sz="4" w:space="0" w:color="auto"/>
              <w:right w:val="nil"/>
            </w:tcBorders>
            <w:shd w:val="clear" w:color="auto" w:fill="F2F2F2" w:themeFill="background1" w:themeFillShade="F2"/>
          </w:tcPr>
          <w:p w14:paraId="2B219F3F" w14:textId="730CC8B1" w:rsidR="00592459" w:rsidRPr="00592459" w:rsidRDefault="00592459" w:rsidP="00592459">
            <w:pPr>
              <w:pStyle w:val="TableBodyTextrightalign"/>
              <w:rPr>
                <w:rStyle w:val="Characterbold"/>
              </w:rPr>
            </w:pPr>
            <w:r w:rsidRPr="00592459">
              <w:rPr>
                <w:rStyle w:val="Characterbold"/>
              </w:rPr>
              <w:t>1,417</w:t>
            </w:r>
          </w:p>
        </w:tc>
        <w:tc>
          <w:tcPr>
            <w:tcW w:w="664" w:type="pct"/>
            <w:tcBorders>
              <w:top w:val="single" w:sz="4" w:space="0" w:color="auto"/>
              <w:left w:val="nil"/>
              <w:bottom w:val="single" w:sz="4" w:space="0" w:color="auto"/>
              <w:right w:val="nil"/>
            </w:tcBorders>
          </w:tcPr>
          <w:p w14:paraId="43E6F287" w14:textId="37F52FA0" w:rsidR="00592459" w:rsidRPr="00592459" w:rsidRDefault="00592459" w:rsidP="00592459">
            <w:pPr>
              <w:pStyle w:val="TableBodyTextrightalign"/>
              <w:rPr>
                <w:rStyle w:val="Characterbold"/>
              </w:rPr>
            </w:pPr>
            <w:r w:rsidRPr="00592459">
              <w:rPr>
                <w:rStyle w:val="Characterbold"/>
              </w:rPr>
              <w:t>1</w:t>
            </w:r>
            <w:r w:rsidR="00A36322">
              <w:rPr>
                <w:rStyle w:val="Characterbold"/>
              </w:rPr>
              <w:t>,</w:t>
            </w:r>
            <w:r w:rsidRPr="00592459">
              <w:rPr>
                <w:rStyle w:val="Characterbold"/>
              </w:rPr>
              <w:t>628</w:t>
            </w:r>
          </w:p>
        </w:tc>
        <w:tc>
          <w:tcPr>
            <w:tcW w:w="664" w:type="pct"/>
            <w:tcBorders>
              <w:top w:val="single" w:sz="4" w:space="0" w:color="auto"/>
              <w:left w:val="nil"/>
              <w:bottom w:val="single" w:sz="4" w:space="0" w:color="auto"/>
              <w:right w:val="nil"/>
            </w:tcBorders>
          </w:tcPr>
          <w:p w14:paraId="0DF2F931" w14:textId="0E5A64C6" w:rsidR="00592459" w:rsidRPr="00592459" w:rsidRDefault="00592459" w:rsidP="00592459">
            <w:pPr>
              <w:pStyle w:val="TableBodyTextrightalign"/>
              <w:rPr>
                <w:rStyle w:val="Characterbold"/>
              </w:rPr>
            </w:pPr>
            <w:r w:rsidRPr="00592459">
              <w:rPr>
                <w:rStyle w:val="Characterbold"/>
              </w:rPr>
              <w:t>1</w:t>
            </w:r>
            <w:r w:rsidR="00A36322">
              <w:rPr>
                <w:rStyle w:val="Characterbold"/>
              </w:rPr>
              <w:t>,</w:t>
            </w:r>
            <w:r w:rsidRPr="00592459">
              <w:rPr>
                <w:rStyle w:val="Characterbold"/>
              </w:rPr>
              <w:t>134</w:t>
            </w:r>
          </w:p>
        </w:tc>
      </w:tr>
      <w:tr w:rsidR="00592459" w14:paraId="70E68093" w14:textId="77777777" w:rsidTr="000A786F">
        <w:tc>
          <w:tcPr>
            <w:tcW w:w="3008" w:type="pct"/>
            <w:tcBorders>
              <w:top w:val="single" w:sz="4" w:space="0" w:color="auto"/>
              <w:left w:val="nil"/>
              <w:bottom w:val="single" w:sz="4" w:space="0" w:color="auto"/>
              <w:right w:val="nil"/>
            </w:tcBorders>
          </w:tcPr>
          <w:p w14:paraId="078216A2" w14:textId="77777777" w:rsidR="00592459" w:rsidRPr="00230731" w:rsidRDefault="00592459" w:rsidP="00230731">
            <w:pPr>
              <w:pStyle w:val="TableListBullet"/>
            </w:pPr>
            <w:r w:rsidRPr="00230731">
              <w:t>complaints</w:t>
            </w:r>
          </w:p>
        </w:tc>
        <w:tc>
          <w:tcPr>
            <w:tcW w:w="664" w:type="pct"/>
            <w:tcBorders>
              <w:top w:val="single" w:sz="4" w:space="0" w:color="auto"/>
              <w:left w:val="nil"/>
              <w:bottom w:val="single" w:sz="4" w:space="0" w:color="auto"/>
              <w:right w:val="nil"/>
            </w:tcBorders>
            <w:shd w:val="clear" w:color="auto" w:fill="F2F2F2" w:themeFill="background1" w:themeFillShade="F2"/>
          </w:tcPr>
          <w:p w14:paraId="24AAF69B" w14:textId="684E0AC1" w:rsidR="00592459" w:rsidRPr="000A786F" w:rsidRDefault="00592459" w:rsidP="00592459">
            <w:pPr>
              <w:pStyle w:val="TableBodyTextrightalign"/>
              <w:rPr>
                <w:highlight w:val="green"/>
              </w:rPr>
            </w:pPr>
            <w:r w:rsidRPr="00122595">
              <w:t>864</w:t>
            </w:r>
          </w:p>
        </w:tc>
        <w:tc>
          <w:tcPr>
            <w:tcW w:w="664" w:type="pct"/>
            <w:tcBorders>
              <w:top w:val="single" w:sz="4" w:space="0" w:color="auto"/>
              <w:left w:val="nil"/>
              <w:bottom w:val="single" w:sz="4" w:space="0" w:color="auto"/>
              <w:right w:val="nil"/>
            </w:tcBorders>
          </w:tcPr>
          <w:p w14:paraId="4DC36329" w14:textId="29573E5E" w:rsidR="00592459" w:rsidRPr="005360C3" w:rsidRDefault="00592459" w:rsidP="00592459">
            <w:pPr>
              <w:pStyle w:val="TableBodyTextrightalign"/>
            </w:pPr>
            <w:r w:rsidRPr="00122595">
              <w:t>1234</w:t>
            </w:r>
          </w:p>
        </w:tc>
        <w:tc>
          <w:tcPr>
            <w:tcW w:w="664" w:type="pct"/>
            <w:tcBorders>
              <w:top w:val="single" w:sz="4" w:space="0" w:color="auto"/>
              <w:left w:val="nil"/>
              <w:bottom w:val="single" w:sz="4" w:space="0" w:color="auto"/>
              <w:right w:val="nil"/>
            </w:tcBorders>
          </w:tcPr>
          <w:p w14:paraId="5BC00757" w14:textId="13B29CF9" w:rsidR="00592459" w:rsidRPr="005360C3" w:rsidRDefault="00592459" w:rsidP="00592459">
            <w:pPr>
              <w:pStyle w:val="TableBodyTextrightalign"/>
            </w:pPr>
            <w:r w:rsidRPr="00122595">
              <w:t>750</w:t>
            </w:r>
          </w:p>
        </w:tc>
      </w:tr>
      <w:tr w:rsidR="00592459" w14:paraId="0FF8EBA6" w14:textId="77777777" w:rsidTr="000A786F">
        <w:tc>
          <w:tcPr>
            <w:tcW w:w="3008" w:type="pct"/>
            <w:tcBorders>
              <w:top w:val="single" w:sz="4" w:space="0" w:color="auto"/>
              <w:left w:val="nil"/>
              <w:bottom w:val="single" w:sz="4" w:space="0" w:color="auto"/>
              <w:right w:val="nil"/>
            </w:tcBorders>
          </w:tcPr>
          <w:p w14:paraId="55DF7DCA" w14:textId="77777777" w:rsidR="00592459" w:rsidRPr="00230731" w:rsidRDefault="00592459" w:rsidP="00230731">
            <w:pPr>
              <w:pStyle w:val="TableListBullet"/>
            </w:pPr>
            <w:r w:rsidRPr="00230731">
              <w:t>notifications</w:t>
            </w:r>
          </w:p>
        </w:tc>
        <w:tc>
          <w:tcPr>
            <w:tcW w:w="664" w:type="pct"/>
            <w:tcBorders>
              <w:top w:val="single" w:sz="4" w:space="0" w:color="auto"/>
              <w:left w:val="nil"/>
              <w:bottom w:val="single" w:sz="4" w:space="0" w:color="auto"/>
              <w:right w:val="nil"/>
            </w:tcBorders>
            <w:shd w:val="clear" w:color="auto" w:fill="F2F2F2" w:themeFill="background1" w:themeFillShade="F2"/>
          </w:tcPr>
          <w:p w14:paraId="79E987EB" w14:textId="22FF40EF" w:rsidR="00592459" w:rsidRPr="000A786F" w:rsidRDefault="00592459" w:rsidP="00592459">
            <w:pPr>
              <w:pStyle w:val="TableBodyTextrightalign"/>
              <w:rPr>
                <w:highlight w:val="green"/>
              </w:rPr>
            </w:pPr>
            <w:r w:rsidRPr="00122595">
              <w:t>553</w:t>
            </w:r>
          </w:p>
        </w:tc>
        <w:tc>
          <w:tcPr>
            <w:tcW w:w="664" w:type="pct"/>
            <w:tcBorders>
              <w:top w:val="single" w:sz="4" w:space="0" w:color="auto"/>
              <w:left w:val="nil"/>
              <w:bottom w:val="single" w:sz="4" w:space="0" w:color="auto"/>
              <w:right w:val="nil"/>
            </w:tcBorders>
          </w:tcPr>
          <w:p w14:paraId="0F1044E6" w14:textId="61323382" w:rsidR="00592459" w:rsidRPr="005360C3" w:rsidRDefault="00592459" w:rsidP="00592459">
            <w:pPr>
              <w:pStyle w:val="TableBodyTextrightalign"/>
            </w:pPr>
            <w:r w:rsidRPr="00122595">
              <w:t>394</w:t>
            </w:r>
          </w:p>
        </w:tc>
        <w:tc>
          <w:tcPr>
            <w:tcW w:w="664" w:type="pct"/>
            <w:tcBorders>
              <w:top w:val="single" w:sz="4" w:space="0" w:color="auto"/>
              <w:left w:val="nil"/>
              <w:bottom w:val="single" w:sz="4" w:space="0" w:color="auto"/>
              <w:right w:val="nil"/>
            </w:tcBorders>
          </w:tcPr>
          <w:p w14:paraId="7E2FEF36" w14:textId="2FB3E764" w:rsidR="00592459" w:rsidRPr="005360C3" w:rsidRDefault="00592459" w:rsidP="00592459">
            <w:pPr>
              <w:pStyle w:val="TableBodyTextrightalign"/>
            </w:pPr>
            <w:r w:rsidRPr="00122595">
              <w:t>384</w:t>
            </w:r>
          </w:p>
        </w:tc>
      </w:tr>
      <w:tr w:rsidR="00057B36" w14:paraId="2BAD1032" w14:textId="77777777" w:rsidTr="00592459">
        <w:tc>
          <w:tcPr>
            <w:tcW w:w="3008" w:type="pct"/>
            <w:tcBorders>
              <w:top w:val="single" w:sz="4" w:space="0" w:color="auto"/>
              <w:left w:val="nil"/>
              <w:bottom w:val="single" w:sz="4" w:space="0" w:color="auto"/>
              <w:right w:val="nil"/>
            </w:tcBorders>
          </w:tcPr>
          <w:p w14:paraId="2BB769C5" w14:textId="46BAC905" w:rsidR="00057B36" w:rsidRDefault="00A33EA5" w:rsidP="00057B36">
            <w:pPr>
              <w:pStyle w:val="TableBodyText"/>
              <w:rPr>
                <w:lang w:eastAsia="en-US"/>
              </w:rPr>
            </w:pPr>
            <w:r w:rsidRPr="00A33EA5">
              <w:t>Warrants investigation or further action</w:t>
            </w:r>
            <w:r w:rsidR="00060CEE">
              <w:rPr>
                <w:rStyle w:val="Charactersuperscript"/>
                <w:lang w:eastAsia="en-US"/>
              </w:rPr>
              <w:t>(c)</w:t>
            </w:r>
            <w:r w:rsidRPr="00175726" w:rsidDel="00C30FBE">
              <w:rPr>
                <w:lang w:eastAsia="en-US"/>
              </w:rPr>
              <w:t xml:space="preserve"> </w:t>
            </w:r>
          </w:p>
        </w:tc>
        <w:tc>
          <w:tcPr>
            <w:tcW w:w="664" w:type="pct"/>
            <w:tcBorders>
              <w:top w:val="single" w:sz="4" w:space="0" w:color="auto"/>
              <w:left w:val="nil"/>
              <w:bottom w:val="single" w:sz="4" w:space="0" w:color="auto"/>
              <w:right w:val="nil"/>
            </w:tcBorders>
            <w:shd w:val="clear" w:color="auto" w:fill="F2F2F2" w:themeFill="background1" w:themeFillShade="F2"/>
          </w:tcPr>
          <w:p w14:paraId="3661693F" w14:textId="35B409C0" w:rsidR="00057B36" w:rsidRPr="00C80EBF" w:rsidRDefault="00057B36" w:rsidP="00057B36">
            <w:pPr>
              <w:pStyle w:val="TableBodyTextrightalign"/>
              <w:rPr>
                <w:b/>
                <w:highlight w:val="green"/>
              </w:rPr>
            </w:pPr>
            <w:r>
              <w:t>351</w:t>
            </w:r>
          </w:p>
        </w:tc>
        <w:tc>
          <w:tcPr>
            <w:tcW w:w="664" w:type="pct"/>
            <w:tcBorders>
              <w:top w:val="single" w:sz="4" w:space="0" w:color="auto"/>
              <w:left w:val="nil"/>
              <w:bottom w:val="single" w:sz="4" w:space="0" w:color="auto"/>
              <w:right w:val="nil"/>
            </w:tcBorders>
          </w:tcPr>
          <w:p w14:paraId="520F5A55" w14:textId="07CD049F" w:rsidR="00057B36" w:rsidRPr="00120BC0" w:rsidRDefault="00057B36" w:rsidP="00057B36">
            <w:pPr>
              <w:pStyle w:val="TableBodyTextrightalign"/>
            </w:pPr>
            <w:r>
              <w:t>332</w:t>
            </w:r>
          </w:p>
        </w:tc>
        <w:tc>
          <w:tcPr>
            <w:tcW w:w="664" w:type="pct"/>
            <w:tcBorders>
              <w:top w:val="single" w:sz="4" w:space="0" w:color="auto"/>
              <w:left w:val="nil"/>
              <w:bottom w:val="single" w:sz="4" w:space="0" w:color="auto"/>
              <w:right w:val="nil"/>
            </w:tcBorders>
          </w:tcPr>
          <w:p w14:paraId="32095921" w14:textId="2CE154C6" w:rsidR="00057B36" w:rsidRPr="001D50E4" w:rsidRDefault="00057B36" w:rsidP="00057B36">
            <w:pPr>
              <w:pStyle w:val="TableBodyTextrightalign"/>
            </w:pPr>
            <w:r>
              <w:t>336</w:t>
            </w:r>
          </w:p>
        </w:tc>
      </w:tr>
      <w:tr w:rsidR="00592459" w14:paraId="4C2EC3C8" w14:textId="77777777" w:rsidTr="00592459">
        <w:tc>
          <w:tcPr>
            <w:tcW w:w="3008" w:type="pct"/>
            <w:tcBorders>
              <w:top w:val="single" w:sz="4" w:space="0" w:color="auto"/>
              <w:left w:val="nil"/>
              <w:bottom w:val="single" w:sz="4" w:space="0" w:color="auto"/>
              <w:right w:val="nil"/>
            </w:tcBorders>
          </w:tcPr>
          <w:p w14:paraId="29531366" w14:textId="15F430AC" w:rsidR="00592459" w:rsidRPr="000A786F" w:rsidRDefault="00592459" w:rsidP="00D200AA">
            <w:pPr>
              <w:pStyle w:val="TableBodyText"/>
              <w:rPr>
                <w:rStyle w:val="Characterbold"/>
              </w:rPr>
            </w:pPr>
            <w:r w:rsidRPr="000A786F">
              <w:rPr>
                <w:rStyle w:val="Characterbold"/>
              </w:rPr>
              <w:t>Actions</w:t>
            </w:r>
          </w:p>
        </w:tc>
        <w:tc>
          <w:tcPr>
            <w:tcW w:w="664" w:type="pct"/>
            <w:tcBorders>
              <w:top w:val="single" w:sz="4" w:space="0" w:color="auto"/>
              <w:left w:val="nil"/>
              <w:bottom w:val="single" w:sz="4" w:space="0" w:color="auto"/>
              <w:right w:val="nil"/>
            </w:tcBorders>
            <w:shd w:val="clear" w:color="auto" w:fill="F2F2F2" w:themeFill="background1" w:themeFillShade="F2"/>
          </w:tcPr>
          <w:p w14:paraId="731C0399" w14:textId="77777777" w:rsidR="00592459" w:rsidRPr="00C80EBF" w:rsidRDefault="00592459" w:rsidP="00D200AA">
            <w:pPr>
              <w:pStyle w:val="TableBodyTextrightalign"/>
              <w:rPr>
                <w:b/>
                <w:highlight w:val="green"/>
              </w:rPr>
            </w:pPr>
          </w:p>
        </w:tc>
        <w:tc>
          <w:tcPr>
            <w:tcW w:w="664" w:type="pct"/>
            <w:tcBorders>
              <w:top w:val="single" w:sz="4" w:space="0" w:color="auto"/>
              <w:left w:val="nil"/>
              <w:bottom w:val="single" w:sz="4" w:space="0" w:color="auto"/>
              <w:right w:val="nil"/>
            </w:tcBorders>
          </w:tcPr>
          <w:p w14:paraId="14C2F2BB" w14:textId="77777777" w:rsidR="00592459" w:rsidRPr="00120BC0" w:rsidRDefault="00592459" w:rsidP="00D200AA">
            <w:pPr>
              <w:pStyle w:val="TableBodyTextrightalign"/>
            </w:pPr>
          </w:p>
        </w:tc>
        <w:tc>
          <w:tcPr>
            <w:tcW w:w="664" w:type="pct"/>
            <w:tcBorders>
              <w:top w:val="single" w:sz="4" w:space="0" w:color="auto"/>
              <w:left w:val="nil"/>
              <w:bottom w:val="single" w:sz="4" w:space="0" w:color="auto"/>
              <w:right w:val="nil"/>
            </w:tcBorders>
          </w:tcPr>
          <w:p w14:paraId="15E6A403" w14:textId="77777777" w:rsidR="00592459" w:rsidRPr="001D50E4" w:rsidRDefault="00592459" w:rsidP="00D200AA">
            <w:pPr>
              <w:pStyle w:val="TableBodyTextrightalign"/>
            </w:pPr>
          </w:p>
        </w:tc>
      </w:tr>
      <w:tr w:rsidR="00592459" w14:paraId="1E514EE3" w14:textId="77777777" w:rsidTr="00592459">
        <w:tc>
          <w:tcPr>
            <w:tcW w:w="3008" w:type="pct"/>
            <w:tcBorders>
              <w:top w:val="single" w:sz="4" w:space="0" w:color="auto"/>
              <w:left w:val="nil"/>
              <w:bottom w:val="single" w:sz="4" w:space="0" w:color="auto"/>
              <w:right w:val="nil"/>
            </w:tcBorders>
          </w:tcPr>
          <w:p w14:paraId="3919AE71" w14:textId="5D769B05" w:rsidR="00592459" w:rsidRPr="0312517E" w:rsidRDefault="00F43A4B" w:rsidP="00230731">
            <w:pPr>
              <w:pStyle w:val="TableBodyText"/>
            </w:pPr>
            <w:r w:rsidRPr="00F43A4B">
              <w:t>IBAC review or investigation</w:t>
            </w:r>
            <w:r w:rsidR="00F67D0B">
              <w:rPr>
                <w:rStyle w:val="Charactersuperscript"/>
                <w:lang w:eastAsia="en-US"/>
              </w:rPr>
              <w:t>(</w:t>
            </w:r>
            <w:r w:rsidR="00060CEE">
              <w:rPr>
                <w:rStyle w:val="Charactersuperscript"/>
                <w:lang w:eastAsia="en-US"/>
              </w:rPr>
              <w:t>d</w:t>
            </w:r>
            <w:r w:rsidR="00F67D0B">
              <w:rPr>
                <w:rStyle w:val="Charactersuperscript"/>
                <w:lang w:eastAsia="en-US"/>
              </w:rPr>
              <w:t>)</w:t>
            </w:r>
          </w:p>
        </w:tc>
        <w:tc>
          <w:tcPr>
            <w:tcW w:w="664" w:type="pct"/>
            <w:tcBorders>
              <w:top w:val="single" w:sz="4" w:space="0" w:color="auto"/>
              <w:left w:val="nil"/>
              <w:bottom w:val="single" w:sz="4" w:space="0" w:color="auto"/>
              <w:right w:val="nil"/>
            </w:tcBorders>
            <w:shd w:val="clear" w:color="auto" w:fill="F2F2F2" w:themeFill="background1" w:themeFillShade="F2"/>
          </w:tcPr>
          <w:p w14:paraId="2945F646" w14:textId="65F24E74" w:rsidR="00592459" w:rsidRPr="00CA5402" w:rsidRDefault="00C53A09" w:rsidP="00592459">
            <w:pPr>
              <w:pStyle w:val="TableBodyTextrightalign"/>
              <w:rPr>
                <w:rStyle w:val="Characterbold"/>
                <w:highlight w:val="green"/>
              </w:rPr>
            </w:pPr>
            <w:r>
              <w:rPr>
                <w:rStyle w:val="Characterbold"/>
              </w:rPr>
              <w:t>48</w:t>
            </w:r>
          </w:p>
        </w:tc>
        <w:tc>
          <w:tcPr>
            <w:tcW w:w="664" w:type="pct"/>
            <w:tcBorders>
              <w:top w:val="single" w:sz="4" w:space="0" w:color="auto"/>
              <w:left w:val="nil"/>
              <w:bottom w:val="single" w:sz="4" w:space="0" w:color="auto"/>
              <w:right w:val="nil"/>
            </w:tcBorders>
          </w:tcPr>
          <w:p w14:paraId="7C05B15E" w14:textId="4CBCC224" w:rsidR="00592459" w:rsidRPr="00CA5402" w:rsidRDefault="00C53A09" w:rsidP="00592459">
            <w:pPr>
              <w:pStyle w:val="TableBodyTextrightalign"/>
              <w:rPr>
                <w:rStyle w:val="Characterbold"/>
              </w:rPr>
            </w:pPr>
            <w:r>
              <w:rPr>
                <w:rStyle w:val="Characterbold"/>
              </w:rPr>
              <w:t>39</w:t>
            </w:r>
          </w:p>
        </w:tc>
        <w:tc>
          <w:tcPr>
            <w:tcW w:w="664" w:type="pct"/>
            <w:tcBorders>
              <w:top w:val="single" w:sz="4" w:space="0" w:color="auto"/>
              <w:left w:val="nil"/>
              <w:bottom w:val="single" w:sz="4" w:space="0" w:color="auto"/>
              <w:right w:val="nil"/>
            </w:tcBorders>
          </w:tcPr>
          <w:p w14:paraId="01727078" w14:textId="1ED4287F" w:rsidR="00592459" w:rsidRPr="00CA5402" w:rsidRDefault="00C53A09" w:rsidP="00592459">
            <w:pPr>
              <w:pStyle w:val="TableBodyTextrightalign"/>
              <w:rPr>
                <w:rStyle w:val="Characterbold"/>
              </w:rPr>
            </w:pPr>
            <w:r>
              <w:rPr>
                <w:rStyle w:val="Characterbold"/>
              </w:rPr>
              <w:t>47</w:t>
            </w:r>
          </w:p>
        </w:tc>
      </w:tr>
      <w:tr w:rsidR="00592459" w14:paraId="04B94404" w14:textId="77777777" w:rsidTr="00592459">
        <w:tc>
          <w:tcPr>
            <w:tcW w:w="3008" w:type="pct"/>
            <w:tcBorders>
              <w:top w:val="single" w:sz="4" w:space="0" w:color="auto"/>
              <w:left w:val="nil"/>
              <w:bottom w:val="single" w:sz="4" w:space="0" w:color="auto"/>
              <w:right w:val="nil"/>
            </w:tcBorders>
          </w:tcPr>
          <w:p w14:paraId="304C2326" w14:textId="1639ABF1" w:rsidR="00592459" w:rsidRPr="00230731" w:rsidRDefault="00592459" w:rsidP="00230731">
            <w:pPr>
              <w:pStyle w:val="TableListBullet"/>
            </w:pPr>
            <w:r w:rsidRPr="00230731">
              <w:t>preliminary inquiries</w:t>
            </w:r>
          </w:p>
        </w:tc>
        <w:tc>
          <w:tcPr>
            <w:tcW w:w="664" w:type="pct"/>
            <w:tcBorders>
              <w:top w:val="single" w:sz="4" w:space="0" w:color="auto"/>
              <w:left w:val="nil"/>
              <w:bottom w:val="single" w:sz="4" w:space="0" w:color="auto"/>
              <w:right w:val="nil"/>
            </w:tcBorders>
            <w:shd w:val="clear" w:color="auto" w:fill="F2F2F2" w:themeFill="background1" w:themeFillShade="F2"/>
          </w:tcPr>
          <w:p w14:paraId="73ED2F1F" w14:textId="0279FA87" w:rsidR="00592459" w:rsidRPr="005360C3" w:rsidRDefault="00592459" w:rsidP="00592459">
            <w:pPr>
              <w:pStyle w:val="TableBodyTextrightalign"/>
              <w:rPr>
                <w:highlight w:val="green"/>
              </w:rPr>
            </w:pPr>
            <w:r w:rsidRPr="00254205">
              <w:t>3</w:t>
            </w:r>
          </w:p>
        </w:tc>
        <w:tc>
          <w:tcPr>
            <w:tcW w:w="664" w:type="pct"/>
            <w:tcBorders>
              <w:top w:val="single" w:sz="4" w:space="0" w:color="auto"/>
              <w:left w:val="nil"/>
              <w:bottom w:val="single" w:sz="4" w:space="0" w:color="auto"/>
              <w:right w:val="nil"/>
            </w:tcBorders>
          </w:tcPr>
          <w:p w14:paraId="6D35B74D" w14:textId="4AA3C023" w:rsidR="00592459" w:rsidRPr="005360C3" w:rsidRDefault="00592459" w:rsidP="00592459">
            <w:pPr>
              <w:pStyle w:val="TableBodyTextrightalign"/>
            </w:pPr>
            <w:r w:rsidRPr="00254205">
              <w:t>9</w:t>
            </w:r>
          </w:p>
        </w:tc>
        <w:tc>
          <w:tcPr>
            <w:tcW w:w="664" w:type="pct"/>
            <w:tcBorders>
              <w:top w:val="single" w:sz="4" w:space="0" w:color="auto"/>
              <w:left w:val="nil"/>
              <w:bottom w:val="single" w:sz="4" w:space="0" w:color="auto"/>
              <w:right w:val="nil"/>
            </w:tcBorders>
          </w:tcPr>
          <w:p w14:paraId="40C5F0F2" w14:textId="773286DC" w:rsidR="00592459" w:rsidRPr="005360C3" w:rsidRDefault="00592459" w:rsidP="00592459">
            <w:pPr>
              <w:pStyle w:val="TableBodyTextrightalign"/>
            </w:pPr>
            <w:r w:rsidRPr="00254205">
              <w:t>2</w:t>
            </w:r>
          </w:p>
        </w:tc>
      </w:tr>
      <w:tr w:rsidR="00592459" w14:paraId="6842B2D7" w14:textId="77777777" w:rsidTr="00592459">
        <w:tc>
          <w:tcPr>
            <w:tcW w:w="3008" w:type="pct"/>
            <w:tcBorders>
              <w:top w:val="single" w:sz="4" w:space="0" w:color="auto"/>
              <w:left w:val="nil"/>
              <w:bottom w:val="single" w:sz="4" w:space="0" w:color="auto"/>
              <w:right w:val="nil"/>
            </w:tcBorders>
          </w:tcPr>
          <w:p w14:paraId="52730799" w14:textId="5CBB14B2" w:rsidR="00592459" w:rsidRPr="00230731" w:rsidRDefault="00592459" w:rsidP="00230731">
            <w:pPr>
              <w:pStyle w:val="TableListBullet"/>
            </w:pPr>
            <w:r w:rsidRPr="00230731">
              <w:t>investigations</w:t>
            </w:r>
          </w:p>
        </w:tc>
        <w:tc>
          <w:tcPr>
            <w:tcW w:w="664" w:type="pct"/>
            <w:tcBorders>
              <w:top w:val="single" w:sz="4" w:space="0" w:color="auto"/>
              <w:left w:val="nil"/>
              <w:bottom w:val="single" w:sz="4" w:space="0" w:color="auto"/>
              <w:right w:val="nil"/>
            </w:tcBorders>
            <w:shd w:val="clear" w:color="auto" w:fill="F2F2F2" w:themeFill="background1" w:themeFillShade="F2"/>
          </w:tcPr>
          <w:p w14:paraId="21F750A0" w14:textId="56C384EF" w:rsidR="00592459" w:rsidRPr="005360C3" w:rsidRDefault="00592459" w:rsidP="00592459">
            <w:pPr>
              <w:pStyle w:val="TableBodyTextrightalign"/>
              <w:rPr>
                <w:highlight w:val="green"/>
              </w:rPr>
            </w:pPr>
            <w:r w:rsidRPr="00254205">
              <w:t>7</w:t>
            </w:r>
          </w:p>
        </w:tc>
        <w:tc>
          <w:tcPr>
            <w:tcW w:w="664" w:type="pct"/>
            <w:tcBorders>
              <w:top w:val="single" w:sz="4" w:space="0" w:color="auto"/>
              <w:left w:val="nil"/>
              <w:bottom w:val="single" w:sz="4" w:space="0" w:color="auto"/>
              <w:right w:val="nil"/>
            </w:tcBorders>
          </w:tcPr>
          <w:p w14:paraId="27DCCE03" w14:textId="2BC1B30F" w:rsidR="00592459" w:rsidRPr="005360C3" w:rsidRDefault="00592459" w:rsidP="00592459">
            <w:pPr>
              <w:pStyle w:val="TableBodyTextrightalign"/>
            </w:pPr>
            <w:r w:rsidRPr="00254205">
              <w:t>7</w:t>
            </w:r>
          </w:p>
        </w:tc>
        <w:tc>
          <w:tcPr>
            <w:tcW w:w="664" w:type="pct"/>
            <w:tcBorders>
              <w:top w:val="single" w:sz="4" w:space="0" w:color="auto"/>
              <w:left w:val="nil"/>
              <w:bottom w:val="single" w:sz="4" w:space="0" w:color="auto"/>
              <w:right w:val="nil"/>
            </w:tcBorders>
          </w:tcPr>
          <w:p w14:paraId="5CD8124B" w14:textId="4533E1C9" w:rsidR="00592459" w:rsidRPr="005360C3" w:rsidRDefault="00592459" w:rsidP="00592459">
            <w:pPr>
              <w:pStyle w:val="TableBodyTextrightalign"/>
            </w:pPr>
            <w:r w:rsidRPr="00254205">
              <w:t>17</w:t>
            </w:r>
          </w:p>
        </w:tc>
      </w:tr>
      <w:tr w:rsidR="00BD3955" w14:paraId="39868A87" w14:textId="77777777" w:rsidTr="00592459">
        <w:tc>
          <w:tcPr>
            <w:tcW w:w="3008" w:type="pct"/>
            <w:tcBorders>
              <w:top w:val="single" w:sz="4" w:space="0" w:color="auto"/>
              <w:left w:val="nil"/>
              <w:bottom w:val="single" w:sz="4" w:space="0" w:color="auto"/>
              <w:right w:val="nil"/>
            </w:tcBorders>
          </w:tcPr>
          <w:p w14:paraId="00B2AADB" w14:textId="46627B77" w:rsidR="00BD3955" w:rsidRPr="00230731" w:rsidRDefault="007617FA" w:rsidP="00230731">
            <w:pPr>
              <w:pStyle w:val="TableListBullet"/>
            </w:pPr>
            <w:r>
              <w:t>reviewed by</w:t>
            </w:r>
            <w:r w:rsidR="005215C7" w:rsidRPr="005215C7">
              <w:t xml:space="preserve"> IBAC</w:t>
            </w:r>
          </w:p>
        </w:tc>
        <w:tc>
          <w:tcPr>
            <w:tcW w:w="664" w:type="pct"/>
            <w:tcBorders>
              <w:top w:val="single" w:sz="4" w:space="0" w:color="auto"/>
              <w:left w:val="nil"/>
              <w:bottom w:val="single" w:sz="4" w:space="0" w:color="auto"/>
              <w:right w:val="nil"/>
            </w:tcBorders>
            <w:shd w:val="clear" w:color="auto" w:fill="F2F2F2" w:themeFill="background1" w:themeFillShade="F2"/>
          </w:tcPr>
          <w:p w14:paraId="615155A5" w14:textId="59F94A37" w:rsidR="00BD3955" w:rsidRPr="009504EB" w:rsidRDefault="002901B5" w:rsidP="00BD3955">
            <w:pPr>
              <w:pStyle w:val="TableBodyTextrightalign"/>
            </w:pPr>
            <w:r>
              <w:t>38</w:t>
            </w:r>
          </w:p>
        </w:tc>
        <w:tc>
          <w:tcPr>
            <w:tcW w:w="664" w:type="pct"/>
            <w:tcBorders>
              <w:top w:val="single" w:sz="4" w:space="0" w:color="auto"/>
              <w:left w:val="nil"/>
              <w:bottom w:val="single" w:sz="4" w:space="0" w:color="auto"/>
              <w:right w:val="nil"/>
            </w:tcBorders>
          </w:tcPr>
          <w:p w14:paraId="084F7CBA" w14:textId="645B5010" w:rsidR="00BD3955" w:rsidRPr="009504EB" w:rsidRDefault="002901B5" w:rsidP="00BD3955">
            <w:pPr>
              <w:pStyle w:val="TableBodyTextrightalign"/>
            </w:pPr>
            <w:r>
              <w:t>23</w:t>
            </w:r>
          </w:p>
        </w:tc>
        <w:tc>
          <w:tcPr>
            <w:tcW w:w="664" w:type="pct"/>
            <w:tcBorders>
              <w:top w:val="single" w:sz="4" w:space="0" w:color="auto"/>
              <w:left w:val="nil"/>
              <w:bottom w:val="single" w:sz="4" w:space="0" w:color="auto"/>
              <w:right w:val="nil"/>
            </w:tcBorders>
          </w:tcPr>
          <w:p w14:paraId="6C70AC15" w14:textId="079BE1A5" w:rsidR="00BD3955" w:rsidRPr="009504EB" w:rsidRDefault="002901B5" w:rsidP="00BD3955">
            <w:pPr>
              <w:pStyle w:val="TableBodyTextrightalign"/>
            </w:pPr>
            <w:r>
              <w:t>28</w:t>
            </w:r>
          </w:p>
        </w:tc>
      </w:tr>
    </w:tbl>
    <w:p w14:paraId="1E14F503" w14:textId="1EF9C53D" w:rsidR="009A74E9" w:rsidRPr="007211D6" w:rsidRDefault="00465B9C" w:rsidP="007211D6">
      <w:pPr>
        <w:pStyle w:val="TableNote"/>
      </w:pPr>
      <w:r w:rsidRPr="007211D6">
        <w:t>Notes</w:t>
      </w:r>
    </w:p>
    <w:p w14:paraId="165147AD" w14:textId="17D0C768" w:rsidR="005E2E3E" w:rsidRDefault="00230731" w:rsidP="00230731">
      <w:pPr>
        <w:pStyle w:val="TableNote"/>
      </w:pPr>
      <w:r w:rsidRPr="00230731">
        <w:rPr>
          <w:rStyle w:val="Charactersuperscript"/>
        </w:rPr>
        <w:t>(a)</w:t>
      </w:r>
      <w:r>
        <w:t xml:space="preserve"> </w:t>
      </w:r>
      <w:r w:rsidR="005215C7" w:rsidRPr="005215C7">
        <w:t>PIDs and PID notifications are assessable disclosures under the PID Act received by IBAC or notified to IBAC</w:t>
      </w:r>
      <w:r w:rsidR="00D403F6">
        <w:t>.</w:t>
      </w:r>
      <w:bookmarkStart w:id="112" w:name="_Ref141260773"/>
    </w:p>
    <w:p w14:paraId="1C10349E" w14:textId="1E6FE0E7" w:rsidR="005215C7" w:rsidRDefault="005215C7" w:rsidP="005215C7">
      <w:pPr>
        <w:pStyle w:val="TableNote"/>
      </w:pPr>
      <w:r w:rsidRPr="003965EA">
        <w:rPr>
          <w:rStyle w:val="Charactersuperscript"/>
        </w:rPr>
        <w:t>(b)</w:t>
      </w:r>
      <w:r>
        <w:t xml:space="preserve"> This figure includes 12 complaints or notifications in relation to </w:t>
      </w:r>
      <w:r w:rsidR="00A36322">
        <w:t>OVIC</w:t>
      </w:r>
      <w:r>
        <w:t xml:space="preserve"> or Victorian Ombudsman.</w:t>
      </w:r>
    </w:p>
    <w:p w14:paraId="5293A47D" w14:textId="51FE4A47" w:rsidR="00EF4E7C" w:rsidRDefault="005215C7" w:rsidP="00EF4E7C">
      <w:pPr>
        <w:pStyle w:val="TableNote"/>
      </w:pPr>
      <w:r w:rsidRPr="003965EA">
        <w:rPr>
          <w:rStyle w:val="Charactersuperscript"/>
        </w:rPr>
        <w:t>(c)</w:t>
      </w:r>
      <w:r>
        <w:t xml:space="preserve"> </w:t>
      </w:r>
      <w:r w:rsidR="00EF4E7C">
        <w:t>Warrants investigation or further action includes action by IBAC or another appropriate agency.</w:t>
      </w:r>
    </w:p>
    <w:p w14:paraId="45702EBB" w14:textId="5BE3E918" w:rsidR="00655FB5" w:rsidRPr="00655FB5" w:rsidRDefault="00EF4E7C" w:rsidP="00CA5402">
      <w:pPr>
        <w:pStyle w:val="TableNote"/>
      </w:pPr>
      <w:r w:rsidRPr="00EF4E7C">
        <w:rPr>
          <w:rStyle w:val="Charactersuperscript"/>
        </w:rPr>
        <w:t>(d)</w:t>
      </w:r>
      <w:r>
        <w:t xml:space="preserve">  Review and investigation of matters may arise from a complaint or notification </w:t>
      </w:r>
      <w:r w:rsidR="009E7B24">
        <w:t xml:space="preserve">made in a </w:t>
      </w:r>
      <w:r w:rsidR="00C75961">
        <w:t>d</w:t>
      </w:r>
      <w:r>
        <w:t>different reporting period.</w:t>
      </w:r>
      <w:bookmarkEnd w:id="112"/>
    </w:p>
    <w:p w14:paraId="25EB8BD2" w14:textId="77777777" w:rsidR="00C97CC2" w:rsidRDefault="00C97CC2" w:rsidP="007211D6">
      <w:pPr>
        <w:pStyle w:val="BodyText"/>
      </w:pPr>
      <w:r>
        <w:br w:type="page"/>
      </w:r>
    </w:p>
    <w:p w14:paraId="60E5D2CD" w14:textId="23C05E3A" w:rsidR="00655FB5" w:rsidRPr="00780A69" w:rsidRDefault="00655FB5" w:rsidP="00655FB5">
      <w:pPr>
        <w:pStyle w:val="BodyText"/>
        <w:rPr>
          <w:lang w:eastAsia="en-AU"/>
        </w:rPr>
      </w:pPr>
      <w:r>
        <w:fldChar w:fldCharType="begin"/>
      </w:r>
      <w:r>
        <w:instrText xml:space="preserve"> REF _Ref142851069 \h </w:instrText>
      </w:r>
      <w:r>
        <w:fldChar w:fldCharType="separate"/>
      </w:r>
      <w:r>
        <w:t xml:space="preserve">Table </w:t>
      </w:r>
      <w:r>
        <w:rPr>
          <w:noProof/>
        </w:rPr>
        <w:t>16</w:t>
      </w:r>
      <w:r>
        <w:fldChar w:fldCharType="end"/>
      </w:r>
      <w:r>
        <w:t xml:space="preserve"> </w:t>
      </w:r>
      <w:r w:rsidRPr="005E2E3E">
        <w:t>provides a summary of types of public sector misconduct allegations made.</w:t>
      </w:r>
    </w:p>
    <w:p w14:paraId="3B2DB8D3" w14:textId="73D1820C" w:rsidR="005C5201" w:rsidRDefault="005C5201" w:rsidP="00834775">
      <w:pPr>
        <w:pStyle w:val="Caption"/>
      </w:pPr>
      <w:bookmarkStart w:id="113" w:name="_Ref142851069"/>
      <w:bookmarkStart w:id="114" w:name="_Ref149135872"/>
      <w:r>
        <w:t xml:space="preserve">Table </w:t>
      </w:r>
      <w:r>
        <w:fldChar w:fldCharType="begin"/>
      </w:r>
      <w:r>
        <w:instrText xml:space="preserve"> SEQ Table \* ARABIC </w:instrText>
      </w:r>
      <w:r>
        <w:fldChar w:fldCharType="separate"/>
      </w:r>
      <w:r w:rsidR="00EF6E7F">
        <w:rPr>
          <w:noProof/>
        </w:rPr>
        <w:t>16</w:t>
      </w:r>
      <w:r>
        <w:rPr>
          <w:noProof/>
        </w:rPr>
        <w:fldChar w:fldCharType="end"/>
      </w:r>
      <w:bookmarkEnd w:id="113"/>
      <w:r>
        <w:t xml:space="preserve">: Public sector allegations assessed during </w:t>
      </w:r>
      <w:r w:rsidR="000A1691">
        <w:t>2022/23</w:t>
      </w:r>
      <w:r w:rsidR="00221F4B">
        <w:t>, by issue</w:t>
      </w:r>
      <w:bookmarkEnd w:id="114"/>
    </w:p>
    <w:tbl>
      <w:tblPr>
        <w:tblStyle w:val="CustomTabledetailed"/>
        <w:tblW w:w="3062" w:type="pct"/>
        <w:tblLook w:val="0620" w:firstRow="1" w:lastRow="0" w:firstColumn="0" w:lastColumn="0" w:noHBand="1" w:noVBand="1"/>
      </w:tblPr>
      <w:tblGrid>
        <w:gridCol w:w="2977"/>
        <w:gridCol w:w="2551"/>
      </w:tblGrid>
      <w:tr w:rsidR="005C5201" w14:paraId="5F816512" w14:textId="77777777" w:rsidTr="00CA5402">
        <w:trPr>
          <w:cnfStyle w:val="100000000000" w:firstRow="1" w:lastRow="0" w:firstColumn="0" w:lastColumn="0" w:oddVBand="0" w:evenVBand="0" w:oddHBand="0" w:evenHBand="0" w:firstRowFirstColumn="0" w:firstRowLastColumn="0" w:lastRowFirstColumn="0" w:lastRowLastColumn="0"/>
        </w:trPr>
        <w:tc>
          <w:tcPr>
            <w:tcW w:w="2693" w:type="pct"/>
            <w:tcBorders>
              <w:left w:val="nil"/>
            </w:tcBorders>
            <w:hideMark/>
          </w:tcPr>
          <w:p w14:paraId="237603C1" w14:textId="77777777" w:rsidR="005C5201" w:rsidRDefault="005C5201" w:rsidP="00BF6A0B">
            <w:pPr>
              <w:pStyle w:val="TableHeading1"/>
              <w:rPr>
                <w:lang w:val="en-US"/>
              </w:rPr>
            </w:pPr>
            <w:r>
              <w:t>Classification</w:t>
            </w:r>
          </w:p>
        </w:tc>
        <w:tc>
          <w:tcPr>
            <w:tcW w:w="2307" w:type="pct"/>
            <w:vAlign w:val="center"/>
            <w:hideMark/>
          </w:tcPr>
          <w:p w14:paraId="017ACFC5" w14:textId="133D45E7" w:rsidR="00655FB5" w:rsidRPr="00780A69" w:rsidRDefault="00221F4B" w:rsidP="00780A69">
            <w:pPr>
              <w:pStyle w:val="TableHeading3rightalign"/>
              <w:rPr>
                <w:vertAlign w:val="superscript"/>
              </w:rPr>
            </w:pPr>
            <w:r>
              <w:t>A</w:t>
            </w:r>
            <w:r w:rsidR="000B4E53" w:rsidRPr="000B4E53">
              <w:t>llegations assessed by IBAC</w:t>
            </w:r>
            <w:r w:rsidR="000B4E53" w:rsidRPr="000B4E53" w:rsidDel="000B4E53">
              <w:t xml:space="preserve"> </w:t>
            </w:r>
            <w:r w:rsidR="005C5201" w:rsidRPr="005C5201">
              <w:rPr>
                <w:rStyle w:val="Charactersuperscript"/>
              </w:rPr>
              <w:t>(a)</w:t>
            </w:r>
            <w:r w:rsidR="00655FB5">
              <w:rPr>
                <w:rStyle w:val="Charactersuperscript"/>
              </w:rPr>
              <w:br/>
            </w:r>
            <w:r w:rsidR="006D5151">
              <w:t>(</w:t>
            </w:r>
            <w:r w:rsidR="00655FB5" w:rsidRPr="00780A69">
              <w:t>%</w:t>
            </w:r>
            <w:r w:rsidR="006D5151">
              <w:t>)</w:t>
            </w:r>
          </w:p>
        </w:tc>
      </w:tr>
      <w:tr w:rsidR="00547C24" w14:paraId="302C992D" w14:textId="77777777" w:rsidTr="00CA5402">
        <w:tc>
          <w:tcPr>
            <w:tcW w:w="2693" w:type="pct"/>
            <w:tcBorders>
              <w:top w:val="dotted" w:sz="4" w:space="0" w:color="auto"/>
              <w:left w:val="nil"/>
              <w:bottom w:val="dotted" w:sz="4" w:space="0" w:color="auto"/>
              <w:right w:val="nil"/>
            </w:tcBorders>
            <w:hideMark/>
          </w:tcPr>
          <w:p w14:paraId="020F5FB3" w14:textId="77777777" w:rsidR="00547C24" w:rsidRDefault="00547C24" w:rsidP="00547C24">
            <w:pPr>
              <w:pStyle w:val="TableBodyText"/>
            </w:pPr>
            <w:r>
              <w:t>Breach of professional boundaries</w:t>
            </w:r>
          </w:p>
        </w:tc>
        <w:tc>
          <w:tcPr>
            <w:tcW w:w="2307" w:type="pct"/>
            <w:tcBorders>
              <w:top w:val="dotted" w:sz="4" w:space="0" w:color="auto"/>
              <w:left w:val="nil"/>
              <w:bottom w:val="dotted" w:sz="4" w:space="0" w:color="auto"/>
              <w:right w:val="nil"/>
            </w:tcBorders>
            <w:vAlign w:val="bottom"/>
          </w:tcPr>
          <w:p w14:paraId="22D71425" w14:textId="1522290C" w:rsidR="00547C24" w:rsidRPr="001A1977" w:rsidRDefault="00547C24" w:rsidP="00780A69">
            <w:pPr>
              <w:pStyle w:val="TableBodyTextrightalign"/>
            </w:pPr>
            <w:r>
              <w:t>15.5</w:t>
            </w:r>
          </w:p>
        </w:tc>
      </w:tr>
      <w:tr w:rsidR="00547C24" w14:paraId="0AFE6AD9" w14:textId="77777777" w:rsidTr="00CA5402">
        <w:tc>
          <w:tcPr>
            <w:tcW w:w="2693" w:type="pct"/>
            <w:tcBorders>
              <w:top w:val="dotted" w:sz="4" w:space="0" w:color="auto"/>
              <w:left w:val="nil"/>
              <w:bottom w:val="dotted" w:sz="4" w:space="0" w:color="auto"/>
              <w:right w:val="nil"/>
            </w:tcBorders>
            <w:hideMark/>
          </w:tcPr>
          <w:p w14:paraId="39FD13A3" w14:textId="77777777" w:rsidR="00547C24" w:rsidRDefault="00547C24" w:rsidP="00547C24">
            <w:pPr>
              <w:pStyle w:val="TableBodyText"/>
            </w:pPr>
            <w:r>
              <w:t xml:space="preserve">Bribery and inducements </w:t>
            </w:r>
          </w:p>
        </w:tc>
        <w:tc>
          <w:tcPr>
            <w:tcW w:w="2307" w:type="pct"/>
            <w:tcBorders>
              <w:top w:val="dotted" w:sz="4" w:space="0" w:color="auto"/>
              <w:left w:val="nil"/>
              <w:bottom w:val="dotted" w:sz="4" w:space="0" w:color="auto"/>
              <w:right w:val="nil"/>
            </w:tcBorders>
            <w:vAlign w:val="bottom"/>
          </w:tcPr>
          <w:p w14:paraId="3CE72836" w14:textId="3BBC27EF" w:rsidR="00547C24" w:rsidRPr="001A1977" w:rsidRDefault="00547C24" w:rsidP="00780A69">
            <w:pPr>
              <w:pStyle w:val="TableBodyTextrightalign"/>
            </w:pPr>
            <w:r>
              <w:t>2.3</w:t>
            </w:r>
          </w:p>
        </w:tc>
      </w:tr>
      <w:tr w:rsidR="00547C24" w14:paraId="7056EB58" w14:textId="77777777" w:rsidTr="00CA5402">
        <w:tc>
          <w:tcPr>
            <w:tcW w:w="2693" w:type="pct"/>
            <w:tcBorders>
              <w:top w:val="dotted" w:sz="4" w:space="0" w:color="auto"/>
              <w:left w:val="nil"/>
              <w:bottom w:val="dotted" w:sz="4" w:space="0" w:color="auto"/>
              <w:right w:val="nil"/>
            </w:tcBorders>
            <w:hideMark/>
          </w:tcPr>
          <w:p w14:paraId="5D55C865" w14:textId="77777777" w:rsidR="00547C24" w:rsidRDefault="00547C24" w:rsidP="00547C24">
            <w:pPr>
              <w:pStyle w:val="TableBodyText"/>
            </w:pPr>
            <w:r>
              <w:t>Collusion</w:t>
            </w:r>
          </w:p>
        </w:tc>
        <w:tc>
          <w:tcPr>
            <w:tcW w:w="2307" w:type="pct"/>
            <w:tcBorders>
              <w:top w:val="dotted" w:sz="4" w:space="0" w:color="auto"/>
              <w:left w:val="nil"/>
              <w:bottom w:val="dotted" w:sz="4" w:space="0" w:color="auto"/>
              <w:right w:val="nil"/>
            </w:tcBorders>
            <w:vAlign w:val="bottom"/>
          </w:tcPr>
          <w:p w14:paraId="3EF5A20F" w14:textId="18C9A30B" w:rsidR="00547C24" w:rsidRPr="001A1977" w:rsidRDefault="00547C24" w:rsidP="00780A69">
            <w:pPr>
              <w:pStyle w:val="TableBodyTextrightalign"/>
            </w:pPr>
            <w:r>
              <w:t>5.6</w:t>
            </w:r>
          </w:p>
        </w:tc>
      </w:tr>
      <w:tr w:rsidR="00547C24" w14:paraId="1656968E" w14:textId="77777777" w:rsidTr="00CA5402">
        <w:tc>
          <w:tcPr>
            <w:tcW w:w="2693" w:type="pct"/>
            <w:tcBorders>
              <w:top w:val="dotted" w:sz="4" w:space="0" w:color="auto"/>
              <w:left w:val="nil"/>
              <w:bottom w:val="dotted" w:sz="4" w:space="0" w:color="auto"/>
              <w:right w:val="nil"/>
            </w:tcBorders>
            <w:hideMark/>
          </w:tcPr>
          <w:p w14:paraId="518F7D43" w14:textId="77777777" w:rsidR="00547C24" w:rsidRDefault="00547C24" w:rsidP="00547C24">
            <w:pPr>
              <w:pStyle w:val="TableBodyText"/>
            </w:pPr>
            <w:r>
              <w:t>Criminal behaviour, drugs and vices</w:t>
            </w:r>
          </w:p>
        </w:tc>
        <w:tc>
          <w:tcPr>
            <w:tcW w:w="2307" w:type="pct"/>
            <w:tcBorders>
              <w:top w:val="dotted" w:sz="4" w:space="0" w:color="auto"/>
              <w:left w:val="nil"/>
              <w:bottom w:val="dotted" w:sz="4" w:space="0" w:color="auto"/>
              <w:right w:val="nil"/>
            </w:tcBorders>
            <w:vAlign w:val="bottom"/>
          </w:tcPr>
          <w:p w14:paraId="08C55B92" w14:textId="0B00249A" w:rsidR="00547C24" w:rsidRPr="001A1977" w:rsidRDefault="00547C24" w:rsidP="00780A69">
            <w:pPr>
              <w:pStyle w:val="TableBodyTextrightalign"/>
            </w:pPr>
            <w:r>
              <w:t>3.1</w:t>
            </w:r>
          </w:p>
        </w:tc>
      </w:tr>
      <w:tr w:rsidR="00547C24" w14:paraId="30D75A1A" w14:textId="77777777" w:rsidTr="00CA5402">
        <w:tc>
          <w:tcPr>
            <w:tcW w:w="2693" w:type="pct"/>
            <w:tcBorders>
              <w:top w:val="dotted" w:sz="4" w:space="0" w:color="auto"/>
              <w:left w:val="nil"/>
              <w:bottom w:val="dotted" w:sz="4" w:space="0" w:color="auto"/>
              <w:right w:val="nil"/>
            </w:tcBorders>
            <w:hideMark/>
          </w:tcPr>
          <w:p w14:paraId="12DA8700" w14:textId="77777777" w:rsidR="00547C24" w:rsidRDefault="00547C24" w:rsidP="00547C24">
            <w:pPr>
              <w:pStyle w:val="TableBodyText"/>
            </w:pPr>
            <w:r>
              <w:t>Extortion</w:t>
            </w:r>
          </w:p>
        </w:tc>
        <w:tc>
          <w:tcPr>
            <w:tcW w:w="2307" w:type="pct"/>
            <w:tcBorders>
              <w:top w:val="dotted" w:sz="4" w:space="0" w:color="auto"/>
              <w:left w:val="nil"/>
              <w:bottom w:val="dotted" w:sz="4" w:space="0" w:color="auto"/>
              <w:right w:val="nil"/>
            </w:tcBorders>
            <w:vAlign w:val="bottom"/>
          </w:tcPr>
          <w:p w14:paraId="6479D46E" w14:textId="2EAB188B" w:rsidR="00547C24" w:rsidRPr="001A1977" w:rsidRDefault="00547C24" w:rsidP="00780A69">
            <w:pPr>
              <w:pStyle w:val="TableBodyTextrightalign"/>
            </w:pPr>
            <w:r>
              <w:t>0.3</w:t>
            </w:r>
          </w:p>
        </w:tc>
      </w:tr>
      <w:tr w:rsidR="00547C24" w14:paraId="35B2656B" w14:textId="77777777" w:rsidTr="00CA5402">
        <w:tc>
          <w:tcPr>
            <w:tcW w:w="2693" w:type="pct"/>
            <w:tcBorders>
              <w:top w:val="dotted" w:sz="4" w:space="0" w:color="auto"/>
              <w:left w:val="nil"/>
              <w:bottom w:val="dotted" w:sz="4" w:space="0" w:color="auto"/>
              <w:right w:val="nil"/>
            </w:tcBorders>
            <w:hideMark/>
          </w:tcPr>
          <w:p w14:paraId="50A85EA0" w14:textId="77777777" w:rsidR="00547C24" w:rsidRDefault="00547C24" w:rsidP="00547C24">
            <w:pPr>
              <w:pStyle w:val="TableBodyText"/>
            </w:pPr>
            <w:r>
              <w:t>Favouritism</w:t>
            </w:r>
          </w:p>
        </w:tc>
        <w:tc>
          <w:tcPr>
            <w:tcW w:w="2307" w:type="pct"/>
            <w:tcBorders>
              <w:top w:val="dotted" w:sz="4" w:space="0" w:color="auto"/>
              <w:left w:val="nil"/>
              <w:bottom w:val="dotted" w:sz="4" w:space="0" w:color="auto"/>
              <w:right w:val="nil"/>
            </w:tcBorders>
            <w:vAlign w:val="bottom"/>
          </w:tcPr>
          <w:p w14:paraId="66430F64" w14:textId="159796F4" w:rsidR="00547C24" w:rsidRPr="001A1977" w:rsidRDefault="00547C24" w:rsidP="00780A69">
            <w:pPr>
              <w:pStyle w:val="TableBodyTextrightalign"/>
            </w:pPr>
            <w:r>
              <w:t>11.2</w:t>
            </w:r>
          </w:p>
        </w:tc>
      </w:tr>
      <w:tr w:rsidR="00547C24" w14:paraId="59A55DE2" w14:textId="77777777" w:rsidTr="00CA5402">
        <w:tc>
          <w:tcPr>
            <w:tcW w:w="2693" w:type="pct"/>
            <w:tcBorders>
              <w:top w:val="dotted" w:sz="4" w:space="0" w:color="auto"/>
              <w:left w:val="nil"/>
              <w:bottom w:val="dotted" w:sz="4" w:space="0" w:color="auto"/>
              <w:right w:val="nil"/>
            </w:tcBorders>
            <w:hideMark/>
          </w:tcPr>
          <w:p w14:paraId="17E9778A" w14:textId="77777777" w:rsidR="00547C24" w:rsidRDefault="00547C24" w:rsidP="00547C24">
            <w:pPr>
              <w:pStyle w:val="TableBodyText"/>
            </w:pPr>
            <w:r>
              <w:t>Force</w:t>
            </w:r>
          </w:p>
        </w:tc>
        <w:tc>
          <w:tcPr>
            <w:tcW w:w="2307" w:type="pct"/>
            <w:tcBorders>
              <w:top w:val="dotted" w:sz="4" w:space="0" w:color="auto"/>
              <w:left w:val="nil"/>
              <w:bottom w:val="dotted" w:sz="4" w:space="0" w:color="auto"/>
              <w:right w:val="nil"/>
            </w:tcBorders>
            <w:vAlign w:val="bottom"/>
          </w:tcPr>
          <w:p w14:paraId="729BAF6A" w14:textId="7DF3C343" w:rsidR="00547C24" w:rsidRPr="001A1977" w:rsidRDefault="00547C24" w:rsidP="00780A69">
            <w:pPr>
              <w:pStyle w:val="TableBodyTextrightalign"/>
            </w:pPr>
            <w:r>
              <w:t>4.5</w:t>
            </w:r>
          </w:p>
        </w:tc>
      </w:tr>
      <w:tr w:rsidR="00547C24" w14:paraId="3CDB8191" w14:textId="77777777" w:rsidTr="00CA5402">
        <w:tc>
          <w:tcPr>
            <w:tcW w:w="2693" w:type="pct"/>
            <w:tcBorders>
              <w:top w:val="dotted" w:sz="4" w:space="0" w:color="auto"/>
              <w:left w:val="nil"/>
              <w:bottom w:val="dotted" w:sz="4" w:space="0" w:color="auto"/>
              <w:right w:val="nil"/>
            </w:tcBorders>
            <w:hideMark/>
          </w:tcPr>
          <w:p w14:paraId="380F81FE" w14:textId="77777777" w:rsidR="00547C24" w:rsidRDefault="00547C24" w:rsidP="00547C24">
            <w:pPr>
              <w:pStyle w:val="TableBodyText"/>
            </w:pPr>
            <w:r>
              <w:t>Fraud</w:t>
            </w:r>
          </w:p>
        </w:tc>
        <w:tc>
          <w:tcPr>
            <w:tcW w:w="2307" w:type="pct"/>
            <w:tcBorders>
              <w:top w:val="dotted" w:sz="4" w:space="0" w:color="auto"/>
              <w:left w:val="nil"/>
              <w:bottom w:val="dotted" w:sz="4" w:space="0" w:color="auto"/>
              <w:right w:val="nil"/>
            </w:tcBorders>
            <w:vAlign w:val="bottom"/>
          </w:tcPr>
          <w:p w14:paraId="45FAAD69" w14:textId="4BB8C59B" w:rsidR="00547C24" w:rsidRPr="001A1977" w:rsidRDefault="00547C24" w:rsidP="00780A69">
            <w:pPr>
              <w:pStyle w:val="TableBodyTextrightalign"/>
            </w:pPr>
            <w:r>
              <w:t>5.0</w:t>
            </w:r>
          </w:p>
        </w:tc>
      </w:tr>
      <w:tr w:rsidR="00547C24" w14:paraId="70CCF8CE" w14:textId="77777777" w:rsidTr="00CA5402">
        <w:tc>
          <w:tcPr>
            <w:tcW w:w="2693" w:type="pct"/>
            <w:tcBorders>
              <w:top w:val="dotted" w:sz="4" w:space="0" w:color="auto"/>
              <w:left w:val="nil"/>
              <w:bottom w:val="dotted" w:sz="4" w:space="0" w:color="auto"/>
              <w:right w:val="nil"/>
            </w:tcBorders>
            <w:hideMark/>
          </w:tcPr>
          <w:p w14:paraId="4C066B25" w14:textId="77777777" w:rsidR="00547C24" w:rsidRDefault="00547C24" w:rsidP="00547C24">
            <w:pPr>
              <w:pStyle w:val="TableBodyText"/>
            </w:pPr>
            <w:r>
              <w:t>Inaction</w:t>
            </w:r>
          </w:p>
        </w:tc>
        <w:tc>
          <w:tcPr>
            <w:tcW w:w="2307" w:type="pct"/>
            <w:tcBorders>
              <w:top w:val="dotted" w:sz="4" w:space="0" w:color="auto"/>
              <w:left w:val="nil"/>
              <w:bottom w:val="dotted" w:sz="4" w:space="0" w:color="auto"/>
              <w:right w:val="nil"/>
            </w:tcBorders>
            <w:vAlign w:val="bottom"/>
          </w:tcPr>
          <w:p w14:paraId="2D49519E" w14:textId="1C01092E" w:rsidR="00547C24" w:rsidRPr="001A1977" w:rsidRDefault="00547C24" w:rsidP="00780A69">
            <w:pPr>
              <w:pStyle w:val="TableBodyTextrightalign"/>
            </w:pPr>
            <w:r>
              <w:t>29.1</w:t>
            </w:r>
          </w:p>
        </w:tc>
      </w:tr>
      <w:tr w:rsidR="00547C24" w14:paraId="1C76A509" w14:textId="77777777" w:rsidTr="00CA5402">
        <w:tc>
          <w:tcPr>
            <w:tcW w:w="2693" w:type="pct"/>
            <w:tcBorders>
              <w:top w:val="dotted" w:sz="4" w:space="0" w:color="auto"/>
              <w:left w:val="nil"/>
              <w:bottom w:val="dotted" w:sz="4" w:space="0" w:color="auto"/>
              <w:right w:val="nil"/>
            </w:tcBorders>
            <w:hideMark/>
          </w:tcPr>
          <w:p w14:paraId="0271F1F2" w14:textId="77777777" w:rsidR="00547C24" w:rsidRDefault="00547C24" w:rsidP="00547C24">
            <w:pPr>
              <w:pStyle w:val="TableBodyText"/>
            </w:pPr>
            <w:r>
              <w:t>Misuse of resources</w:t>
            </w:r>
          </w:p>
        </w:tc>
        <w:tc>
          <w:tcPr>
            <w:tcW w:w="2307" w:type="pct"/>
            <w:tcBorders>
              <w:top w:val="dotted" w:sz="4" w:space="0" w:color="auto"/>
              <w:left w:val="nil"/>
              <w:bottom w:val="dotted" w:sz="4" w:space="0" w:color="auto"/>
              <w:right w:val="nil"/>
            </w:tcBorders>
            <w:vAlign w:val="bottom"/>
          </w:tcPr>
          <w:p w14:paraId="685B952C" w14:textId="0CF6DABD" w:rsidR="00547C24" w:rsidRPr="001A1977" w:rsidRDefault="00547C24" w:rsidP="00780A69">
            <w:pPr>
              <w:pStyle w:val="TableBodyTextrightalign"/>
            </w:pPr>
            <w:r>
              <w:t>9.4</w:t>
            </w:r>
          </w:p>
        </w:tc>
      </w:tr>
      <w:tr w:rsidR="00547C24" w14:paraId="4EFD0F6D" w14:textId="77777777" w:rsidTr="00CA5402">
        <w:tc>
          <w:tcPr>
            <w:tcW w:w="2693" w:type="pct"/>
            <w:tcBorders>
              <w:top w:val="dotted" w:sz="4" w:space="0" w:color="auto"/>
              <w:left w:val="nil"/>
              <w:bottom w:val="dotted" w:sz="4" w:space="0" w:color="auto"/>
              <w:right w:val="nil"/>
            </w:tcBorders>
            <w:hideMark/>
          </w:tcPr>
          <w:p w14:paraId="0EA611E8" w14:textId="77777777" w:rsidR="00547C24" w:rsidRDefault="00547C24" w:rsidP="00547C24">
            <w:pPr>
              <w:pStyle w:val="TableBodyText"/>
            </w:pPr>
            <w:r>
              <w:t>Not in jurisdiction</w:t>
            </w:r>
          </w:p>
        </w:tc>
        <w:tc>
          <w:tcPr>
            <w:tcW w:w="2307" w:type="pct"/>
            <w:tcBorders>
              <w:top w:val="dotted" w:sz="4" w:space="0" w:color="auto"/>
              <w:left w:val="nil"/>
              <w:bottom w:val="dotted" w:sz="4" w:space="0" w:color="auto"/>
              <w:right w:val="nil"/>
            </w:tcBorders>
            <w:vAlign w:val="bottom"/>
          </w:tcPr>
          <w:p w14:paraId="14099746" w14:textId="34169EEF" w:rsidR="00547C24" w:rsidRPr="001A1977" w:rsidRDefault="00547C24" w:rsidP="00780A69">
            <w:pPr>
              <w:pStyle w:val="TableBodyTextrightalign"/>
            </w:pPr>
            <w:r>
              <w:t>6.5</w:t>
            </w:r>
          </w:p>
        </w:tc>
      </w:tr>
      <w:tr w:rsidR="00547C24" w14:paraId="5DA670A9" w14:textId="77777777" w:rsidTr="00CA5402">
        <w:tc>
          <w:tcPr>
            <w:tcW w:w="2693" w:type="pct"/>
            <w:tcBorders>
              <w:top w:val="dotted" w:sz="4" w:space="0" w:color="auto"/>
              <w:left w:val="nil"/>
              <w:bottom w:val="dotted" w:sz="4" w:space="0" w:color="auto"/>
              <w:right w:val="nil"/>
            </w:tcBorders>
            <w:hideMark/>
          </w:tcPr>
          <w:p w14:paraId="5D45AEE0" w14:textId="77777777" w:rsidR="00547C24" w:rsidRDefault="00547C24" w:rsidP="00547C24">
            <w:pPr>
              <w:pStyle w:val="TableBodyText"/>
            </w:pPr>
            <w:r>
              <w:t>Obstruction of justice</w:t>
            </w:r>
          </w:p>
        </w:tc>
        <w:tc>
          <w:tcPr>
            <w:tcW w:w="2307" w:type="pct"/>
            <w:tcBorders>
              <w:top w:val="dotted" w:sz="4" w:space="0" w:color="auto"/>
              <w:left w:val="nil"/>
              <w:bottom w:val="dotted" w:sz="4" w:space="0" w:color="auto"/>
              <w:right w:val="nil"/>
            </w:tcBorders>
            <w:vAlign w:val="bottom"/>
          </w:tcPr>
          <w:p w14:paraId="55529EE4" w14:textId="62D9D841" w:rsidR="00547C24" w:rsidRPr="001A1977" w:rsidRDefault="00547C24" w:rsidP="00780A69">
            <w:pPr>
              <w:pStyle w:val="TableBodyTextrightalign"/>
            </w:pPr>
            <w:r>
              <w:t>5.5</w:t>
            </w:r>
          </w:p>
        </w:tc>
      </w:tr>
      <w:tr w:rsidR="00547C24" w14:paraId="248CF92A" w14:textId="77777777" w:rsidTr="00CA5402">
        <w:tc>
          <w:tcPr>
            <w:tcW w:w="2693" w:type="pct"/>
            <w:tcBorders>
              <w:top w:val="dotted" w:sz="4" w:space="0" w:color="auto"/>
              <w:left w:val="nil"/>
              <w:bottom w:val="dotted" w:sz="4" w:space="0" w:color="auto"/>
              <w:right w:val="nil"/>
            </w:tcBorders>
            <w:hideMark/>
          </w:tcPr>
          <w:p w14:paraId="553CE972" w14:textId="77777777" w:rsidR="00547C24" w:rsidRDefault="00547C24" w:rsidP="00547C24">
            <w:pPr>
              <w:pStyle w:val="TableBodyText"/>
            </w:pPr>
            <w:r>
              <w:t>Theft</w:t>
            </w:r>
          </w:p>
        </w:tc>
        <w:tc>
          <w:tcPr>
            <w:tcW w:w="2307" w:type="pct"/>
            <w:tcBorders>
              <w:top w:val="dotted" w:sz="4" w:space="0" w:color="auto"/>
              <w:left w:val="nil"/>
              <w:bottom w:val="dotted" w:sz="4" w:space="0" w:color="auto"/>
              <w:right w:val="nil"/>
            </w:tcBorders>
            <w:vAlign w:val="bottom"/>
          </w:tcPr>
          <w:p w14:paraId="1CD4A364" w14:textId="48AB99BD" w:rsidR="00547C24" w:rsidRPr="001A1977" w:rsidRDefault="00547C24" w:rsidP="00780A69">
            <w:pPr>
              <w:pStyle w:val="TableBodyTextrightalign"/>
            </w:pPr>
            <w:r>
              <w:t>2.0</w:t>
            </w:r>
          </w:p>
        </w:tc>
      </w:tr>
    </w:tbl>
    <w:p w14:paraId="29182EB1" w14:textId="67A437AE" w:rsidR="005C5201" w:rsidRDefault="00465B9C" w:rsidP="005C5201">
      <w:pPr>
        <w:pStyle w:val="TableNote"/>
      </w:pPr>
      <w:r>
        <w:t>Notes</w:t>
      </w:r>
    </w:p>
    <w:p w14:paraId="1FC414F1" w14:textId="0A75207C" w:rsidR="005C5201" w:rsidRDefault="005C5201" w:rsidP="005C5201">
      <w:pPr>
        <w:pStyle w:val="TableNote"/>
      </w:pPr>
      <w:r>
        <w:rPr>
          <w:rStyle w:val="Charactersuperscript"/>
        </w:rPr>
        <w:t>(a)</w:t>
      </w:r>
      <w:r>
        <w:t xml:space="preserve"> Includes ‘local government’ and ‘other’.</w:t>
      </w:r>
    </w:p>
    <w:p w14:paraId="589B34D2" w14:textId="7B594B57" w:rsidR="005E2E3E" w:rsidRPr="009B3A3C" w:rsidRDefault="005E2E3E" w:rsidP="009B3A3C">
      <w:pPr>
        <w:pStyle w:val="TableNote"/>
      </w:pPr>
    </w:p>
    <w:p w14:paraId="6A7E785E" w14:textId="54236B5E" w:rsidR="005E2E3E" w:rsidRDefault="005E2E3E" w:rsidP="00B07072">
      <w:pPr>
        <w:pStyle w:val="Heading4"/>
      </w:pPr>
      <w:r>
        <w:t>Investigations</w:t>
      </w:r>
    </w:p>
    <w:p w14:paraId="04884ED3" w14:textId="77777777" w:rsidR="005E2E3E" w:rsidRPr="005E2E3E" w:rsidRDefault="005E2E3E" w:rsidP="005E2E3E">
      <w:pPr>
        <w:pStyle w:val="BodyText"/>
      </w:pPr>
      <w:r w:rsidRPr="005E2E3E">
        <w:t>Our objectives for investigations in relation to the public sector</w:t>
      </w:r>
      <w:r w:rsidRPr="005E2E3E" w:rsidDel="00625A6B">
        <w:t xml:space="preserve"> </w:t>
      </w:r>
      <w:r w:rsidRPr="005E2E3E">
        <w:t>are to:</w:t>
      </w:r>
    </w:p>
    <w:p w14:paraId="7C44A8E0" w14:textId="77777777" w:rsidR="005E2E3E" w:rsidRPr="005E2E3E" w:rsidRDefault="005E2E3E" w:rsidP="00065478">
      <w:pPr>
        <w:pStyle w:val="ListBullet"/>
      </w:pPr>
      <w:r w:rsidRPr="005E2E3E">
        <w:t>identify, investigate and expose corrupt conduct</w:t>
      </w:r>
    </w:p>
    <w:p w14:paraId="710F8A5D" w14:textId="77777777" w:rsidR="005E2E3E" w:rsidRPr="005E2E3E" w:rsidRDefault="005E2E3E" w:rsidP="00065478">
      <w:pPr>
        <w:pStyle w:val="ListBullet"/>
      </w:pPr>
      <w:r w:rsidRPr="005E2E3E">
        <w:t xml:space="preserve">prioritise the investigation and exposure of serious or systemic corruption. </w:t>
      </w:r>
    </w:p>
    <w:p w14:paraId="1A656227" w14:textId="77777777" w:rsidR="00DD4ED0" w:rsidRDefault="00DD4ED0" w:rsidP="005E2E3E">
      <w:pPr>
        <w:pStyle w:val="BodyText"/>
      </w:pPr>
      <w:r w:rsidRPr="00DD4ED0">
        <w:t xml:space="preserve">More information about the investigation of public sector corruption is available on the IBAC website (www.ibac.vic.gov.au/what-we-investigate). </w:t>
      </w:r>
    </w:p>
    <w:p w14:paraId="270C6E59" w14:textId="7A399818" w:rsidR="005E2E3E" w:rsidRPr="005E2E3E" w:rsidRDefault="005E2E3E" w:rsidP="005E2E3E">
      <w:pPr>
        <w:pStyle w:val="BodyText"/>
      </w:pPr>
      <w:r w:rsidRPr="005E2E3E">
        <w:t xml:space="preserve">In </w:t>
      </w:r>
      <w:r w:rsidR="000A1691">
        <w:t>2022/23</w:t>
      </w:r>
      <w:r w:rsidRPr="005E2E3E">
        <w:t xml:space="preserve">, IBAC commenced </w:t>
      </w:r>
      <w:r w:rsidR="00960D5E">
        <w:t>seven</w:t>
      </w:r>
      <w:r w:rsidRPr="005E2E3E">
        <w:t xml:space="preserve"> public sector investigations and </w:t>
      </w:r>
      <w:r w:rsidR="00CC22A2">
        <w:t>10</w:t>
      </w:r>
      <w:r w:rsidRPr="005E2E3E">
        <w:t xml:space="preserve"> preliminary inquiries and completed </w:t>
      </w:r>
      <w:r w:rsidR="00054E66">
        <w:t>nine</w:t>
      </w:r>
      <w:r w:rsidRPr="005E2E3E">
        <w:t xml:space="preserve"> investigations and </w:t>
      </w:r>
      <w:r w:rsidR="0091577F">
        <w:t>six</w:t>
      </w:r>
      <w:r w:rsidRPr="005E2E3E">
        <w:t xml:space="preserve"> preliminary inquiries. </w:t>
      </w:r>
      <w:r w:rsidR="00065478">
        <w:fldChar w:fldCharType="begin"/>
      </w:r>
      <w:r w:rsidR="00065478">
        <w:instrText xml:space="preserve"> REF _Ref141261985 \h </w:instrText>
      </w:r>
      <w:r w:rsidR="00065478">
        <w:fldChar w:fldCharType="separate"/>
      </w:r>
      <w:r w:rsidR="00864644">
        <w:t xml:space="preserve">Table </w:t>
      </w:r>
      <w:r w:rsidR="00864644">
        <w:rPr>
          <w:noProof/>
        </w:rPr>
        <w:t>17</w:t>
      </w:r>
      <w:r w:rsidR="00065478">
        <w:fldChar w:fldCharType="end"/>
      </w:r>
      <w:r w:rsidRPr="005E2E3E">
        <w:t xml:space="preserve"> summarises IBAC investigations and preliminary inquiries that began or were completed during </w:t>
      </w:r>
      <w:r w:rsidR="000A1691">
        <w:t>2022/23</w:t>
      </w:r>
      <w:r w:rsidRPr="005E2E3E">
        <w:t>, and those that remained open at the end of the year.</w:t>
      </w:r>
    </w:p>
    <w:p w14:paraId="225CDD72" w14:textId="1D632F1F" w:rsidR="00065478" w:rsidRDefault="00065478" w:rsidP="00834775">
      <w:pPr>
        <w:pStyle w:val="Caption"/>
      </w:pPr>
      <w:bookmarkStart w:id="115" w:name="_Ref141261985"/>
      <w:bookmarkStart w:id="116" w:name="_Ref149135874"/>
      <w:r>
        <w:t xml:space="preserve">Table </w:t>
      </w:r>
      <w:r>
        <w:fldChar w:fldCharType="begin"/>
      </w:r>
      <w:r>
        <w:instrText xml:space="preserve"> SEQ Table \* ARABIC </w:instrText>
      </w:r>
      <w:r>
        <w:fldChar w:fldCharType="separate"/>
      </w:r>
      <w:r w:rsidR="008815A4">
        <w:rPr>
          <w:noProof/>
        </w:rPr>
        <w:t>17</w:t>
      </w:r>
      <w:r>
        <w:fldChar w:fldCharType="end"/>
      </w:r>
      <w:bookmarkEnd w:id="115"/>
      <w:r>
        <w:t xml:space="preserve">: </w:t>
      </w:r>
      <w:r w:rsidRPr="000451FE">
        <w:t xml:space="preserve">Investigations and preliminary inquiries – </w:t>
      </w:r>
      <w:r>
        <w:t>p</w:t>
      </w:r>
      <w:r w:rsidRPr="000451FE">
        <w:t>ublic sector</w:t>
      </w:r>
      <w:bookmarkEnd w:id="116"/>
    </w:p>
    <w:tbl>
      <w:tblPr>
        <w:tblStyle w:val="CustomTablestandard"/>
        <w:tblW w:w="3769" w:type="pct"/>
        <w:tblLook w:val="04E0" w:firstRow="1" w:lastRow="1" w:firstColumn="1" w:lastColumn="0" w:noHBand="0" w:noVBand="1"/>
      </w:tblPr>
      <w:tblGrid>
        <w:gridCol w:w="5530"/>
        <w:gridCol w:w="1275"/>
      </w:tblGrid>
      <w:tr w:rsidR="00C30C6B" w14:paraId="74B4049A" w14:textId="77777777" w:rsidTr="00AC53AD">
        <w:trPr>
          <w:cnfStyle w:val="100000000000" w:firstRow="1" w:lastRow="0" w:firstColumn="0" w:lastColumn="0" w:oddVBand="0" w:evenVBand="0" w:oddHBand="0" w:evenHBand="0" w:firstRowFirstColumn="0" w:firstRowLastColumn="0" w:lastRowFirstColumn="0" w:lastRowLastColumn="0"/>
        </w:trPr>
        <w:tc>
          <w:tcPr>
            <w:tcW w:w="4063" w:type="pct"/>
            <w:tcBorders>
              <w:left w:val="nil"/>
            </w:tcBorders>
          </w:tcPr>
          <w:p w14:paraId="3E19BE62" w14:textId="77777777" w:rsidR="00C30C6B" w:rsidRPr="005E2E3E" w:rsidRDefault="00C30C6B" w:rsidP="00CA5402">
            <w:pPr>
              <w:pStyle w:val="TableHeading1"/>
            </w:pPr>
          </w:p>
        </w:tc>
        <w:tc>
          <w:tcPr>
            <w:tcW w:w="937" w:type="pct"/>
            <w:hideMark/>
          </w:tcPr>
          <w:p w14:paraId="7CA97F1A" w14:textId="0F50AB7B" w:rsidR="00C30C6B" w:rsidRPr="005E2E3E" w:rsidRDefault="000A1691" w:rsidP="005E2E3E">
            <w:pPr>
              <w:pStyle w:val="TableHeading3rightalign"/>
            </w:pPr>
            <w:r>
              <w:t>2022/23</w:t>
            </w:r>
          </w:p>
        </w:tc>
      </w:tr>
      <w:tr w:rsidR="00C30C6B" w14:paraId="372EF2C5" w14:textId="77777777" w:rsidTr="00AC53AD">
        <w:tc>
          <w:tcPr>
            <w:tcW w:w="4063" w:type="pct"/>
            <w:tcBorders>
              <w:top w:val="single" w:sz="4" w:space="0" w:color="auto"/>
              <w:left w:val="nil"/>
              <w:bottom w:val="single" w:sz="4" w:space="0" w:color="auto"/>
              <w:right w:val="nil"/>
            </w:tcBorders>
            <w:hideMark/>
          </w:tcPr>
          <w:p w14:paraId="39217A83" w14:textId="185ADEA3" w:rsidR="00C30C6B" w:rsidRPr="005E2E3E" w:rsidRDefault="00C30C6B" w:rsidP="005E2E3E">
            <w:pPr>
              <w:pStyle w:val="TableBodyText"/>
            </w:pPr>
            <w:r w:rsidRPr="005E2E3E">
              <w:t>Preliminary inquiries commenced</w:t>
            </w:r>
            <w:r w:rsidR="00A57F2C">
              <w:rPr>
                <w:rStyle w:val="Charactersuperscript"/>
                <w:lang w:eastAsia="en-US"/>
              </w:rPr>
              <w:t>(a)</w:t>
            </w:r>
          </w:p>
        </w:tc>
        <w:tc>
          <w:tcPr>
            <w:tcW w:w="937" w:type="pct"/>
            <w:tcBorders>
              <w:top w:val="single" w:sz="4" w:space="0" w:color="auto"/>
              <w:left w:val="nil"/>
              <w:bottom w:val="single" w:sz="4" w:space="0" w:color="auto"/>
              <w:right w:val="nil"/>
            </w:tcBorders>
            <w:shd w:val="clear" w:color="auto" w:fill="F2F2F2" w:themeFill="background1" w:themeFillShade="F2"/>
          </w:tcPr>
          <w:p w14:paraId="5465C316" w14:textId="34F2AC52" w:rsidR="00C30C6B" w:rsidRPr="008815A4" w:rsidRDefault="002F1C14" w:rsidP="008815A4">
            <w:pPr>
              <w:pStyle w:val="TableBodyTextrightalign"/>
              <w:rPr>
                <w:rStyle w:val="Characterbold"/>
                <w:b w:val="0"/>
              </w:rPr>
            </w:pPr>
            <w:r>
              <w:t>10</w:t>
            </w:r>
          </w:p>
        </w:tc>
      </w:tr>
      <w:tr w:rsidR="00C30C6B" w14:paraId="028FE682" w14:textId="77777777" w:rsidTr="00AC53AD">
        <w:tc>
          <w:tcPr>
            <w:tcW w:w="4063" w:type="pct"/>
            <w:tcBorders>
              <w:top w:val="single" w:sz="4" w:space="0" w:color="auto"/>
              <w:left w:val="nil"/>
              <w:bottom w:val="single" w:sz="4" w:space="0" w:color="auto"/>
              <w:right w:val="nil"/>
            </w:tcBorders>
          </w:tcPr>
          <w:p w14:paraId="1F242E95" w14:textId="7A9884FE" w:rsidR="00C30C6B" w:rsidRPr="005E2E3E" w:rsidRDefault="00C30C6B" w:rsidP="005E2E3E">
            <w:pPr>
              <w:pStyle w:val="TableBodyText"/>
            </w:pPr>
            <w:r w:rsidRPr="005E2E3E">
              <w:t>Investigations commenced</w:t>
            </w:r>
            <w:r w:rsidR="00A57F2C">
              <w:rPr>
                <w:rStyle w:val="Charactersuperscript"/>
                <w:lang w:eastAsia="en-US"/>
              </w:rPr>
              <w:t>(a)</w:t>
            </w:r>
          </w:p>
        </w:tc>
        <w:tc>
          <w:tcPr>
            <w:tcW w:w="937" w:type="pct"/>
            <w:tcBorders>
              <w:top w:val="single" w:sz="4" w:space="0" w:color="auto"/>
              <w:left w:val="nil"/>
              <w:bottom w:val="single" w:sz="4" w:space="0" w:color="auto"/>
              <w:right w:val="nil"/>
            </w:tcBorders>
            <w:shd w:val="clear" w:color="auto" w:fill="F2F2F2" w:themeFill="background1" w:themeFillShade="F2"/>
          </w:tcPr>
          <w:p w14:paraId="4A1BDAC0" w14:textId="70CDBBF7" w:rsidR="00C30C6B" w:rsidRPr="008815A4" w:rsidRDefault="002F1C14" w:rsidP="008815A4">
            <w:pPr>
              <w:pStyle w:val="TableBodyTextrightalign"/>
            </w:pPr>
            <w:r>
              <w:t>7</w:t>
            </w:r>
          </w:p>
        </w:tc>
      </w:tr>
      <w:tr w:rsidR="00C30C6B" w14:paraId="64F4F6B1" w14:textId="77777777" w:rsidTr="00AC53AD">
        <w:tc>
          <w:tcPr>
            <w:tcW w:w="4063" w:type="pct"/>
            <w:tcBorders>
              <w:top w:val="single" w:sz="4" w:space="0" w:color="auto"/>
              <w:left w:val="nil"/>
              <w:bottom w:val="single" w:sz="4" w:space="0" w:color="auto"/>
              <w:right w:val="nil"/>
            </w:tcBorders>
            <w:hideMark/>
          </w:tcPr>
          <w:p w14:paraId="658AB9C7" w14:textId="77777777" w:rsidR="00C30C6B" w:rsidRPr="005E2E3E" w:rsidRDefault="00C30C6B" w:rsidP="005E2E3E">
            <w:pPr>
              <w:pStyle w:val="TableListBullet"/>
              <w:numPr>
                <w:ilvl w:val="0"/>
                <w:numId w:val="5"/>
              </w:numPr>
            </w:pPr>
            <w:r w:rsidRPr="005E2E3E">
              <w:t>Standard investigations commenced</w:t>
            </w:r>
          </w:p>
        </w:tc>
        <w:tc>
          <w:tcPr>
            <w:tcW w:w="937" w:type="pct"/>
            <w:tcBorders>
              <w:top w:val="single" w:sz="4" w:space="0" w:color="auto"/>
              <w:left w:val="nil"/>
              <w:bottom w:val="single" w:sz="4" w:space="0" w:color="auto"/>
              <w:right w:val="nil"/>
            </w:tcBorders>
            <w:shd w:val="clear" w:color="auto" w:fill="F2F2F2" w:themeFill="background1" w:themeFillShade="F2"/>
          </w:tcPr>
          <w:p w14:paraId="1605FC1D" w14:textId="6FFDF0C2" w:rsidR="00C30C6B" w:rsidRPr="008815A4" w:rsidRDefault="002F1C14" w:rsidP="008815A4">
            <w:pPr>
              <w:pStyle w:val="TableBodyTextrightalign"/>
              <w:rPr>
                <w:rStyle w:val="Characterbold"/>
                <w:b w:val="0"/>
              </w:rPr>
            </w:pPr>
            <w:r>
              <w:t>2</w:t>
            </w:r>
          </w:p>
        </w:tc>
      </w:tr>
      <w:tr w:rsidR="00C30C6B" w14:paraId="66F3916B" w14:textId="77777777" w:rsidTr="00AC53AD">
        <w:tc>
          <w:tcPr>
            <w:tcW w:w="4063" w:type="pct"/>
            <w:tcBorders>
              <w:top w:val="single" w:sz="4" w:space="0" w:color="auto"/>
              <w:left w:val="nil"/>
              <w:bottom w:val="single" w:sz="4" w:space="0" w:color="auto"/>
              <w:right w:val="nil"/>
            </w:tcBorders>
            <w:hideMark/>
          </w:tcPr>
          <w:p w14:paraId="24A8D48C" w14:textId="77777777" w:rsidR="00C30C6B" w:rsidRPr="005E2E3E" w:rsidRDefault="00C30C6B" w:rsidP="005E2E3E">
            <w:pPr>
              <w:pStyle w:val="TableListBullet"/>
              <w:numPr>
                <w:ilvl w:val="0"/>
                <w:numId w:val="5"/>
              </w:numPr>
            </w:pPr>
            <w:r w:rsidRPr="005E2E3E">
              <w:t>Complex investigations commenced</w:t>
            </w:r>
          </w:p>
        </w:tc>
        <w:tc>
          <w:tcPr>
            <w:tcW w:w="937" w:type="pct"/>
            <w:tcBorders>
              <w:top w:val="single" w:sz="4" w:space="0" w:color="auto"/>
              <w:left w:val="nil"/>
              <w:bottom w:val="single" w:sz="4" w:space="0" w:color="auto"/>
              <w:right w:val="nil"/>
            </w:tcBorders>
            <w:shd w:val="clear" w:color="auto" w:fill="F2F2F2" w:themeFill="background1" w:themeFillShade="F2"/>
          </w:tcPr>
          <w:p w14:paraId="7BEEB614" w14:textId="6F842221" w:rsidR="00C30C6B" w:rsidRPr="008815A4" w:rsidRDefault="00401643" w:rsidP="008815A4">
            <w:pPr>
              <w:pStyle w:val="TableBodyTextrightalign"/>
              <w:rPr>
                <w:rStyle w:val="Characterbold"/>
                <w:b w:val="0"/>
              </w:rPr>
            </w:pPr>
            <w:r w:rsidRPr="008815A4">
              <w:t>5</w:t>
            </w:r>
          </w:p>
        </w:tc>
      </w:tr>
      <w:tr w:rsidR="00C30C6B" w14:paraId="71AC5E66" w14:textId="77777777" w:rsidTr="00AC53AD">
        <w:tc>
          <w:tcPr>
            <w:tcW w:w="4063" w:type="pct"/>
            <w:tcBorders>
              <w:top w:val="single" w:sz="4" w:space="0" w:color="auto"/>
              <w:left w:val="nil"/>
              <w:bottom w:val="single" w:sz="4" w:space="0" w:color="auto"/>
              <w:right w:val="nil"/>
            </w:tcBorders>
          </w:tcPr>
          <w:p w14:paraId="291E915C" w14:textId="77777777" w:rsidR="00C30C6B" w:rsidRPr="005E2E3E" w:rsidRDefault="00C30C6B" w:rsidP="00AC53AD">
            <w:pPr>
              <w:pStyle w:val="TableBodyText"/>
            </w:pPr>
            <w:r w:rsidRPr="005E2E3E">
              <w:t>Preliminary inquiries completed</w:t>
            </w:r>
          </w:p>
        </w:tc>
        <w:tc>
          <w:tcPr>
            <w:tcW w:w="937" w:type="pct"/>
            <w:tcBorders>
              <w:top w:val="single" w:sz="4" w:space="0" w:color="auto"/>
              <w:left w:val="nil"/>
              <w:bottom w:val="single" w:sz="4" w:space="0" w:color="auto"/>
              <w:right w:val="nil"/>
            </w:tcBorders>
            <w:shd w:val="clear" w:color="auto" w:fill="F2F2F2" w:themeFill="background1" w:themeFillShade="F2"/>
          </w:tcPr>
          <w:p w14:paraId="14BB47F2" w14:textId="7D897DB1" w:rsidR="00C30C6B" w:rsidRPr="008815A4" w:rsidRDefault="00846189" w:rsidP="008815A4">
            <w:pPr>
              <w:pStyle w:val="TableBodyTextrightalign"/>
            </w:pPr>
            <w:r w:rsidRPr="008815A4">
              <w:t>6</w:t>
            </w:r>
          </w:p>
        </w:tc>
      </w:tr>
      <w:tr w:rsidR="00C30C6B" w14:paraId="65DA8CE4" w14:textId="77777777" w:rsidTr="00AC53AD">
        <w:tc>
          <w:tcPr>
            <w:tcW w:w="4063" w:type="pct"/>
            <w:tcBorders>
              <w:top w:val="single" w:sz="4" w:space="0" w:color="auto"/>
              <w:left w:val="nil"/>
              <w:bottom w:val="single" w:sz="4" w:space="0" w:color="auto"/>
              <w:right w:val="nil"/>
            </w:tcBorders>
          </w:tcPr>
          <w:p w14:paraId="7CAE686F" w14:textId="77777777" w:rsidR="00C30C6B" w:rsidRPr="005E2E3E" w:rsidRDefault="00C30C6B" w:rsidP="00AC53AD">
            <w:pPr>
              <w:pStyle w:val="TableBodyText"/>
            </w:pPr>
            <w:r w:rsidRPr="005E2E3E">
              <w:t>Investigations completed</w:t>
            </w:r>
          </w:p>
        </w:tc>
        <w:tc>
          <w:tcPr>
            <w:tcW w:w="937" w:type="pct"/>
            <w:tcBorders>
              <w:top w:val="single" w:sz="4" w:space="0" w:color="auto"/>
              <w:left w:val="nil"/>
              <w:bottom w:val="single" w:sz="4" w:space="0" w:color="auto"/>
              <w:right w:val="nil"/>
            </w:tcBorders>
            <w:shd w:val="clear" w:color="auto" w:fill="F2F2F2" w:themeFill="background1" w:themeFillShade="F2"/>
          </w:tcPr>
          <w:p w14:paraId="49E9746B" w14:textId="093913D3" w:rsidR="00C30C6B" w:rsidRPr="008815A4" w:rsidRDefault="00EC1250" w:rsidP="008815A4">
            <w:pPr>
              <w:pStyle w:val="TableBodyTextrightalign"/>
            </w:pPr>
            <w:r w:rsidRPr="008815A4">
              <w:t>9</w:t>
            </w:r>
          </w:p>
        </w:tc>
      </w:tr>
      <w:tr w:rsidR="00C30C6B" w14:paraId="189DD591" w14:textId="77777777" w:rsidTr="00AC53AD">
        <w:tc>
          <w:tcPr>
            <w:tcW w:w="4063" w:type="pct"/>
            <w:tcBorders>
              <w:top w:val="single" w:sz="4" w:space="0" w:color="auto"/>
              <w:left w:val="nil"/>
              <w:bottom w:val="single" w:sz="4" w:space="0" w:color="auto"/>
              <w:right w:val="nil"/>
            </w:tcBorders>
            <w:hideMark/>
          </w:tcPr>
          <w:p w14:paraId="0C5BF4D4" w14:textId="77777777" w:rsidR="00C30C6B" w:rsidRPr="005E2E3E" w:rsidRDefault="00C30C6B" w:rsidP="00AC53AD">
            <w:pPr>
              <w:pStyle w:val="TableListBullet"/>
            </w:pPr>
            <w:r w:rsidRPr="005E2E3E">
              <w:t>Standard investigations completed</w:t>
            </w:r>
          </w:p>
        </w:tc>
        <w:tc>
          <w:tcPr>
            <w:tcW w:w="937" w:type="pct"/>
            <w:tcBorders>
              <w:top w:val="single" w:sz="4" w:space="0" w:color="auto"/>
              <w:left w:val="nil"/>
              <w:bottom w:val="single" w:sz="4" w:space="0" w:color="auto"/>
              <w:right w:val="nil"/>
            </w:tcBorders>
            <w:shd w:val="clear" w:color="auto" w:fill="F2F2F2" w:themeFill="background1" w:themeFillShade="F2"/>
          </w:tcPr>
          <w:p w14:paraId="3ECC0F01" w14:textId="0F048BE2" w:rsidR="00C30C6B" w:rsidRPr="008815A4" w:rsidRDefault="003D58AF" w:rsidP="008815A4">
            <w:pPr>
              <w:pStyle w:val="TableBodyTextrightalign"/>
              <w:rPr>
                <w:rStyle w:val="Characterbold"/>
                <w:b w:val="0"/>
              </w:rPr>
            </w:pPr>
            <w:r>
              <w:t>3</w:t>
            </w:r>
          </w:p>
        </w:tc>
      </w:tr>
      <w:tr w:rsidR="00C30C6B" w14:paraId="2CEF6C0F" w14:textId="77777777" w:rsidTr="00AC53AD">
        <w:tc>
          <w:tcPr>
            <w:tcW w:w="4063" w:type="pct"/>
            <w:tcBorders>
              <w:top w:val="single" w:sz="4" w:space="0" w:color="auto"/>
              <w:left w:val="nil"/>
              <w:bottom w:val="single" w:sz="4" w:space="0" w:color="auto"/>
              <w:right w:val="nil"/>
            </w:tcBorders>
          </w:tcPr>
          <w:p w14:paraId="7A16D524" w14:textId="77777777" w:rsidR="00C30C6B" w:rsidRPr="005E2E3E" w:rsidRDefault="00C30C6B" w:rsidP="00AC53AD">
            <w:pPr>
              <w:pStyle w:val="TableListBullet"/>
            </w:pPr>
            <w:r w:rsidRPr="005E2E3E">
              <w:t>Complex investigations completed</w:t>
            </w:r>
          </w:p>
        </w:tc>
        <w:tc>
          <w:tcPr>
            <w:tcW w:w="937" w:type="pct"/>
            <w:tcBorders>
              <w:top w:val="single" w:sz="4" w:space="0" w:color="auto"/>
              <w:left w:val="nil"/>
              <w:bottom w:val="single" w:sz="4" w:space="0" w:color="auto"/>
              <w:right w:val="nil"/>
            </w:tcBorders>
            <w:shd w:val="clear" w:color="auto" w:fill="F2F2F2" w:themeFill="background1" w:themeFillShade="F2"/>
          </w:tcPr>
          <w:p w14:paraId="58FBD27E" w14:textId="5CF1DB2E" w:rsidR="00C30C6B" w:rsidRPr="008815A4" w:rsidRDefault="003D58AF" w:rsidP="008815A4">
            <w:pPr>
              <w:pStyle w:val="TableBodyTextrightalign"/>
            </w:pPr>
            <w:r>
              <w:t>6</w:t>
            </w:r>
          </w:p>
        </w:tc>
      </w:tr>
      <w:tr w:rsidR="00C30C6B" w14:paraId="6C23F2A4" w14:textId="77777777" w:rsidTr="00AC53AD">
        <w:tc>
          <w:tcPr>
            <w:tcW w:w="4063" w:type="pct"/>
            <w:tcBorders>
              <w:top w:val="single" w:sz="4" w:space="0" w:color="auto"/>
              <w:left w:val="nil"/>
              <w:bottom w:val="single" w:sz="4" w:space="0" w:color="auto"/>
              <w:right w:val="nil"/>
            </w:tcBorders>
            <w:hideMark/>
          </w:tcPr>
          <w:p w14:paraId="7811489F" w14:textId="2D30597E" w:rsidR="00C30C6B" w:rsidRPr="005E2E3E" w:rsidRDefault="00C30C6B" w:rsidP="005E2E3E">
            <w:pPr>
              <w:pStyle w:val="TableBodyText"/>
            </w:pPr>
            <w:r w:rsidRPr="005E2E3E">
              <w:t xml:space="preserve">Ongoing investigations and preliminary inquiries at 30 June </w:t>
            </w:r>
            <w:r w:rsidR="00AC53AD">
              <w:t>2023</w:t>
            </w:r>
          </w:p>
        </w:tc>
        <w:tc>
          <w:tcPr>
            <w:tcW w:w="937" w:type="pct"/>
            <w:tcBorders>
              <w:top w:val="single" w:sz="4" w:space="0" w:color="auto"/>
              <w:left w:val="nil"/>
              <w:bottom w:val="single" w:sz="4" w:space="0" w:color="auto"/>
              <w:right w:val="nil"/>
            </w:tcBorders>
            <w:shd w:val="clear" w:color="auto" w:fill="F2F2F2" w:themeFill="background1" w:themeFillShade="F2"/>
          </w:tcPr>
          <w:p w14:paraId="4A1BFF69" w14:textId="7C6AEC1A" w:rsidR="00C30C6B" w:rsidRPr="008815A4" w:rsidRDefault="003D58AF" w:rsidP="008815A4">
            <w:pPr>
              <w:pStyle w:val="TableBodyTextrightalign"/>
              <w:rPr>
                <w:rStyle w:val="Characterbold"/>
                <w:b w:val="0"/>
              </w:rPr>
            </w:pPr>
            <w:r>
              <w:t>11</w:t>
            </w:r>
          </w:p>
        </w:tc>
      </w:tr>
    </w:tbl>
    <w:p w14:paraId="368AAC79" w14:textId="6968D8A9" w:rsidR="00A57F2C" w:rsidRDefault="00465B9C" w:rsidP="003965EA">
      <w:pPr>
        <w:pStyle w:val="TableNote"/>
      </w:pPr>
      <w:r>
        <w:t>Notes</w:t>
      </w:r>
    </w:p>
    <w:p w14:paraId="75B0C025" w14:textId="546F9058" w:rsidR="00A57F2C" w:rsidRDefault="00A57F2C" w:rsidP="003965EA">
      <w:pPr>
        <w:pStyle w:val="TableNote"/>
      </w:pPr>
      <w:r w:rsidRPr="003965EA">
        <w:rPr>
          <w:rStyle w:val="Charactersuperscript"/>
        </w:rPr>
        <w:t>(a)</w:t>
      </w:r>
      <w:r w:rsidRPr="00A57F2C">
        <w:t xml:space="preserve"> </w:t>
      </w:r>
      <w:r w:rsidR="003D58AF">
        <w:t>‘</w:t>
      </w:r>
      <w:r w:rsidRPr="00A57F2C">
        <w:t>Own</w:t>
      </w:r>
      <w:r w:rsidR="003D58AF">
        <w:t>-</w:t>
      </w:r>
      <w:r w:rsidRPr="00A57F2C">
        <w:t>motion</w:t>
      </w:r>
      <w:r w:rsidR="003D58AF">
        <w:t>’</w:t>
      </w:r>
      <w:r w:rsidRPr="00A57F2C">
        <w:t xml:space="preserve"> investigations are when we decide to investigate on our own motion without a complaint from an individual or a notification from a public sector body.</w:t>
      </w:r>
    </w:p>
    <w:p w14:paraId="7265B0E4" w14:textId="6A9A2502" w:rsidR="005E2E3E" w:rsidRPr="00AE4978" w:rsidRDefault="005E2E3E" w:rsidP="00AE4978">
      <w:pPr>
        <w:pStyle w:val="BodyText"/>
      </w:pPr>
      <w:r w:rsidRPr="00AE4978">
        <w:t xml:space="preserve">Investigation timeliness performance targets were met for both standard and complex investigations into public sector matters. </w:t>
      </w:r>
    </w:p>
    <w:p w14:paraId="08562F2B" w14:textId="7884A98B" w:rsidR="007474EF" w:rsidRDefault="007474EF" w:rsidP="00834775">
      <w:pPr>
        <w:pStyle w:val="Caption"/>
      </w:pPr>
      <w:bookmarkStart w:id="117" w:name="_Ref149135877"/>
      <w:r>
        <w:t xml:space="preserve">Table </w:t>
      </w:r>
      <w:r>
        <w:fldChar w:fldCharType="begin"/>
      </w:r>
      <w:r>
        <w:instrText xml:space="preserve"> SEQ Table \* ARABIC </w:instrText>
      </w:r>
      <w:r>
        <w:fldChar w:fldCharType="separate"/>
      </w:r>
      <w:r w:rsidR="00EF6E7F">
        <w:rPr>
          <w:noProof/>
        </w:rPr>
        <w:t>18</w:t>
      </w:r>
      <w:r>
        <w:fldChar w:fldCharType="end"/>
      </w:r>
      <w:r>
        <w:t xml:space="preserve">: </w:t>
      </w:r>
      <w:r w:rsidRPr="00000F7F">
        <w:t xml:space="preserve">IBAC </w:t>
      </w:r>
      <w:r w:rsidR="000A1691">
        <w:t>2022/23</w:t>
      </w:r>
      <w:r w:rsidRPr="00000F7F">
        <w:t xml:space="preserve"> output performance – public sector investigations</w:t>
      </w:r>
      <w:bookmarkEnd w:id="117"/>
    </w:p>
    <w:tbl>
      <w:tblPr>
        <w:tblStyle w:val="CustomTablestandard"/>
        <w:tblW w:w="0" w:type="auto"/>
        <w:tblLook w:val="04A0" w:firstRow="1" w:lastRow="0" w:firstColumn="1" w:lastColumn="0" w:noHBand="0" w:noVBand="1"/>
      </w:tblPr>
      <w:tblGrid>
        <w:gridCol w:w="2552"/>
        <w:gridCol w:w="1417"/>
        <w:gridCol w:w="1276"/>
        <w:gridCol w:w="1276"/>
        <w:gridCol w:w="1559"/>
        <w:gridCol w:w="947"/>
      </w:tblGrid>
      <w:tr w:rsidR="005E2E3E" w14:paraId="2FA8C208" w14:textId="77777777">
        <w:trPr>
          <w:cnfStyle w:val="100000000000" w:firstRow="1" w:lastRow="0" w:firstColumn="0" w:lastColumn="0" w:oddVBand="0" w:evenVBand="0" w:oddHBand="0" w:evenHBand="0" w:firstRowFirstColumn="0" w:firstRowLastColumn="0" w:lastRowFirstColumn="0" w:lastRowLastColumn="0"/>
          <w:trHeight w:val="300"/>
        </w:trPr>
        <w:tc>
          <w:tcPr>
            <w:tcW w:w="2552" w:type="dxa"/>
          </w:tcPr>
          <w:p w14:paraId="511BA7F3" w14:textId="77777777" w:rsidR="005E2E3E" w:rsidRPr="005E2E3E" w:rsidRDefault="005E2E3E" w:rsidP="005E2E3E">
            <w:pPr>
              <w:pStyle w:val="TableHeading1"/>
            </w:pPr>
            <w:r w:rsidRPr="005E2E3E">
              <w:t>Performance measures</w:t>
            </w:r>
          </w:p>
        </w:tc>
        <w:tc>
          <w:tcPr>
            <w:tcW w:w="1417" w:type="dxa"/>
          </w:tcPr>
          <w:p w14:paraId="2D06E2E8" w14:textId="77777777" w:rsidR="005E2E3E" w:rsidRPr="005E2E3E" w:rsidRDefault="005E2E3E" w:rsidP="00CA5402">
            <w:pPr>
              <w:pStyle w:val="TableHeading1"/>
            </w:pPr>
            <w:r w:rsidRPr="005E2E3E">
              <w:t>Unit of measure</w:t>
            </w:r>
          </w:p>
        </w:tc>
        <w:tc>
          <w:tcPr>
            <w:tcW w:w="1276" w:type="dxa"/>
          </w:tcPr>
          <w:p w14:paraId="7C3B98A6" w14:textId="33CDF4B4" w:rsidR="005E2E3E" w:rsidRPr="005E2E3E" w:rsidRDefault="000A1691" w:rsidP="00324EB7">
            <w:pPr>
              <w:pStyle w:val="TableHeading2centrealign"/>
            </w:pPr>
            <w:r>
              <w:t>2022/23</w:t>
            </w:r>
            <w:r w:rsidR="005E2E3E" w:rsidRPr="005E2E3E">
              <w:t xml:space="preserve"> actual</w:t>
            </w:r>
          </w:p>
        </w:tc>
        <w:tc>
          <w:tcPr>
            <w:tcW w:w="1276" w:type="dxa"/>
          </w:tcPr>
          <w:p w14:paraId="155C0541" w14:textId="4398B4A0" w:rsidR="005E2E3E" w:rsidRPr="005E2E3E" w:rsidRDefault="000A1691" w:rsidP="00324EB7">
            <w:pPr>
              <w:pStyle w:val="TableHeading2centrealign"/>
            </w:pPr>
            <w:r>
              <w:t>2022/23</w:t>
            </w:r>
            <w:r w:rsidR="005E2E3E" w:rsidRPr="005E2E3E">
              <w:t xml:space="preserve"> target</w:t>
            </w:r>
          </w:p>
        </w:tc>
        <w:tc>
          <w:tcPr>
            <w:tcW w:w="1559" w:type="dxa"/>
          </w:tcPr>
          <w:p w14:paraId="06424624" w14:textId="6EA195A3" w:rsidR="005E2E3E" w:rsidRPr="005E2E3E" w:rsidRDefault="007F3BBA" w:rsidP="00324EB7">
            <w:pPr>
              <w:pStyle w:val="TableHeading2centrealign"/>
            </w:pPr>
            <w:r>
              <w:t>V</w:t>
            </w:r>
            <w:r w:rsidR="008950C6" w:rsidDel="00645EC0">
              <w:t>ariation</w:t>
            </w:r>
            <w:r w:rsidR="008950C6">
              <w:t xml:space="preserve"> against target (%)</w:t>
            </w:r>
          </w:p>
        </w:tc>
        <w:tc>
          <w:tcPr>
            <w:tcW w:w="947" w:type="dxa"/>
          </w:tcPr>
          <w:p w14:paraId="3789770B" w14:textId="77777777" w:rsidR="005E2E3E" w:rsidRPr="005E2E3E" w:rsidRDefault="005E2E3E" w:rsidP="00324EB7">
            <w:pPr>
              <w:pStyle w:val="TableHeading2centrealign"/>
            </w:pPr>
            <w:r w:rsidRPr="005E2E3E">
              <w:t>Result</w:t>
            </w:r>
          </w:p>
        </w:tc>
      </w:tr>
      <w:tr w:rsidR="005E2E3E" w14:paraId="31F13AF3" w14:textId="77777777">
        <w:trPr>
          <w:trHeight w:val="300"/>
        </w:trPr>
        <w:tc>
          <w:tcPr>
            <w:tcW w:w="2552" w:type="dxa"/>
          </w:tcPr>
          <w:p w14:paraId="782868FF" w14:textId="77777777" w:rsidR="005E2E3E" w:rsidRPr="00CA5402" w:rsidRDefault="005E2E3E" w:rsidP="005E2E3E">
            <w:pPr>
              <w:pStyle w:val="TableBodyText"/>
              <w:rPr>
                <w:rStyle w:val="Characterbold"/>
              </w:rPr>
            </w:pPr>
            <w:r w:rsidRPr="00CA5402">
              <w:rPr>
                <w:rStyle w:val="Characterbold"/>
              </w:rPr>
              <w:t>Timeliness</w:t>
            </w:r>
          </w:p>
        </w:tc>
        <w:tc>
          <w:tcPr>
            <w:tcW w:w="1417" w:type="dxa"/>
          </w:tcPr>
          <w:p w14:paraId="4150F267" w14:textId="77777777" w:rsidR="005E2E3E" w:rsidRPr="005E2E3E" w:rsidRDefault="005E2E3E" w:rsidP="005E2E3E">
            <w:pPr>
              <w:pStyle w:val="TableBodyText"/>
            </w:pPr>
          </w:p>
        </w:tc>
        <w:tc>
          <w:tcPr>
            <w:tcW w:w="1276" w:type="dxa"/>
          </w:tcPr>
          <w:p w14:paraId="59702552" w14:textId="77777777" w:rsidR="005E2E3E" w:rsidRPr="005E2E3E" w:rsidRDefault="005E2E3E" w:rsidP="005E2E3E">
            <w:pPr>
              <w:pStyle w:val="TableBodyText"/>
            </w:pPr>
          </w:p>
        </w:tc>
        <w:tc>
          <w:tcPr>
            <w:tcW w:w="1276" w:type="dxa"/>
          </w:tcPr>
          <w:p w14:paraId="3E5494B4" w14:textId="77777777" w:rsidR="005E2E3E" w:rsidRPr="005E2E3E" w:rsidRDefault="005E2E3E" w:rsidP="005E2E3E">
            <w:pPr>
              <w:pStyle w:val="TableBodyText"/>
            </w:pPr>
          </w:p>
        </w:tc>
        <w:tc>
          <w:tcPr>
            <w:tcW w:w="1559" w:type="dxa"/>
          </w:tcPr>
          <w:p w14:paraId="4DD99608" w14:textId="77777777" w:rsidR="005E2E3E" w:rsidRPr="005E2E3E" w:rsidRDefault="005E2E3E" w:rsidP="005E2E3E">
            <w:pPr>
              <w:pStyle w:val="TableBodyText"/>
            </w:pPr>
          </w:p>
        </w:tc>
        <w:tc>
          <w:tcPr>
            <w:tcW w:w="947" w:type="dxa"/>
          </w:tcPr>
          <w:p w14:paraId="2F5D862D" w14:textId="77777777" w:rsidR="005E2E3E" w:rsidRPr="005E2E3E" w:rsidRDefault="005E2E3E" w:rsidP="005E2E3E">
            <w:pPr>
              <w:pStyle w:val="TableHeading1"/>
            </w:pPr>
          </w:p>
        </w:tc>
      </w:tr>
      <w:tr w:rsidR="005E2E3E" w:rsidRPr="00AA6925" w14:paraId="227DB6A4" w14:textId="77777777">
        <w:trPr>
          <w:trHeight w:val="300"/>
        </w:trPr>
        <w:tc>
          <w:tcPr>
            <w:tcW w:w="2552" w:type="dxa"/>
          </w:tcPr>
          <w:p w14:paraId="0E6F4483" w14:textId="40A4CD7B" w:rsidR="005E2E3E" w:rsidRPr="005E2E3E" w:rsidRDefault="005E2E3E" w:rsidP="005E2E3E">
            <w:pPr>
              <w:pStyle w:val="TableBodyText"/>
            </w:pPr>
            <w:r w:rsidRPr="005E2E3E">
              <w:t xml:space="preserve">Proportion of standard IBAC investigations into public sector corrupt conduct completed within </w:t>
            </w:r>
            <w:r w:rsidR="004655D4">
              <w:t>nine</w:t>
            </w:r>
            <w:r w:rsidRPr="005E2E3E">
              <w:t xml:space="preserve"> months</w:t>
            </w:r>
          </w:p>
        </w:tc>
        <w:tc>
          <w:tcPr>
            <w:tcW w:w="1417" w:type="dxa"/>
          </w:tcPr>
          <w:p w14:paraId="5DA40CF6" w14:textId="77777777" w:rsidR="005E2E3E" w:rsidRPr="005E2E3E" w:rsidRDefault="005E2E3E" w:rsidP="00CA5402">
            <w:pPr>
              <w:pStyle w:val="TableBodyText"/>
            </w:pPr>
            <w:r w:rsidRPr="005E2E3E">
              <w:t>Percentage</w:t>
            </w:r>
          </w:p>
        </w:tc>
        <w:tc>
          <w:tcPr>
            <w:tcW w:w="1276" w:type="dxa"/>
          </w:tcPr>
          <w:p w14:paraId="79921C1F" w14:textId="77777777" w:rsidR="005E2E3E" w:rsidRPr="005E2E3E" w:rsidRDefault="005E2E3E" w:rsidP="005E2E3E">
            <w:pPr>
              <w:pStyle w:val="TableBodyTextcentrealign"/>
            </w:pPr>
            <w:r w:rsidRPr="005E2E3E">
              <w:t>67</w:t>
            </w:r>
          </w:p>
        </w:tc>
        <w:tc>
          <w:tcPr>
            <w:tcW w:w="1276" w:type="dxa"/>
          </w:tcPr>
          <w:p w14:paraId="754DBA88" w14:textId="77777777" w:rsidR="005E2E3E" w:rsidRPr="005E2E3E" w:rsidRDefault="005E2E3E" w:rsidP="005E2E3E">
            <w:pPr>
              <w:pStyle w:val="TableBodyTextcentrealign"/>
            </w:pPr>
            <w:r w:rsidRPr="005E2E3E">
              <w:t>60</w:t>
            </w:r>
          </w:p>
        </w:tc>
        <w:tc>
          <w:tcPr>
            <w:tcW w:w="1559" w:type="dxa"/>
          </w:tcPr>
          <w:p w14:paraId="41F9FB8D" w14:textId="77777777" w:rsidR="005E2E3E" w:rsidRPr="005E2E3E" w:rsidRDefault="005E2E3E" w:rsidP="005E2E3E">
            <w:pPr>
              <w:pStyle w:val="TableBodyTextcentrealign"/>
            </w:pPr>
            <w:r w:rsidRPr="005E2E3E">
              <w:t>12</w:t>
            </w:r>
          </w:p>
        </w:tc>
        <w:tc>
          <w:tcPr>
            <w:tcW w:w="947" w:type="dxa"/>
          </w:tcPr>
          <w:p w14:paraId="2E342BB6" w14:textId="77777777" w:rsidR="005E2E3E" w:rsidRPr="007E78B5" w:rsidRDefault="005E2E3E" w:rsidP="007E78B5">
            <w:pPr>
              <w:pStyle w:val="TableBodyTextcentrealign"/>
            </w:pPr>
            <w:r w:rsidRPr="007E78B5">
              <w:rPr>
                <w:rFonts w:ascii="Segoe UI Symbol" w:hAnsi="Segoe UI Symbol" w:cs="Segoe UI Symbol"/>
              </w:rPr>
              <w:t>✓</w:t>
            </w:r>
          </w:p>
        </w:tc>
      </w:tr>
      <w:tr w:rsidR="005E2E3E" w:rsidRPr="00AA6925" w14:paraId="27E2780A" w14:textId="77777777">
        <w:trPr>
          <w:trHeight w:val="300"/>
        </w:trPr>
        <w:tc>
          <w:tcPr>
            <w:tcW w:w="2552" w:type="dxa"/>
          </w:tcPr>
          <w:p w14:paraId="4BD47D08" w14:textId="0228AC6C" w:rsidR="005E2E3E" w:rsidRPr="005E2E3E" w:rsidRDefault="005E2E3E" w:rsidP="005E2E3E">
            <w:pPr>
              <w:pStyle w:val="TableBodyText"/>
            </w:pPr>
            <w:r w:rsidRPr="005E2E3E">
              <w:t xml:space="preserve">Proportion of standard IBAC investigations into </w:t>
            </w:r>
            <w:r w:rsidR="007474EF" w:rsidRPr="007474EF">
              <w:t>public sector corrupt conduct</w:t>
            </w:r>
            <w:r w:rsidRPr="005E2E3E">
              <w:t xml:space="preserve"> completed within 18 months</w:t>
            </w:r>
          </w:p>
        </w:tc>
        <w:tc>
          <w:tcPr>
            <w:tcW w:w="1417" w:type="dxa"/>
          </w:tcPr>
          <w:p w14:paraId="31CD7260" w14:textId="77777777" w:rsidR="005E2E3E" w:rsidRPr="005E2E3E" w:rsidRDefault="005E2E3E" w:rsidP="00CA5402">
            <w:pPr>
              <w:pStyle w:val="TableBodyText"/>
            </w:pPr>
            <w:r w:rsidRPr="005E2E3E">
              <w:t>Percentage</w:t>
            </w:r>
          </w:p>
        </w:tc>
        <w:tc>
          <w:tcPr>
            <w:tcW w:w="1276" w:type="dxa"/>
          </w:tcPr>
          <w:p w14:paraId="31A997E1" w14:textId="77777777" w:rsidR="005E2E3E" w:rsidRPr="005E2E3E" w:rsidRDefault="005E2E3E" w:rsidP="005E2E3E">
            <w:pPr>
              <w:pStyle w:val="TableBodyTextcentrealign"/>
            </w:pPr>
            <w:r w:rsidRPr="005E2E3E">
              <w:t>83</w:t>
            </w:r>
          </w:p>
        </w:tc>
        <w:tc>
          <w:tcPr>
            <w:tcW w:w="1276" w:type="dxa"/>
          </w:tcPr>
          <w:p w14:paraId="523465C2" w14:textId="77777777" w:rsidR="005E2E3E" w:rsidRPr="005E2E3E" w:rsidRDefault="005E2E3E" w:rsidP="005E2E3E">
            <w:pPr>
              <w:pStyle w:val="TableBodyTextcentrealign"/>
            </w:pPr>
            <w:r w:rsidRPr="005E2E3E">
              <w:t>60</w:t>
            </w:r>
          </w:p>
        </w:tc>
        <w:tc>
          <w:tcPr>
            <w:tcW w:w="1559" w:type="dxa"/>
          </w:tcPr>
          <w:p w14:paraId="3F30A735" w14:textId="77777777" w:rsidR="005E2E3E" w:rsidRPr="005E2E3E" w:rsidRDefault="005E2E3E" w:rsidP="005E2E3E">
            <w:pPr>
              <w:pStyle w:val="TableBodyTextcentrealign"/>
            </w:pPr>
            <w:r w:rsidRPr="005E2E3E">
              <w:t>38</w:t>
            </w:r>
          </w:p>
        </w:tc>
        <w:tc>
          <w:tcPr>
            <w:tcW w:w="947" w:type="dxa"/>
          </w:tcPr>
          <w:p w14:paraId="488B6D07" w14:textId="77777777" w:rsidR="005E2E3E" w:rsidRPr="007E78B5" w:rsidRDefault="005E2E3E" w:rsidP="007E78B5">
            <w:pPr>
              <w:pStyle w:val="TableBodyTextcentrealign"/>
            </w:pPr>
            <w:r w:rsidRPr="007E78B5">
              <w:rPr>
                <w:rFonts w:ascii="Segoe UI Symbol" w:hAnsi="Segoe UI Symbol" w:cs="Segoe UI Symbol"/>
              </w:rPr>
              <w:t>✓</w:t>
            </w:r>
          </w:p>
        </w:tc>
      </w:tr>
    </w:tbl>
    <w:p w14:paraId="7EF3B298" w14:textId="592E0311" w:rsidR="007474EF" w:rsidRDefault="009057FB" w:rsidP="00324EB7">
      <w:pPr>
        <w:pStyle w:val="TableNote"/>
      </w:pPr>
      <w:r>
        <w:t>Note</w:t>
      </w:r>
    </w:p>
    <w:p w14:paraId="7021D556" w14:textId="1A48FAED" w:rsidR="007474EF" w:rsidRDefault="007474EF" w:rsidP="003965EA">
      <w:pPr>
        <w:pStyle w:val="TableNote"/>
      </w:pPr>
      <w:r w:rsidRPr="007474EF">
        <w:t xml:space="preserve">Results were calculated using new methodology which defines ‘completed’ as when all planned investigation activities have been completed. It does not signal the end of an operation, which may include subsequent activity such as public reporting. The rational for this change includes that IBAC’s performance results should not be impacted by factors outside its control, such as legal challenges to report release. Under the new business rules, </w:t>
      </w:r>
      <w:r w:rsidR="007C2567">
        <w:t>eight</w:t>
      </w:r>
      <w:r w:rsidR="007C2567" w:rsidRPr="007474EF">
        <w:t xml:space="preserve"> </w:t>
      </w:r>
      <w:r w:rsidRPr="007474EF">
        <w:t xml:space="preserve">investigations </w:t>
      </w:r>
      <w:r w:rsidR="007C2567" w:rsidRPr="007C2567">
        <w:t xml:space="preserve">into public sector corrupt conduct </w:t>
      </w:r>
      <w:r w:rsidRPr="007474EF">
        <w:t xml:space="preserve">not previously reported as being completed were assessed as having been completed prior to the </w:t>
      </w:r>
      <w:r w:rsidR="000A1691">
        <w:t>2022/23</w:t>
      </w:r>
      <w:r w:rsidRPr="007474EF">
        <w:t xml:space="preserve"> financial year.</w:t>
      </w:r>
    </w:p>
    <w:p w14:paraId="63AD94A4" w14:textId="43FA3075" w:rsidR="005E2E3E" w:rsidRPr="00AE4978" w:rsidRDefault="005E2E3E" w:rsidP="00B07072">
      <w:pPr>
        <w:pStyle w:val="Heading4"/>
      </w:pPr>
      <w:r w:rsidRPr="00AE4978">
        <w:t>Examinations</w:t>
      </w:r>
    </w:p>
    <w:p w14:paraId="152C498C" w14:textId="77777777" w:rsidR="005E2E3E" w:rsidRPr="00AE4978" w:rsidRDefault="005E2E3E" w:rsidP="00AE4978">
      <w:pPr>
        <w:pStyle w:val="BodyText"/>
      </w:pPr>
      <w:r w:rsidRPr="00AE4978">
        <w:t>As part of an investigation, IBAC may hold private and/or public examinations. Examinations are not trials, and do not determine guilt or innocence. Rather, they are an investigative tool, to gather information and support our efforts to expose and prevent corruption and police misconduct.</w:t>
      </w:r>
    </w:p>
    <w:p w14:paraId="5F0E3DE6" w14:textId="68FDC7D0" w:rsidR="005E2E3E" w:rsidRPr="00AE4978" w:rsidRDefault="005E2E3E" w:rsidP="00AE4978">
      <w:pPr>
        <w:pStyle w:val="BodyText"/>
      </w:pPr>
      <w:r w:rsidRPr="00AE4978">
        <w:t>More information about examinations can found on the IBAC website (</w:t>
      </w:r>
      <w:r w:rsidR="007474EF" w:rsidRPr="007474EF">
        <w:t>www.ibac.vic.gov.au/ibac-examinations</w:t>
      </w:r>
      <w:r w:rsidRPr="00AE4978">
        <w:t>)</w:t>
      </w:r>
      <w:r w:rsidR="007474EF">
        <w:t>.</w:t>
      </w:r>
    </w:p>
    <w:p w14:paraId="406989AE" w14:textId="7283CC7E" w:rsidR="005E2E3E" w:rsidRPr="00AE4978" w:rsidRDefault="007474EF" w:rsidP="00AE4978">
      <w:pPr>
        <w:pStyle w:val="BodyText"/>
      </w:pPr>
      <w:r>
        <w:fldChar w:fldCharType="begin"/>
      </w:r>
      <w:r>
        <w:instrText xml:space="preserve"> REF _Ref141262353 \h </w:instrText>
      </w:r>
      <w:r>
        <w:fldChar w:fldCharType="separate"/>
      </w:r>
      <w:r w:rsidR="00B115AB">
        <w:t xml:space="preserve">Table </w:t>
      </w:r>
      <w:r w:rsidR="00B115AB">
        <w:rPr>
          <w:noProof/>
        </w:rPr>
        <w:t>19</w:t>
      </w:r>
      <w:r>
        <w:fldChar w:fldCharType="end"/>
      </w:r>
      <w:r w:rsidR="005E2E3E" w:rsidRPr="00AE4978">
        <w:t xml:space="preserve"> provides information on examinations conducted </w:t>
      </w:r>
      <w:r w:rsidR="003D081A">
        <w:t>as part of</w:t>
      </w:r>
      <w:r w:rsidR="005E2E3E" w:rsidRPr="00AE4978">
        <w:t xml:space="preserve"> </w:t>
      </w:r>
      <w:r w:rsidR="004567B1">
        <w:t>public sector</w:t>
      </w:r>
      <w:r w:rsidR="005E2E3E" w:rsidRPr="00AE4978">
        <w:t xml:space="preserve"> investigations. </w:t>
      </w:r>
    </w:p>
    <w:p w14:paraId="23040C3E" w14:textId="59F699AA" w:rsidR="007474EF" w:rsidRDefault="007474EF" w:rsidP="00834775">
      <w:pPr>
        <w:pStyle w:val="Caption"/>
      </w:pPr>
      <w:bookmarkStart w:id="118" w:name="_Ref141262353"/>
      <w:bookmarkStart w:id="119" w:name="_Ref149135880"/>
      <w:r>
        <w:t xml:space="preserve">Table </w:t>
      </w:r>
      <w:r>
        <w:fldChar w:fldCharType="begin"/>
      </w:r>
      <w:r>
        <w:instrText xml:space="preserve"> SEQ Table \* ARABIC </w:instrText>
      </w:r>
      <w:r>
        <w:fldChar w:fldCharType="separate"/>
      </w:r>
      <w:r w:rsidR="00EF6E7F">
        <w:rPr>
          <w:noProof/>
        </w:rPr>
        <w:t>19</w:t>
      </w:r>
      <w:r>
        <w:fldChar w:fldCharType="end"/>
      </w:r>
      <w:bookmarkEnd w:id="118"/>
      <w:r>
        <w:t xml:space="preserve">: </w:t>
      </w:r>
      <w:r w:rsidRPr="00B90E9F">
        <w:t>Examinations undertaken as part of IBAC investigations – public sector</w:t>
      </w:r>
      <w:bookmarkEnd w:id="119"/>
    </w:p>
    <w:tbl>
      <w:tblPr>
        <w:tblStyle w:val="CustomTablestandard"/>
        <w:tblW w:w="2737" w:type="pct"/>
        <w:tblLook w:val="04E0" w:firstRow="1" w:lastRow="1" w:firstColumn="1" w:lastColumn="0" w:noHBand="0" w:noVBand="1"/>
      </w:tblPr>
      <w:tblGrid>
        <w:gridCol w:w="2897"/>
        <w:gridCol w:w="2044"/>
      </w:tblGrid>
      <w:tr w:rsidR="00753753" w14:paraId="50942B9E" w14:textId="77777777" w:rsidTr="00324EB7">
        <w:trPr>
          <w:cnfStyle w:val="100000000000" w:firstRow="1" w:lastRow="0" w:firstColumn="0" w:lastColumn="0" w:oddVBand="0" w:evenVBand="0" w:oddHBand="0" w:evenHBand="0" w:firstRowFirstColumn="0" w:firstRowLastColumn="0" w:lastRowFirstColumn="0" w:lastRowLastColumn="0"/>
        </w:trPr>
        <w:tc>
          <w:tcPr>
            <w:tcW w:w="2932" w:type="pct"/>
            <w:tcBorders>
              <w:left w:val="nil"/>
            </w:tcBorders>
          </w:tcPr>
          <w:p w14:paraId="727998DE" w14:textId="77777777" w:rsidR="00753753" w:rsidRPr="005E2E3E" w:rsidRDefault="00753753" w:rsidP="005E2E3E">
            <w:pPr>
              <w:pStyle w:val="TableHeading2centrealign"/>
            </w:pPr>
          </w:p>
        </w:tc>
        <w:tc>
          <w:tcPr>
            <w:tcW w:w="2068" w:type="pct"/>
            <w:hideMark/>
          </w:tcPr>
          <w:p w14:paraId="3DEA70F0" w14:textId="6BB0B208" w:rsidR="00753753" w:rsidRPr="005E2E3E" w:rsidRDefault="000A1691" w:rsidP="005E2E3E">
            <w:pPr>
              <w:pStyle w:val="TableHeading3rightalign"/>
            </w:pPr>
            <w:r>
              <w:t>2022/23</w:t>
            </w:r>
          </w:p>
        </w:tc>
      </w:tr>
      <w:tr w:rsidR="00753753" w14:paraId="6A93570A" w14:textId="77777777" w:rsidTr="00324EB7">
        <w:tc>
          <w:tcPr>
            <w:tcW w:w="2932" w:type="pct"/>
            <w:tcBorders>
              <w:top w:val="single" w:sz="4" w:space="0" w:color="auto"/>
              <w:left w:val="nil"/>
              <w:bottom w:val="single" w:sz="4" w:space="0" w:color="auto"/>
              <w:right w:val="nil"/>
            </w:tcBorders>
            <w:hideMark/>
          </w:tcPr>
          <w:p w14:paraId="5F5A2F14" w14:textId="77777777" w:rsidR="00753753" w:rsidRPr="005E2E3E" w:rsidRDefault="00753753" w:rsidP="005E2E3E">
            <w:pPr>
              <w:pStyle w:val="TableBodyText"/>
            </w:pPr>
            <w:r w:rsidRPr="005E2E3E">
              <w:t>Private examination days</w:t>
            </w:r>
          </w:p>
        </w:tc>
        <w:tc>
          <w:tcPr>
            <w:tcW w:w="2068" w:type="pct"/>
            <w:tcBorders>
              <w:top w:val="single" w:sz="4" w:space="0" w:color="auto"/>
              <w:left w:val="nil"/>
              <w:bottom w:val="single" w:sz="4" w:space="0" w:color="auto"/>
              <w:right w:val="nil"/>
            </w:tcBorders>
            <w:shd w:val="clear" w:color="auto" w:fill="F2F2F2" w:themeFill="background1" w:themeFillShade="F2"/>
          </w:tcPr>
          <w:p w14:paraId="21CCF493" w14:textId="783524C2" w:rsidR="00753753" w:rsidRPr="00ED79A2" w:rsidRDefault="002F04F8" w:rsidP="00ED79A2">
            <w:pPr>
              <w:pStyle w:val="TableBodyText"/>
            </w:pPr>
            <w:r w:rsidRPr="00ED79A2">
              <w:t>34</w:t>
            </w:r>
          </w:p>
        </w:tc>
      </w:tr>
      <w:tr w:rsidR="00753753" w14:paraId="328678A3" w14:textId="77777777" w:rsidTr="00324EB7">
        <w:tc>
          <w:tcPr>
            <w:tcW w:w="2932" w:type="pct"/>
            <w:tcBorders>
              <w:top w:val="single" w:sz="4" w:space="0" w:color="auto"/>
              <w:left w:val="nil"/>
              <w:bottom w:val="single" w:sz="4" w:space="0" w:color="auto"/>
              <w:right w:val="nil"/>
            </w:tcBorders>
            <w:hideMark/>
          </w:tcPr>
          <w:p w14:paraId="317EFE70" w14:textId="77777777" w:rsidR="00753753" w:rsidRPr="005E2E3E" w:rsidRDefault="00753753" w:rsidP="00324EB7">
            <w:pPr>
              <w:pStyle w:val="TableBodyText"/>
            </w:pPr>
            <w:r w:rsidRPr="005E2E3E">
              <w:t>Public examinations days</w:t>
            </w:r>
          </w:p>
        </w:tc>
        <w:tc>
          <w:tcPr>
            <w:tcW w:w="2068" w:type="pct"/>
            <w:tcBorders>
              <w:top w:val="single" w:sz="4" w:space="0" w:color="auto"/>
              <w:left w:val="nil"/>
              <w:bottom w:val="single" w:sz="4" w:space="0" w:color="auto"/>
              <w:right w:val="nil"/>
            </w:tcBorders>
            <w:shd w:val="clear" w:color="auto" w:fill="F2F2F2" w:themeFill="background1" w:themeFillShade="F2"/>
          </w:tcPr>
          <w:p w14:paraId="6FF3E66D" w14:textId="38A61201" w:rsidR="00753753" w:rsidRPr="00CA5402" w:rsidRDefault="002F04F8" w:rsidP="00CA5402">
            <w:pPr>
              <w:pStyle w:val="TableBodyTextrightalign"/>
              <w:rPr>
                <w:rStyle w:val="Characterbold"/>
                <w:b w:val="0"/>
              </w:rPr>
            </w:pPr>
            <w:r w:rsidRPr="00CA5402">
              <w:t>0</w:t>
            </w:r>
          </w:p>
        </w:tc>
      </w:tr>
      <w:tr w:rsidR="00753753" w14:paraId="5F1753A7" w14:textId="77777777" w:rsidTr="00324EB7">
        <w:tc>
          <w:tcPr>
            <w:tcW w:w="2932" w:type="pct"/>
            <w:tcBorders>
              <w:top w:val="single" w:sz="4" w:space="0" w:color="auto"/>
              <w:left w:val="nil"/>
              <w:bottom w:val="single" w:sz="4" w:space="0" w:color="auto"/>
              <w:right w:val="nil"/>
            </w:tcBorders>
            <w:hideMark/>
          </w:tcPr>
          <w:p w14:paraId="6BCEC773" w14:textId="77777777" w:rsidR="00753753" w:rsidRPr="005E2E3E" w:rsidRDefault="00753753" w:rsidP="00324EB7">
            <w:pPr>
              <w:pStyle w:val="TableBodyText"/>
            </w:pPr>
            <w:r w:rsidRPr="005E2E3E">
              <w:t>Witnesses called</w:t>
            </w:r>
          </w:p>
        </w:tc>
        <w:tc>
          <w:tcPr>
            <w:tcW w:w="2068" w:type="pct"/>
            <w:tcBorders>
              <w:top w:val="single" w:sz="4" w:space="0" w:color="auto"/>
              <w:left w:val="nil"/>
              <w:bottom w:val="single" w:sz="4" w:space="0" w:color="auto"/>
              <w:right w:val="nil"/>
            </w:tcBorders>
            <w:shd w:val="clear" w:color="auto" w:fill="F2F2F2" w:themeFill="background1" w:themeFillShade="F2"/>
          </w:tcPr>
          <w:p w14:paraId="76C6767E" w14:textId="39AB0941" w:rsidR="00753753" w:rsidRPr="00ED79A2" w:rsidRDefault="002F04F8" w:rsidP="00ED79A2">
            <w:pPr>
              <w:pStyle w:val="TableBodyText"/>
            </w:pPr>
            <w:r w:rsidRPr="00ED79A2">
              <w:t>29</w:t>
            </w:r>
          </w:p>
        </w:tc>
      </w:tr>
    </w:tbl>
    <w:p w14:paraId="69ECF2FE" w14:textId="11E9579B" w:rsidR="005E2E3E" w:rsidRPr="00621005" w:rsidRDefault="005E2E3E" w:rsidP="00B07072">
      <w:pPr>
        <w:pStyle w:val="Heading4"/>
      </w:pPr>
      <w:bookmarkStart w:id="120" w:name="_Ref149166496"/>
      <w:r w:rsidRPr="00621005">
        <w:t>Outcomes of IBAC investigations</w:t>
      </w:r>
      <w:bookmarkEnd w:id="120"/>
    </w:p>
    <w:p w14:paraId="7704937D" w14:textId="5FF6DC63" w:rsidR="007F7604" w:rsidRDefault="007F7604" w:rsidP="00B07072">
      <w:pPr>
        <w:pStyle w:val="Heading5"/>
      </w:pPr>
      <w:r w:rsidRPr="003052A4">
        <w:t>Recommendations</w:t>
      </w:r>
      <w:r>
        <w:t xml:space="preserve"> made to the public sector</w:t>
      </w:r>
    </w:p>
    <w:p w14:paraId="059B08B1" w14:textId="56A0D528" w:rsidR="007F7604" w:rsidRPr="005E2E3E" w:rsidRDefault="007F7604" w:rsidP="007F7604">
      <w:pPr>
        <w:pStyle w:val="BodyText"/>
      </w:pPr>
      <w:r w:rsidRPr="005E2E3E">
        <w:t xml:space="preserve">In </w:t>
      </w:r>
      <w:r w:rsidR="000A1691">
        <w:t>2022/23</w:t>
      </w:r>
      <w:r w:rsidRPr="005E2E3E">
        <w:t>, we made a total of 44 recommendations to public sector agencies under s</w:t>
      </w:r>
      <w:r w:rsidR="0093524A">
        <w:t>ection</w:t>
      </w:r>
      <w:r w:rsidRPr="005E2E3E">
        <w:t xml:space="preserve"> 159 of the IBAC Act. One of those recommendations (Recommendation 21 in the special report on Operation Watts) was </w:t>
      </w:r>
      <w:r w:rsidR="00E0696B">
        <w:t xml:space="preserve">made </w:t>
      </w:r>
      <w:r w:rsidRPr="005E2E3E">
        <w:t xml:space="preserve">to both state and local government. The recommendations aim to address integrity risks, and improve systems and processes. </w:t>
      </w:r>
    </w:p>
    <w:p w14:paraId="27A91F88" w14:textId="3C393ACE" w:rsidR="007F7604" w:rsidRPr="005E2E3E" w:rsidRDefault="0008498E" w:rsidP="007F7604">
      <w:pPr>
        <w:pStyle w:val="BodyText"/>
      </w:pPr>
      <w:r>
        <w:t>W</w:t>
      </w:r>
      <w:r w:rsidR="007F7604" w:rsidRPr="005E2E3E">
        <w:t xml:space="preserve">e also identified four proposed reforms to strengthen donations regulations in our </w:t>
      </w:r>
      <w:r w:rsidR="007F7604" w:rsidRPr="0060517F">
        <w:rPr>
          <w:rStyle w:val="Characteritalic"/>
        </w:rPr>
        <w:t>Corruption risks associated with donations and lobbying</w:t>
      </w:r>
      <w:r w:rsidR="007F7604" w:rsidRPr="005E2E3E">
        <w:t xml:space="preserve"> special report.</w:t>
      </w:r>
    </w:p>
    <w:p w14:paraId="1E2B64D9" w14:textId="0959A058" w:rsidR="007F7604" w:rsidRDefault="007F7604" w:rsidP="00834775">
      <w:pPr>
        <w:pStyle w:val="Caption"/>
      </w:pPr>
      <w:bookmarkStart w:id="121" w:name="_Ref149135883"/>
      <w:r>
        <w:t xml:space="preserve">Table </w:t>
      </w:r>
      <w:r>
        <w:fldChar w:fldCharType="begin"/>
      </w:r>
      <w:r>
        <w:instrText xml:space="preserve"> SEQ Table \* ARABIC </w:instrText>
      </w:r>
      <w:r>
        <w:fldChar w:fldCharType="separate"/>
      </w:r>
      <w:r w:rsidR="00EF6E7F">
        <w:rPr>
          <w:noProof/>
        </w:rPr>
        <w:t>20</w:t>
      </w:r>
      <w:r>
        <w:fldChar w:fldCharType="end"/>
      </w:r>
      <w:r>
        <w:t xml:space="preserve">: </w:t>
      </w:r>
      <w:r w:rsidRPr="00A9658C">
        <w:t>IBAC Act section 159 recommendations made to the public sector</w:t>
      </w:r>
      <w:bookmarkEnd w:id="121"/>
    </w:p>
    <w:tbl>
      <w:tblPr>
        <w:tblStyle w:val="CustomTablestandard"/>
        <w:tblW w:w="3847" w:type="pct"/>
        <w:tblLook w:val="04A0" w:firstRow="1" w:lastRow="0" w:firstColumn="1" w:lastColumn="0" w:noHBand="0" w:noVBand="1"/>
      </w:tblPr>
      <w:tblGrid>
        <w:gridCol w:w="3827"/>
        <w:gridCol w:w="3118"/>
      </w:tblGrid>
      <w:tr w:rsidR="007F7604" w:rsidRPr="00F67CAE" w14:paraId="0B86B619" w14:textId="77777777" w:rsidTr="00D200AA">
        <w:trPr>
          <w:cnfStyle w:val="100000000000" w:firstRow="1" w:lastRow="0" w:firstColumn="0" w:lastColumn="0" w:oddVBand="0" w:evenVBand="0" w:oddHBand="0" w:evenHBand="0" w:firstRowFirstColumn="0" w:firstRowLastColumn="0" w:lastRowFirstColumn="0" w:lastRowLastColumn="0"/>
          <w:trHeight w:val="251"/>
        </w:trPr>
        <w:tc>
          <w:tcPr>
            <w:tcW w:w="2755" w:type="pct"/>
            <w:hideMark/>
          </w:tcPr>
          <w:p w14:paraId="01C89467" w14:textId="77777777" w:rsidR="007F7604" w:rsidRPr="00324EB7" w:rsidRDefault="007F7604" w:rsidP="00EF6E7F">
            <w:pPr>
              <w:pStyle w:val="TableHeading1"/>
            </w:pPr>
            <w:r>
              <w:rPr>
                <w:lang w:val="en-US"/>
              </w:rPr>
              <w:t>Sector</w:t>
            </w:r>
          </w:p>
        </w:tc>
        <w:tc>
          <w:tcPr>
            <w:tcW w:w="2245" w:type="pct"/>
            <w:hideMark/>
          </w:tcPr>
          <w:p w14:paraId="06F1F668" w14:textId="77777777" w:rsidR="007F7604" w:rsidRPr="00F67CAE" w:rsidRDefault="007F7604" w:rsidP="00254C0B">
            <w:pPr>
              <w:pStyle w:val="TableHeading3rightalign"/>
            </w:pPr>
            <w:r w:rsidRPr="003052A4">
              <w:t>Recommendations made by IBAC</w:t>
            </w:r>
          </w:p>
        </w:tc>
      </w:tr>
      <w:tr w:rsidR="007F7604" w:rsidRPr="00F67CAE" w14:paraId="738E473E" w14:textId="77777777" w:rsidTr="00D200AA">
        <w:trPr>
          <w:trHeight w:val="97"/>
        </w:trPr>
        <w:tc>
          <w:tcPr>
            <w:tcW w:w="2755" w:type="pct"/>
            <w:hideMark/>
          </w:tcPr>
          <w:p w14:paraId="4A049E09" w14:textId="77777777" w:rsidR="007F7604" w:rsidRPr="00F67CAE" w:rsidRDefault="007F7604" w:rsidP="00EF6E7F">
            <w:pPr>
              <w:pStyle w:val="TableBodyText"/>
            </w:pPr>
            <w:r w:rsidRPr="00EF6E7F">
              <w:t>Public</w:t>
            </w:r>
            <w:r w:rsidRPr="003052A4">
              <w:t xml:space="preserve"> sector agencies</w:t>
            </w:r>
          </w:p>
        </w:tc>
        <w:tc>
          <w:tcPr>
            <w:tcW w:w="2245" w:type="pct"/>
            <w:hideMark/>
          </w:tcPr>
          <w:p w14:paraId="2E2F9C5C" w14:textId="77777777" w:rsidR="007F7604" w:rsidRPr="00F67CAE" w:rsidRDefault="007F7604" w:rsidP="009C7EFA">
            <w:pPr>
              <w:pStyle w:val="TableBodyTextrightalign"/>
            </w:pPr>
            <w:r>
              <w:t>44</w:t>
            </w:r>
          </w:p>
        </w:tc>
      </w:tr>
      <w:tr w:rsidR="007F7604" w:rsidRPr="00F67CAE" w14:paraId="5D377A15" w14:textId="77777777" w:rsidTr="00D200AA">
        <w:trPr>
          <w:trHeight w:val="97"/>
        </w:trPr>
        <w:tc>
          <w:tcPr>
            <w:tcW w:w="2755" w:type="pct"/>
            <w:hideMark/>
          </w:tcPr>
          <w:p w14:paraId="344FFCDA" w14:textId="77777777" w:rsidR="007F7604" w:rsidRPr="00EF6E7F" w:rsidRDefault="007F7604" w:rsidP="00EF6E7F">
            <w:pPr>
              <w:pStyle w:val="TableBodyText"/>
            </w:pPr>
            <w:r w:rsidRPr="003052A4">
              <w:t>Local government</w:t>
            </w:r>
          </w:p>
        </w:tc>
        <w:tc>
          <w:tcPr>
            <w:tcW w:w="2245" w:type="pct"/>
            <w:hideMark/>
          </w:tcPr>
          <w:p w14:paraId="7BA3FD40" w14:textId="77777777" w:rsidR="007F7604" w:rsidRPr="00F67CAE" w:rsidRDefault="007F7604" w:rsidP="009C7EFA">
            <w:pPr>
              <w:pStyle w:val="TableBodyTextrightalign"/>
            </w:pPr>
            <w:r>
              <w:t>1</w:t>
            </w:r>
          </w:p>
        </w:tc>
      </w:tr>
    </w:tbl>
    <w:p w14:paraId="51186A4F" w14:textId="59617E94" w:rsidR="00CB2E3F" w:rsidRPr="000E0EB4" w:rsidRDefault="00CB2E3F" w:rsidP="007211D6">
      <w:pPr>
        <w:pStyle w:val="Heading5"/>
      </w:pPr>
      <w:r w:rsidRPr="007211D6">
        <w:rPr>
          <w:rFonts w:eastAsiaTheme="minorHAnsi"/>
        </w:rPr>
        <w:t>Reviews of public sector investigations</w:t>
      </w:r>
    </w:p>
    <w:p w14:paraId="2E166657" w14:textId="2AA7F39C" w:rsidR="0008498E" w:rsidRDefault="0008498E" w:rsidP="0008498E">
      <w:r>
        <w:t xml:space="preserve">We review public sector investigations into allegations of internal corruption. Reviews can help identify corruption risks, including systemic and organisational issues. </w:t>
      </w:r>
    </w:p>
    <w:p w14:paraId="5C856E66" w14:textId="505AE395" w:rsidR="0008498E" w:rsidRDefault="0008498E" w:rsidP="0008498E">
      <w:r>
        <w:t xml:space="preserve">Investigations </w:t>
      </w:r>
      <w:r w:rsidR="00D66B3D">
        <w:t xml:space="preserve">we review </w:t>
      </w:r>
      <w:r>
        <w:t xml:space="preserve">cover topics such as: </w:t>
      </w:r>
    </w:p>
    <w:p w14:paraId="05E925B6" w14:textId="5842CC62" w:rsidR="0008498E" w:rsidRDefault="0008498E" w:rsidP="003965EA">
      <w:pPr>
        <w:pStyle w:val="ListBullet"/>
      </w:pPr>
      <w:r>
        <w:t xml:space="preserve">misuse of position or resources to obtain personal benefit </w:t>
      </w:r>
    </w:p>
    <w:p w14:paraId="5C5864BF" w14:textId="75A6DB44" w:rsidR="0008498E" w:rsidRDefault="0008498E" w:rsidP="003965EA">
      <w:pPr>
        <w:pStyle w:val="ListBullet"/>
      </w:pPr>
      <w:r>
        <w:t>prison and youth justice officers forming inappropriate relationships with prisoners</w:t>
      </w:r>
    </w:p>
    <w:p w14:paraId="461DE4FA" w14:textId="6848EA9B" w:rsidR="0008498E" w:rsidRDefault="0008498E" w:rsidP="003965EA">
      <w:pPr>
        <w:pStyle w:val="ListBullet"/>
      </w:pPr>
      <w:r>
        <w:t xml:space="preserve">fraud, theft and failure to adhere to financial policies. </w:t>
      </w:r>
    </w:p>
    <w:p w14:paraId="6CD7F996" w14:textId="731E4A87" w:rsidR="00CA5402" w:rsidRPr="00CA5402" w:rsidRDefault="0008498E" w:rsidP="0008498E">
      <w:pPr>
        <w:pStyle w:val="BodyText"/>
        <w:rPr>
          <w:lang w:eastAsia="en-AU"/>
        </w:rPr>
      </w:pPr>
      <w:r>
        <w:t xml:space="preserve">In </w:t>
      </w:r>
      <w:r w:rsidR="000A1691">
        <w:t>2022/23</w:t>
      </w:r>
      <w:r>
        <w:t>, we conducted 38 reviews of public sector investigations</w:t>
      </w:r>
      <w:r w:rsidR="00CB2E3F">
        <w:t>.</w:t>
      </w:r>
    </w:p>
    <w:p w14:paraId="4FEFE5D0" w14:textId="307917AB" w:rsidR="0011410B" w:rsidRPr="007F7604" w:rsidRDefault="007F7604" w:rsidP="00B07072">
      <w:pPr>
        <w:pStyle w:val="Heading5"/>
      </w:pPr>
      <w:r>
        <w:t>Prosecutions – public sector</w:t>
      </w:r>
    </w:p>
    <w:p w14:paraId="3678663F" w14:textId="632A30D5" w:rsidR="005E2E3E" w:rsidRPr="005E2E3E" w:rsidRDefault="005E2E3E" w:rsidP="00CA5402">
      <w:pPr>
        <w:pStyle w:val="BodyText"/>
      </w:pPr>
      <w:r w:rsidRPr="007474EF">
        <w:t xml:space="preserve">The number of </w:t>
      </w:r>
      <w:r w:rsidR="0008498E" w:rsidRPr="0008498E">
        <w:t>prosecutions brought by IBAC</w:t>
      </w:r>
      <w:r w:rsidRPr="007474EF">
        <w:t xml:space="preserve"> is only one indicator of performance. </w:t>
      </w:r>
      <w:r w:rsidR="007474EF">
        <w:fldChar w:fldCharType="begin"/>
      </w:r>
      <w:r w:rsidR="007474EF">
        <w:instrText xml:space="preserve"> REF _Ref141262493 \h </w:instrText>
      </w:r>
      <w:r w:rsidR="007474EF">
        <w:fldChar w:fldCharType="separate"/>
      </w:r>
      <w:r w:rsidR="007474EF">
        <w:t xml:space="preserve">Table </w:t>
      </w:r>
      <w:r w:rsidR="007474EF">
        <w:rPr>
          <w:noProof/>
        </w:rPr>
        <w:t>21</w:t>
      </w:r>
      <w:r w:rsidR="007474EF">
        <w:fldChar w:fldCharType="end"/>
      </w:r>
      <w:r w:rsidRPr="005E2E3E">
        <w:t xml:space="preserve"> shows the </w:t>
      </w:r>
      <w:r w:rsidR="000A1691">
        <w:t>2022/23</w:t>
      </w:r>
      <w:r w:rsidRPr="005E2E3E">
        <w:t xml:space="preserve"> prosecutions resulting from </w:t>
      </w:r>
      <w:r w:rsidR="0086396F">
        <w:t>our</w:t>
      </w:r>
      <w:r w:rsidR="0086396F" w:rsidRPr="005E2E3E">
        <w:t xml:space="preserve"> </w:t>
      </w:r>
      <w:r w:rsidRPr="005E2E3E">
        <w:t>public sector investigations.</w:t>
      </w:r>
    </w:p>
    <w:p w14:paraId="163D1619" w14:textId="77777777" w:rsidR="00104DFC" w:rsidRPr="007211D6" w:rsidRDefault="00104DFC" w:rsidP="007211D6">
      <w:bookmarkStart w:id="122" w:name="_Ref141262493"/>
      <w:r>
        <w:br w:type="page"/>
      </w:r>
    </w:p>
    <w:p w14:paraId="1FD7390C" w14:textId="7094C456" w:rsidR="007474EF" w:rsidRDefault="007474EF" w:rsidP="00834775">
      <w:pPr>
        <w:pStyle w:val="Caption"/>
      </w:pPr>
      <w:bookmarkStart w:id="123" w:name="_Ref149135885"/>
      <w:r>
        <w:t xml:space="preserve">Table </w:t>
      </w:r>
      <w:r>
        <w:fldChar w:fldCharType="begin"/>
      </w:r>
      <w:r>
        <w:instrText xml:space="preserve"> SEQ Table \* ARABIC </w:instrText>
      </w:r>
      <w:r>
        <w:fldChar w:fldCharType="separate"/>
      </w:r>
      <w:r w:rsidR="00EF6E7F">
        <w:rPr>
          <w:noProof/>
        </w:rPr>
        <w:t>21</w:t>
      </w:r>
      <w:r>
        <w:fldChar w:fldCharType="end"/>
      </w:r>
      <w:bookmarkEnd w:id="122"/>
      <w:r>
        <w:t xml:space="preserve">: </w:t>
      </w:r>
      <w:r w:rsidRPr="00F0473A">
        <w:t>Prosecutions resulting from IBAC public sector investigations</w:t>
      </w:r>
      <w:bookmarkEnd w:id="123"/>
    </w:p>
    <w:tbl>
      <w:tblPr>
        <w:tblStyle w:val="CustomTablestandard"/>
        <w:tblW w:w="5025" w:type="pct"/>
        <w:tblLook w:val="04E0" w:firstRow="1" w:lastRow="1" w:firstColumn="1" w:lastColumn="0" w:noHBand="0" w:noVBand="1"/>
      </w:tblPr>
      <w:tblGrid>
        <w:gridCol w:w="2127"/>
        <w:gridCol w:w="1417"/>
        <w:gridCol w:w="1843"/>
        <w:gridCol w:w="3685"/>
      </w:tblGrid>
      <w:tr w:rsidR="005E2E3E" w14:paraId="486EB852" w14:textId="77777777">
        <w:trPr>
          <w:cnfStyle w:val="100000000000" w:firstRow="1" w:lastRow="0" w:firstColumn="0" w:lastColumn="0" w:oddVBand="0" w:evenVBand="0" w:oddHBand="0" w:evenHBand="0" w:firstRowFirstColumn="0" w:firstRowLastColumn="0" w:lastRowFirstColumn="0" w:lastRowLastColumn="0"/>
        </w:trPr>
        <w:tc>
          <w:tcPr>
            <w:tcW w:w="1172" w:type="pct"/>
            <w:tcBorders>
              <w:left w:val="nil"/>
            </w:tcBorders>
          </w:tcPr>
          <w:p w14:paraId="01E5D6D3" w14:textId="77777777" w:rsidR="005E2E3E" w:rsidRPr="005E2E3E" w:rsidRDefault="005E2E3E" w:rsidP="00324EB7">
            <w:pPr>
              <w:pStyle w:val="TableHeading1"/>
            </w:pPr>
            <w:r w:rsidRPr="005E2E3E">
              <w:t>Operation</w:t>
            </w:r>
          </w:p>
        </w:tc>
        <w:tc>
          <w:tcPr>
            <w:tcW w:w="781" w:type="pct"/>
          </w:tcPr>
          <w:p w14:paraId="696F1A64" w14:textId="77777777" w:rsidR="005E2E3E" w:rsidRPr="005E2E3E" w:rsidRDefault="005E2E3E" w:rsidP="00324EB7">
            <w:pPr>
              <w:pStyle w:val="TableHeading1"/>
            </w:pPr>
            <w:r w:rsidRPr="005E2E3E">
              <w:t>Date</w:t>
            </w:r>
          </w:p>
        </w:tc>
        <w:tc>
          <w:tcPr>
            <w:tcW w:w="1016" w:type="pct"/>
            <w:hideMark/>
          </w:tcPr>
          <w:p w14:paraId="665461F1" w14:textId="77777777" w:rsidR="005E2E3E" w:rsidRPr="005E2E3E" w:rsidRDefault="005E2E3E" w:rsidP="00324EB7">
            <w:pPr>
              <w:pStyle w:val="TableHeading1"/>
            </w:pPr>
            <w:r w:rsidRPr="005E2E3E">
              <w:t>Who</w:t>
            </w:r>
          </w:p>
        </w:tc>
        <w:tc>
          <w:tcPr>
            <w:tcW w:w="2031" w:type="pct"/>
            <w:hideMark/>
          </w:tcPr>
          <w:p w14:paraId="4E3E55CF" w14:textId="77777777" w:rsidR="005E2E3E" w:rsidRPr="005E2E3E" w:rsidRDefault="005E2E3E" w:rsidP="00324EB7">
            <w:pPr>
              <w:pStyle w:val="TableHeading1"/>
            </w:pPr>
            <w:r w:rsidRPr="005E2E3E">
              <w:t>Result</w:t>
            </w:r>
          </w:p>
        </w:tc>
      </w:tr>
      <w:tr w:rsidR="007474EF" w14:paraId="30922AE6" w14:textId="77777777">
        <w:tc>
          <w:tcPr>
            <w:tcW w:w="1172" w:type="pct"/>
            <w:tcBorders>
              <w:top w:val="single" w:sz="4" w:space="0" w:color="auto"/>
              <w:left w:val="nil"/>
              <w:bottom w:val="single" w:sz="4" w:space="0" w:color="auto"/>
              <w:right w:val="nil"/>
            </w:tcBorders>
            <w:hideMark/>
          </w:tcPr>
          <w:p w14:paraId="5AA1FEA0" w14:textId="5DA6EB04" w:rsidR="007474EF" w:rsidRPr="007474EF" w:rsidRDefault="003D2D1F" w:rsidP="007474EF">
            <w:pPr>
              <w:pStyle w:val="TableBodyText"/>
            </w:pPr>
            <w:r>
              <w:t>Topi</w:t>
            </w:r>
          </w:p>
        </w:tc>
        <w:tc>
          <w:tcPr>
            <w:tcW w:w="781" w:type="pct"/>
            <w:tcBorders>
              <w:top w:val="single" w:sz="4" w:space="0" w:color="auto"/>
              <w:left w:val="nil"/>
              <w:bottom w:val="single" w:sz="4" w:space="0" w:color="auto"/>
              <w:right w:val="nil"/>
            </w:tcBorders>
            <w:shd w:val="clear" w:color="auto" w:fill="F2F2F2" w:themeFill="background1" w:themeFillShade="F2"/>
          </w:tcPr>
          <w:p w14:paraId="13B21BFD" w14:textId="6792E459" w:rsidR="007474EF" w:rsidRPr="007474EF" w:rsidRDefault="003D2D1F" w:rsidP="00324EB7">
            <w:pPr>
              <w:pStyle w:val="TableBodyText"/>
            </w:pPr>
            <w:r>
              <w:t>8 July 2022</w:t>
            </w:r>
          </w:p>
        </w:tc>
        <w:tc>
          <w:tcPr>
            <w:tcW w:w="1016" w:type="pct"/>
            <w:tcBorders>
              <w:top w:val="single" w:sz="4" w:space="0" w:color="auto"/>
              <w:left w:val="nil"/>
              <w:bottom w:val="single" w:sz="4" w:space="0" w:color="auto"/>
              <w:right w:val="nil"/>
            </w:tcBorders>
            <w:shd w:val="clear" w:color="auto" w:fill="F2F2F2" w:themeFill="background1" w:themeFillShade="F2"/>
          </w:tcPr>
          <w:p w14:paraId="32E886E9" w14:textId="094F2538" w:rsidR="007474EF" w:rsidRPr="007474EF" w:rsidRDefault="003522F2" w:rsidP="00324EB7">
            <w:pPr>
              <w:pStyle w:val="TableBodyText"/>
              <w:rPr>
                <w:rStyle w:val="Characterbold"/>
              </w:rPr>
            </w:pPr>
            <w:r>
              <w:t xml:space="preserve">Aiden </w:t>
            </w:r>
            <w:r w:rsidR="003D2D1F">
              <w:t>Magnik</w:t>
            </w:r>
          </w:p>
        </w:tc>
        <w:tc>
          <w:tcPr>
            <w:tcW w:w="2031" w:type="pct"/>
            <w:tcBorders>
              <w:top w:val="single" w:sz="4" w:space="0" w:color="auto"/>
              <w:left w:val="nil"/>
              <w:bottom w:val="single" w:sz="4" w:space="0" w:color="auto"/>
              <w:right w:val="nil"/>
            </w:tcBorders>
          </w:tcPr>
          <w:p w14:paraId="1D8C75DC" w14:textId="3AF2ED4E" w:rsidR="007474EF" w:rsidRPr="007474EF" w:rsidRDefault="00CA5402" w:rsidP="00324EB7">
            <w:pPr>
              <w:pStyle w:val="TableBodyText"/>
              <w:rPr>
                <w:rStyle w:val="Characterbold"/>
              </w:rPr>
            </w:pPr>
            <w:r>
              <w:t>C</w:t>
            </w:r>
            <w:r w:rsidR="00355D03" w:rsidRPr="00355D03">
              <w:t>onvicted and sentenced to a C</w:t>
            </w:r>
            <w:r w:rsidR="009B3510">
              <w:t xml:space="preserve">ommunity </w:t>
            </w:r>
            <w:r w:rsidR="00355D03" w:rsidRPr="00355D03">
              <w:t>C</w:t>
            </w:r>
            <w:r w:rsidR="009B3510">
              <w:t xml:space="preserve">orrection </w:t>
            </w:r>
            <w:r w:rsidR="00355D03" w:rsidRPr="00355D03">
              <w:t>O</w:t>
            </w:r>
            <w:r w:rsidR="009B3510">
              <w:t>rder (CCO</w:t>
            </w:r>
            <w:r w:rsidR="004C255C">
              <w:t>)</w:t>
            </w:r>
            <w:r w:rsidR="00355D03" w:rsidRPr="00355D03">
              <w:t xml:space="preserve"> for </w:t>
            </w:r>
            <w:r w:rsidR="00F41799">
              <w:t>two</w:t>
            </w:r>
            <w:r w:rsidR="00355D03" w:rsidRPr="00355D03">
              <w:t xml:space="preserve"> years with 240 hours of community work</w:t>
            </w:r>
          </w:p>
        </w:tc>
      </w:tr>
      <w:tr w:rsidR="007474EF" w14:paraId="06E72733" w14:textId="77777777">
        <w:tc>
          <w:tcPr>
            <w:tcW w:w="1172" w:type="pct"/>
            <w:tcBorders>
              <w:top w:val="single" w:sz="4" w:space="0" w:color="auto"/>
              <w:left w:val="nil"/>
              <w:bottom w:val="single" w:sz="4" w:space="0" w:color="auto"/>
              <w:right w:val="nil"/>
            </w:tcBorders>
            <w:hideMark/>
          </w:tcPr>
          <w:p w14:paraId="7284994F" w14:textId="6B13B933" w:rsidR="007474EF" w:rsidRPr="007474EF" w:rsidRDefault="00355D03" w:rsidP="00324EB7">
            <w:pPr>
              <w:pStyle w:val="TableBodyText"/>
            </w:pPr>
            <w:r>
              <w:t>Naxos</w:t>
            </w:r>
          </w:p>
        </w:tc>
        <w:tc>
          <w:tcPr>
            <w:tcW w:w="781" w:type="pct"/>
            <w:tcBorders>
              <w:top w:val="single" w:sz="4" w:space="0" w:color="auto"/>
              <w:left w:val="nil"/>
              <w:bottom w:val="single" w:sz="4" w:space="0" w:color="auto"/>
              <w:right w:val="nil"/>
            </w:tcBorders>
            <w:shd w:val="clear" w:color="auto" w:fill="F2F2F2" w:themeFill="background1" w:themeFillShade="F2"/>
          </w:tcPr>
          <w:p w14:paraId="63FA7125" w14:textId="6EB4D9E1" w:rsidR="007474EF" w:rsidRPr="007474EF" w:rsidRDefault="00355D03" w:rsidP="00324EB7">
            <w:pPr>
              <w:pStyle w:val="TableBodyText"/>
            </w:pPr>
            <w:r>
              <w:t>28 July 2022</w:t>
            </w:r>
          </w:p>
        </w:tc>
        <w:tc>
          <w:tcPr>
            <w:tcW w:w="1016" w:type="pct"/>
            <w:tcBorders>
              <w:top w:val="single" w:sz="4" w:space="0" w:color="auto"/>
              <w:left w:val="nil"/>
              <w:bottom w:val="single" w:sz="4" w:space="0" w:color="auto"/>
              <w:right w:val="nil"/>
            </w:tcBorders>
            <w:shd w:val="clear" w:color="auto" w:fill="F2F2F2" w:themeFill="background1" w:themeFillShade="F2"/>
          </w:tcPr>
          <w:p w14:paraId="19D3859D" w14:textId="7F6FAFD0" w:rsidR="007474EF" w:rsidRPr="004C255C" w:rsidRDefault="00472B63" w:rsidP="00324EB7">
            <w:pPr>
              <w:pStyle w:val="TableBodyText"/>
              <w:rPr>
                <w:rStyle w:val="Characterbold"/>
                <w:b w:val="0"/>
              </w:rPr>
            </w:pPr>
            <w:r w:rsidRPr="00472B63">
              <w:t>Justin</w:t>
            </w:r>
            <w:r w:rsidR="006B6BCB" w:rsidRPr="00324EB7">
              <w:t xml:space="preserve"> Mammarella</w:t>
            </w:r>
          </w:p>
        </w:tc>
        <w:tc>
          <w:tcPr>
            <w:tcW w:w="2031" w:type="pct"/>
            <w:tcBorders>
              <w:top w:val="single" w:sz="4" w:space="0" w:color="auto"/>
              <w:left w:val="nil"/>
              <w:bottom w:val="single" w:sz="4" w:space="0" w:color="auto"/>
              <w:right w:val="nil"/>
            </w:tcBorders>
          </w:tcPr>
          <w:p w14:paraId="62B9A476" w14:textId="1C20922B" w:rsidR="007474EF" w:rsidRPr="007474EF" w:rsidRDefault="00CA5402" w:rsidP="00324EB7">
            <w:pPr>
              <w:pStyle w:val="TableBodyText"/>
              <w:rPr>
                <w:rStyle w:val="Characterbold"/>
              </w:rPr>
            </w:pPr>
            <w:r>
              <w:t>C</w:t>
            </w:r>
            <w:r w:rsidR="006B6BCB">
              <w:t>onvicted and sentenced to</w:t>
            </w:r>
            <w:r w:rsidR="009B3510">
              <w:t xml:space="preserve"> a CCO for </w:t>
            </w:r>
            <w:r w:rsidR="00F41799">
              <w:t>three</w:t>
            </w:r>
            <w:r w:rsidR="009B3510">
              <w:t xml:space="preserve"> years with </w:t>
            </w:r>
            <w:r w:rsidR="00472B63" w:rsidRPr="00472B63">
              <w:t>275 hours of community work</w:t>
            </w:r>
          </w:p>
        </w:tc>
      </w:tr>
    </w:tbl>
    <w:p w14:paraId="0E3B824F" w14:textId="77777777" w:rsidR="005E2E3E" w:rsidRPr="002854A2" w:rsidRDefault="005E2E3E" w:rsidP="002854A2"/>
    <w:tbl>
      <w:tblPr>
        <w:tblStyle w:val="CustomTablecasestudy"/>
        <w:tblW w:w="0" w:type="auto"/>
        <w:tblLook w:val="04A0" w:firstRow="1" w:lastRow="0" w:firstColumn="1" w:lastColumn="0" w:noHBand="0" w:noVBand="1"/>
      </w:tblPr>
      <w:tblGrid>
        <w:gridCol w:w="9027"/>
      </w:tblGrid>
      <w:tr w:rsidR="0071343D" w14:paraId="2C551E07" w14:textId="77777777" w:rsidTr="0071343D">
        <w:trPr>
          <w:cnfStyle w:val="100000000000" w:firstRow="1" w:lastRow="0" w:firstColumn="0" w:lastColumn="0" w:oddVBand="0" w:evenVBand="0" w:oddHBand="0" w:evenHBand="0" w:firstRowFirstColumn="0" w:firstRowLastColumn="0" w:lastRowFirstColumn="0" w:lastRowLastColumn="0"/>
        </w:trPr>
        <w:tc>
          <w:tcPr>
            <w:tcW w:w="9027" w:type="dxa"/>
          </w:tcPr>
          <w:p w14:paraId="4C46D87D" w14:textId="1EFF87E8" w:rsidR="0071343D" w:rsidRPr="007E78B5" w:rsidRDefault="0071343D" w:rsidP="007E78B5">
            <w:pPr>
              <w:pStyle w:val="Headingcasestudy"/>
            </w:pPr>
            <w:r w:rsidRPr="007E78B5">
              <w:t>Operation Naxos</w:t>
            </w:r>
          </w:p>
          <w:p w14:paraId="348652C5" w14:textId="3E58804C" w:rsidR="0071343D" w:rsidRDefault="0071343D" w:rsidP="0071343D">
            <w:pPr>
              <w:pStyle w:val="BodyText"/>
            </w:pPr>
            <w:r>
              <w:t>IBAC’s Operation Naxos investigated allegations of fraudulent practices within the electorate office of a former member of the Victorian Parliament. The allegations related to the misuse of taxpayer-funded resources to assist Justin Mammarella’s preselection campaign for the 2018 Victorian state election through branch stacking.</w:t>
            </w:r>
          </w:p>
          <w:p w14:paraId="202228CF" w14:textId="047C185D" w:rsidR="0071343D" w:rsidRDefault="0071343D" w:rsidP="0071343D">
            <w:pPr>
              <w:pStyle w:val="BodyText"/>
            </w:pPr>
            <w:r>
              <w:t>Operation Naxos resulted in four people being charged, including two former electorate officers previously employed by the Department of Parliamentary Services and a volunteer. The charges related to conspiracy to attempt to pervert the course of justice, perjury, conspiracy to mislead IBAC and disclosure of IBAC information.</w:t>
            </w:r>
          </w:p>
          <w:p w14:paraId="59844D7D" w14:textId="77777777" w:rsidR="0071343D" w:rsidRDefault="0071343D" w:rsidP="0071343D">
            <w:pPr>
              <w:pStyle w:val="BodyText"/>
            </w:pPr>
            <w:r>
              <w:t>In 2018, former Melton mayor and Labor candidate, Justin Mammarella, and his father, Umberto ‘Robert’ Mammarella, a former electorate officer, conspired to give false evidence to IBAC regarding the use of stationery within the Cairnlea electorate office.</w:t>
            </w:r>
          </w:p>
          <w:p w14:paraId="439D8868" w14:textId="47843170" w:rsidR="0071343D" w:rsidRDefault="0071343D" w:rsidP="0071343D">
            <w:pPr>
              <w:pStyle w:val="BodyText"/>
            </w:pPr>
            <w:r>
              <w:t xml:space="preserve">In July 2022, Justin Mammarella pleaded guilty in the Melbourne County Court to conspiring to attempt to pervert the course of justice, perjury and possessing an imitation firearm without the proper permit. He was sentenced to a three-year </w:t>
            </w:r>
            <w:r w:rsidR="00472B63">
              <w:t xml:space="preserve">CCO </w:t>
            </w:r>
            <w:r>
              <w:t>with 375 hours of community work and fined $600.</w:t>
            </w:r>
          </w:p>
          <w:p w14:paraId="3342FF9E" w14:textId="00A333F3" w:rsidR="0071343D" w:rsidRDefault="00472B63" w:rsidP="0071343D">
            <w:pPr>
              <w:pStyle w:val="BodyText"/>
            </w:pPr>
            <w:r w:rsidRPr="00472B63">
              <w:t xml:space="preserve">In a previous reporting period, </w:t>
            </w:r>
            <w:r w:rsidR="0071343D">
              <w:t>Robert Mammarella pleaded guilty to one charge of conspiring to pervert the course of justice and one charge of perjury. He was sentenced to a three-year CCO and fined $12,000.</w:t>
            </w:r>
          </w:p>
        </w:tc>
      </w:tr>
    </w:tbl>
    <w:p w14:paraId="080FAAD3" w14:textId="77777777" w:rsidR="0071343D" w:rsidRPr="002854A2" w:rsidRDefault="0071343D" w:rsidP="002854A2"/>
    <w:tbl>
      <w:tblPr>
        <w:tblStyle w:val="CustomTablecasestudy"/>
        <w:tblW w:w="0" w:type="auto"/>
        <w:tblLook w:val="04A0" w:firstRow="1" w:lastRow="0" w:firstColumn="1" w:lastColumn="0" w:noHBand="0" w:noVBand="1"/>
      </w:tblPr>
      <w:tblGrid>
        <w:gridCol w:w="9027"/>
      </w:tblGrid>
      <w:tr w:rsidR="005E2E3E" w14:paraId="00CD2489" w14:textId="77777777">
        <w:trPr>
          <w:cnfStyle w:val="100000000000" w:firstRow="1" w:lastRow="0" w:firstColumn="0" w:lastColumn="0" w:oddVBand="0" w:evenVBand="0" w:oddHBand="0" w:evenHBand="0" w:firstRowFirstColumn="0" w:firstRowLastColumn="0" w:lastRowFirstColumn="0" w:lastRowLastColumn="0"/>
        </w:trPr>
        <w:tc>
          <w:tcPr>
            <w:tcW w:w="9027" w:type="dxa"/>
          </w:tcPr>
          <w:p w14:paraId="611844BF" w14:textId="5D09DDE5" w:rsidR="005E2E3E" w:rsidRPr="00CA5402" w:rsidRDefault="005E2E3E" w:rsidP="00CA5402">
            <w:pPr>
              <w:pStyle w:val="Headingcasestudy"/>
            </w:pPr>
            <w:r w:rsidRPr="00CA5402">
              <w:t>Operation Topi</w:t>
            </w:r>
          </w:p>
          <w:p w14:paraId="7B124BCB" w14:textId="77777777" w:rsidR="005E2E3E" w:rsidRPr="005E2E3E" w:rsidRDefault="005E2E3E" w:rsidP="005E2E3E">
            <w:pPr>
              <w:pStyle w:val="BodyText"/>
            </w:pPr>
            <w:r w:rsidRPr="005E2E3E">
              <w:t xml:space="preserve">IBAC commenced Operation Topi in July 2017 after receiving a notification from Frankston City Council. </w:t>
            </w:r>
          </w:p>
          <w:p w14:paraId="07F2A6FB" w14:textId="4DE02B64" w:rsidR="005E2E3E" w:rsidRPr="005E2E3E" w:rsidRDefault="005E2E3E" w:rsidP="005E2E3E">
            <w:pPr>
              <w:pStyle w:val="BodyText"/>
            </w:pPr>
            <w:r w:rsidRPr="005E2E3E">
              <w:t xml:space="preserve">The IBAC investigation examined procurement practices and found that a council officer played a critical role in assisting a contractor to obtain a </w:t>
            </w:r>
            <w:r w:rsidR="00472B63" w:rsidRPr="00472B63">
              <w:t>significant</w:t>
            </w:r>
            <w:r w:rsidRPr="005E2E3E">
              <w:t xml:space="preserve"> financial advantage by </w:t>
            </w:r>
            <w:r w:rsidR="00472B63" w:rsidRPr="00472B63">
              <w:t>amending the contractor’s invoices so that their value substantially exceeded the original value of associated purchase orders</w:t>
            </w:r>
            <w:r w:rsidRPr="005E2E3E">
              <w:t xml:space="preserve">. The council officer also received a financial benefit in the form of payments from the contractor. </w:t>
            </w:r>
          </w:p>
          <w:p w14:paraId="02FCA4CF" w14:textId="77777777" w:rsidR="005E2E3E" w:rsidRPr="005E2E3E" w:rsidRDefault="005E2E3E" w:rsidP="005E2E3E">
            <w:pPr>
              <w:pStyle w:val="BodyText"/>
            </w:pPr>
            <w:r w:rsidRPr="005E2E3E">
              <w:t xml:space="preserve">In January 2019, IBAC brought criminal proceedings against former Frankston City Council manager, Andrew Williamson, in relation to these procurement activities. IBAC also charged Aiden Magnik, owner of the contractor company that supplied services to Frankston City Council.  </w:t>
            </w:r>
          </w:p>
          <w:p w14:paraId="314B4076" w14:textId="1C0BD7FC" w:rsidR="005E2E3E" w:rsidRPr="005E2E3E" w:rsidRDefault="005E2E3E" w:rsidP="005E2E3E">
            <w:pPr>
              <w:pStyle w:val="BodyText"/>
            </w:pPr>
            <w:r w:rsidRPr="005E2E3E">
              <w:t xml:space="preserve">Andrew Williamson pleaded guilty and on 22 October 2020 was sentenced on charges of obtaining property by deception, attempting to commit an indictable offence and misconduct in public office. </w:t>
            </w:r>
            <w:r w:rsidR="00472B63" w:rsidRPr="00472B63">
              <w:t>He was sentenced to a 14</w:t>
            </w:r>
            <w:r w:rsidR="00D21A2D">
              <w:t>-</w:t>
            </w:r>
            <w:r w:rsidR="00472B63" w:rsidRPr="00472B63">
              <w:t>month term of immediate imprisonment followed by a CCO</w:t>
            </w:r>
            <w:r w:rsidR="00472B63">
              <w:t>.</w:t>
            </w:r>
          </w:p>
          <w:p w14:paraId="2EF4CF9A" w14:textId="2BED8A90" w:rsidR="005E2E3E" w:rsidRPr="005E2E3E" w:rsidRDefault="005E2E3E" w:rsidP="005E2E3E">
            <w:pPr>
              <w:pStyle w:val="BodyText"/>
            </w:pPr>
            <w:r w:rsidRPr="005E2E3E">
              <w:t xml:space="preserve">Aiden Magnik pleaded guilty to obtaining property by deception. On 8 July 2022, he was convicted and sentenced at the Melbourne County Court to a </w:t>
            </w:r>
            <w:r w:rsidR="00472B63">
              <w:t>CCO</w:t>
            </w:r>
            <w:r w:rsidRPr="005E2E3E">
              <w:t xml:space="preserve"> for two years, with an order that he perform 240 hours of unpaid community work.</w:t>
            </w:r>
          </w:p>
        </w:tc>
      </w:tr>
      <w:bookmarkEnd w:id="65"/>
    </w:tbl>
    <w:p w14:paraId="0BB16DEA" w14:textId="77777777" w:rsidR="00B75142" w:rsidRPr="007211D6" w:rsidRDefault="00B75142" w:rsidP="007211D6">
      <w:pPr>
        <w:pStyle w:val="TableNote"/>
        <w:rPr>
          <w:rFonts w:eastAsiaTheme="minorHAnsi"/>
        </w:rPr>
        <w:sectPr w:rsidR="00B75142" w:rsidRPr="007211D6" w:rsidSect="00572586">
          <w:headerReference w:type="even" r:id="rId47"/>
          <w:headerReference w:type="default" r:id="rId48"/>
          <w:headerReference w:type="first" r:id="rId49"/>
          <w:pgSz w:w="11907" w:h="16839" w:code="9"/>
          <w:pgMar w:top="1440" w:right="1440" w:bottom="1440" w:left="1440" w:header="720" w:footer="720" w:gutter="0"/>
          <w:cols w:space="720"/>
          <w:titlePg/>
          <w:docGrid w:linePitch="360"/>
        </w:sectPr>
      </w:pPr>
    </w:p>
    <w:p w14:paraId="1C02BE68" w14:textId="77777777" w:rsidR="00EE480E" w:rsidRPr="000E0EB4" w:rsidRDefault="009C2188" w:rsidP="000E0EB4">
      <w:pPr>
        <w:pStyle w:val="Heading1"/>
      </w:pPr>
      <w:bookmarkStart w:id="124" w:name="_Toc143602916"/>
      <w:bookmarkStart w:id="125" w:name="_Toc143602917"/>
      <w:bookmarkStart w:id="126" w:name="_Toc133920503"/>
      <w:bookmarkStart w:id="127" w:name="_Toc149131447"/>
      <w:bookmarkEnd w:id="124"/>
      <w:bookmarkEnd w:id="125"/>
      <w:r w:rsidRPr="000E0EB4">
        <w:t>Our people and organisation</w:t>
      </w:r>
      <w:bookmarkEnd w:id="126"/>
      <w:bookmarkEnd w:id="127"/>
    </w:p>
    <w:p w14:paraId="58EC55FF" w14:textId="1BBCAE58" w:rsidR="00DF5EE0" w:rsidRDefault="00C4766C">
      <w:pPr>
        <w:pStyle w:val="TOC2"/>
        <w:rPr>
          <w:rFonts w:asciiTheme="minorHAnsi" w:eastAsiaTheme="minorEastAsia" w:hAnsiTheme="minorHAnsi"/>
          <w:noProof/>
          <w:kern w:val="2"/>
          <w:sz w:val="24"/>
          <w:szCs w:val="24"/>
          <w:lang w:eastAsia="en-GB"/>
          <w14:ligatures w14:val="standardContextual"/>
        </w:rPr>
      </w:pPr>
      <w:r>
        <w:rPr>
          <w:lang w:eastAsia="en-AU"/>
        </w:rPr>
        <w:fldChar w:fldCharType="begin"/>
      </w:r>
      <w:r>
        <w:rPr>
          <w:lang w:eastAsia="en-AU"/>
        </w:rPr>
        <w:instrText xml:space="preserve"> TOC \</w:instrText>
      </w:r>
      <w:r w:rsidRPr="00C4766C">
        <w:rPr>
          <w:lang w:eastAsia="en-AU"/>
        </w:rPr>
        <w:instrText>o “1-3” \h \z \u \b</w:instrText>
      </w:r>
      <w:r>
        <w:rPr>
          <w:lang w:eastAsia="en-AU"/>
        </w:rPr>
        <w:instrText xml:space="preserve"> S3 \* MERGEFORMAT </w:instrText>
      </w:r>
      <w:r>
        <w:rPr>
          <w:lang w:eastAsia="en-AU"/>
        </w:rPr>
        <w:fldChar w:fldCharType="separate"/>
      </w:r>
      <w:hyperlink w:anchor="_Toc149131708" w:history="1">
        <w:r w:rsidR="00DF5EE0" w:rsidRPr="00E45665">
          <w:rPr>
            <w:rStyle w:val="Hyperlink"/>
            <w:noProof/>
          </w:rPr>
          <w:t>Organisational enablement</w:t>
        </w:r>
        <w:r w:rsidR="00DF5EE0">
          <w:rPr>
            <w:noProof/>
            <w:webHidden/>
          </w:rPr>
          <w:tab/>
        </w:r>
        <w:r w:rsidR="00DF5EE0">
          <w:rPr>
            <w:noProof/>
            <w:webHidden/>
          </w:rPr>
          <w:fldChar w:fldCharType="begin"/>
        </w:r>
        <w:r w:rsidR="00DF5EE0">
          <w:rPr>
            <w:noProof/>
            <w:webHidden/>
          </w:rPr>
          <w:instrText xml:space="preserve"> PAGEREF _Toc149131708 \h </w:instrText>
        </w:r>
        <w:r w:rsidR="00DF5EE0">
          <w:rPr>
            <w:noProof/>
            <w:webHidden/>
          </w:rPr>
        </w:r>
        <w:r w:rsidR="00DF5EE0">
          <w:rPr>
            <w:noProof/>
            <w:webHidden/>
          </w:rPr>
          <w:fldChar w:fldCharType="separate"/>
        </w:r>
        <w:r w:rsidR="00DF5EE0">
          <w:rPr>
            <w:noProof/>
            <w:webHidden/>
          </w:rPr>
          <w:t>55</w:t>
        </w:r>
        <w:r w:rsidR="00DF5EE0">
          <w:rPr>
            <w:noProof/>
            <w:webHidden/>
          </w:rPr>
          <w:fldChar w:fldCharType="end"/>
        </w:r>
      </w:hyperlink>
    </w:p>
    <w:p w14:paraId="7DABF901" w14:textId="4EE14913" w:rsidR="00DF5EE0" w:rsidRDefault="00F31239">
      <w:pPr>
        <w:pStyle w:val="TOC3"/>
        <w:rPr>
          <w:rFonts w:asciiTheme="minorHAnsi" w:eastAsiaTheme="minorEastAsia" w:hAnsiTheme="minorHAnsi"/>
          <w:noProof/>
          <w:kern w:val="2"/>
          <w:sz w:val="24"/>
          <w:szCs w:val="24"/>
          <w:lang w:eastAsia="en-GB"/>
          <w14:ligatures w14:val="standardContextual"/>
        </w:rPr>
      </w:pPr>
      <w:hyperlink w:anchor="_Toc149131709" w:history="1">
        <w:r w:rsidR="00DF5EE0" w:rsidRPr="00E45665">
          <w:rPr>
            <w:rStyle w:val="Hyperlink"/>
            <w:noProof/>
          </w:rPr>
          <w:t>Strategic initiatives</w:t>
        </w:r>
        <w:r w:rsidR="00DF5EE0">
          <w:rPr>
            <w:noProof/>
            <w:webHidden/>
          </w:rPr>
          <w:tab/>
        </w:r>
        <w:r w:rsidR="00DF5EE0">
          <w:rPr>
            <w:noProof/>
            <w:webHidden/>
          </w:rPr>
          <w:fldChar w:fldCharType="begin"/>
        </w:r>
        <w:r w:rsidR="00DF5EE0">
          <w:rPr>
            <w:noProof/>
            <w:webHidden/>
          </w:rPr>
          <w:instrText xml:space="preserve"> PAGEREF _Toc149131709 \h </w:instrText>
        </w:r>
        <w:r w:rsidR="00DF5EE0">
          <w:rPr>
            <w:noProof/>
            <w:webHidden/>
          </w:rPr>
        </w:r>
        <w:r w:rsidR="00DF5EE0">
          <w:rPr>
            <w:noProof/>
            <w:webHidden/>
          </w:rPr>
          <w:fldChar w:fldCharType="separate"/>
        </w:r>
        <w:r w:rsidR="00DF5EE0">
          <w:rPr>
            <w:noProof/>
            <w:webHidden/>
          </w:rPr>
          <w:t>55</w:t>
        </w:r>
        <w:r w:rsidR="00DF5EE0">
          <w:rPr>
            <w:noProof/>
            <w:webHidden/>
          </w:rPr>
          <w:fldChar w:fldCharType="end"/>
        </w:r>
      </w:hyperlink>
    </w:p>
    <w:p w14:paraId="497C8A08" w14:textId="4B45DBC0" w:rsidR="00DF5EE0" w:rsidRDefault="00F31239">
      <w:pPr>
        <w:pStyle w:val="TOC3"/>
        <w:rPr>
          <w:rFonts w:asciiTheme="minorHAnsi" w:eastAsiaTheme="minorEastAsia" w:hAnsiTheme="minorHAnsi"/>
          <w:noProof/>
          <w:kern w:val="2"/>
          <w:sz w:val="24"/>
          <w:szCs w:val="24"/>
          <w:lang w:eastAsia="en-GB"/>
          <w14:ligatures w14:val="standardContextual"/>
        </w:rPr>
      </w:pPr>
      <w:hyperlink w:anchor="_Toc149131710" w:history="1">
        <w:r w:rsidR="00DF5EE0" w:rsidRPr="00E45665">
          <w:rPr>
            <w:rStyle w:val="Hyperlink"/>
            <w:noProof/>
          </w:rPr>
          <w:t>Other core activity</w:t>
        </w:r>
        <w:r w:rsidR="00DF5EE0">
          <w:rPr>
            <w:noProof/>
            <w:webHidden/>
          </w:rPr>
          <w:tab/>
        </w:r>
        <w:r w:rsidR="00DF5EE0">
          <w:rPr>
            <w:noProof/>
            <w:webHidden/>
          </w:rPr>
          <w:fldChar w:fldCharType="begin"/>
        </w:r>
        <w:r w:rsidR="00DF5EE0">
          <w:rPr>
            <w:noProof/>
            <w:webHidden/>
          </w:rPr>
          <w:instrText xml:space="preserve"> PAGEREF _Toc149131710 \h </w:instrText>
        </w:r>
        <w:r w:rsidR="00DF5EE0">
          <w:rPr>
            <w:noProof/>
            <w:webHidden/>
          </w:rPr>
        </w:r>
        <w:r w:rsidR="00DF5EE0">
          <w:rPr>
            <w:noProof/>
            <w:webHidden/>
          </w:rPr>
          <w:fldChar w:fldCharType="separate"/>
        </w:r>
        <w:r w:rsidR="00DF5EE0">
          <w:rPr>
            <w:noProof/>
            <w:webHidden/>
          </w:rPr>
          <w:t>57</w:t>
        </w:r>
        <w:r w:rsidR="00DF5EE0">
          <w:rPr>
            <w:noProof/>
            <w:webHidden/>
          </w:rPr>
          <w:fldChar w:fldCharType="end"/>
        </w:r>
      </w:hyperlink>
    </w:p>
    <w:p w14:paraId="49C839AF" w14:textId="7D4D66E6" w:rsidR="00DF5EE0" w:rsidRDefault="00F31239">
      <w:pPr>
        <w:pStyle w:val="TOC2"/>
        <w:rPr>
          <w:rFonts w:asciiTheme="minorHAnsi" w:eastAsiaTheme="minorEastAsia" w:hAnsiTheme="minorHAnsi"/>
          <w:noProof/>
          <w:kern w:val="2"/>
          <w:sz w:val="24"/>
          <w:szCs w:val="24"/>
          <w:lang w:eastAsia="en-GB"/>
          <w14:ligatures w14:val="standardContextual"/>
        </w:rPr>
      </w:pPr>
      <w:hyperlink w:anchor="_Toc149131711" w:history="1">
        <w:r w:rsidR="00DF5EE0" w:rsidRPr="00E45665">
          <w:rPr>
            <w:rStyle w:val="Hyperlink"/>
            <w:noProof/>
          </w:rPr>
          <w:t>People and organisation</w:t>
        </w:r>
        <w:r w:rsidR="00DF5EE0">
          <w:rPr>
            <w:noProof/>
            <w:webHidden/>
          </w:rPr>
          <w:tab/>
        </w:r>
        <w:r w:rsidR="00DF5EE0">
          <w:rPr>
            <w:noProof/>
            <w:webHidden/>
          </w:rPr>
          <w:fldChar w:fldCharType="begin"/>
        </w:r>
        <w:r w:rsidR="00DF5EE0">
          <w:rPr>
            <w:noProof/>
            <w:webHidden/>
          </w:rPr>
          <w:instrText xml:space="preserve"> PAGEREF _Toc149131711 \h </w:instrText>
        </w:r>
        <w:r w:rsidR="00DF5EE0">
          <w:rPr>
            <w:noProof/>
            <w:webHidden/>
          </w:rPr>
        </w:r>
        <w:r w:rsidR="00DF5EE0">
          <w:rPr>
            <w:noProof/>
            <w:webHidden/>
          </w:rPr>
          <w:fldChar w:fldCharType="separate"/>
        </w:r>
        <w:r w:rsidR="00DF5EE0">
          <w:rPr>
            <w:noProof/>
            <w:webHidden/>
          </w:rPr>
          <w:t>58</w:t>
        </w:r>
        <w:r w:rsidR="00DF5EE0">
          <w:rPr>
            <w:noProof/>
            <w:webHidden/>
          </w:rPr>
          <w:fldChar w:fldCharType="end"/>
        </w:r>
      </w:hyperlink>
    </w:p>
    <w:p w14:paraId="2159D42E" w14:textId="3C13A37D" w:rsidR="00DF5EE0" w:rsidRDefault="00F31239">
      <w:pPr>
        <w:pStyle w:val="TOC3"/>
        <w:rPr>
          <w:rFonts w:asciiTheme="minorHAnsi" w:eastAsiaTheme="minorEastAsia" w:hAnsiTheme="minorHAnsi"/>
          <w:noProof/>
          <w:kern w:val="2"/>
          <w:sz w:val="24"/>
          <w:szCs w:val="24"/>
          <w:lang w:eastAsia="en-GB"/>
          <w14:ligatures w14:val="standardContextual"/>
        </w:rPr>
      </w:pPr>
      <w:hyperlink w:anchor="_Toc149131712" w:history="1">
        <w:r w:rsidR="00DF5EE0" w:rsidRPr="00E45665">
          <w:rPr>
            <w:rStyle w:val="Hyperlink"/>
            <w:noProof/>
          </w:rPr>
          <w:t>Organisational structure</w:t>
        </w:r>
        <w:r w:rsidR="00DF5EE0">
          <w:rPr>
            <w:noProof/>
            <w:webHidden/>
          </w:rPr>
          <w:tab/>
        </w:r>
        <w:r w:rsidR="00DF5EE0">
          <w:rPr>
            <w:noProof/>
            <w:webHidden/>
          </w:rPr>
          <w:fldChar w:fldCharType="begin"/>
        </w:r>
        <w:r w:rsidR="00DF5EE0">
          <w:rPr>
            <w:noProof/>
            <w:webHidden/>
          </w:rPr>
          <w:instrText xml:space="preserve"> PAGEREF _Toc149131712 \h </w:instrText>
        </w:r>
        <w:r w:rsidR="00DF5EE0">
          <w:rPr>
            <w:noProof/>
            <w:webHidden/>
          </w:rPr>
        </w:r>
        <w:r w:rsidR="00DF5EE0">
          <w:rPr>
            <w:noProof/>
            <w:webHidden/>
          </w:rPr>
          <w:fldChar w:fldCharType="separate"/>
        </w:r>
        <w:r w:rsidR="00DF5EE0">
          <w:rPr>
            <w:noProof/>
            <w:webHidden/>
          </w:rPr>
          <w:t>58</w:t>
        </w:r>
        <w:r w:rsidR="00DF5EE0">
          <w:rPr>
            <w:noProof/>
            <w:webHidden/>
          </w:rPr>
          <w:fldChar w:fldCharType="end"/>
        </w:r>
      </w:hyperlink>
    </w:p>
    <w:p w14:paraId="0E2DA7E1" w14:textId="1F970A90" w:rsidR="00DF5EE0" w:rsidRDefault="00F31239">
      <w:pPr>
        <w:pStyle w:val="TOC3"/>
        <w:rPr>
          <w:rFonts w:asciiTheme="minorHAnsi" w:eastAsiaTheme="minorEastAsia" w:hAnsiTheme="minorHAnsi"/>
          <w:noProof/>
          <w:kern w:val="2"/>
          <w:sz w:val="24"/>
          <w:szCs w:val="24"/>
          <w:lang w:eastAsia="en-GB"/>
          <w14:ligatures w14:val="standardContextual"/>
        </w:rPr>
      </w:pPr>
      <w:hyperlink w:anchor="_Toc149131713" w:history="1">
        <w:r w:rsidR="00DF5EE0" w:rsidRPr="00E45665">
          <w:rPr>
            <w:rStyle w:val="Hyperlink"/>
            <w:noProof/>
          </w:rPr>
          <w:t>Executive team</w:t>
        </w:r>
        <w:r w:rsidR="00DF5EE0">
          <w:rPr>
            <w:noProof/>
            <w:webHidden/>
          </w:rPr>
          <w:tab/>
        </w:r>
        <w:r w:rsidR="00DF5EE0">
          <w:rPr>
            <w:noProof/>
            <w:webHidden/>
          </w:rPr>
          <w:fldChar w:fldCharType="begin"/>
        </w:r>
        <w:r w:rsidR="00DF5EE0">
          <w:rPr>
            <w:noProof/>
            <w:webHidden/>
          </w:rPr>
          <w:instrText xml:space="preserve"> PAGEREF _Toc149131713 \h </w:instrText>
        </w:r>
        <w:r w:rsidR="00DF5EE0">
          <w:rPr>
            <w:noProof/>
            <w:webHidden/>
          </w:rPr>
        </w:r>
        <w:r w:rsidR="00DF5EE0">
          <w:rPr>
            <w:noProof/>
            <w:webHidden/>
          </w:rPr>
          <w:fldChar w:fldCharType="separate"/>
        </w:r>
        <w:r w:rsidR="00DF5EE0">
          <w:rPr>
            <w:noProof/>
            <w:webHidden/>
          </w:rPr>
          <w:t>59</w:t>
        </w:r>
        <w:r w:rsidR="00DF5EE0">
          <w:rPr>
            <w:noProof/>
            <w:webHidden/>
          </w:rPr>
          <w:fldChar w:fldCharType="end"/>
        </w:r>
      </w:hyperlink>
    </w:p>
    <w:p w14:paraId="088E1AF0" w14:textId="112BB083" w:rsidR="00DF5EE0" w:rsidRDefault="00F31239">
      <w:pPr>
        <w:pStyle w:val="TOC3"/>
        <w:rPr>
          <w:rFonts w:asciiTheme="minorHAnsi" w:eastAsiaTheme="minorEastAsia" w:hAnsiTheme="minorHAnsi"/>
          <w:noProof/>
          <w:kern w:val="2"/>
          <w:sz w:val="24"/>
          <w:szCs w:val="24"/>
          <w:lang w:eastAsia="en-GB"/>
          <w14:ligatures w14:val="standardContextual"/>
        </w:rPr>
      </w:pPr>
      <w:hyperlink w:anchor="_Toc149131714" w:history="1">
        <w:r w:rsidR="00DF5EE0" w:rsidRPr="00E45665">
          <w:rPr>
            <w:rStyle w:val="Hyperlink"/>
            <w:noProof/>
          </w:rPr>
          <w:t>Governance</w:t>
        </w:r>
        <w:r w:rsidR="00DF5EE0">
          <w:rPr>
            <w:noProof/>
            <w:webHidden/>
          </w:rPr>
          <w:tab/>
        </w:r>
        <w:r w:rsidR="00DF5EE0">
          <w:rPr>
            <w:noProof/>
            <w:webHidden/>
          </w:rPr>
          <w:fldChar w:fldCharType="begin"/>
        </w:r>
        <w:r w:rsidR="00DF5EE0">
          <w:rPr>
            <w:noProof/>
            <w:webHidden/>
          </w:rPr>
          <w:instrText xml:space="preserve"> PAGEREF _Toc149131714 \h </w:instrText>
        </w:r>
        <w:r w:rsidR="00DF5EE0">
          <w:rPr>
            <w:noProof/>
            <w:webHidden/>
          </w:rPr>
        </w:r>
        <w:r w:rsidR="00DF5EE0">
          <w:rPr>
            <w:noProof/>
            <w:webHidden/>
          </w:rPr>
          <w:fldChar w:fldCharType="separate"/>
        </w:r>
        <w:r w:rsidR="00DF5EE0">
          <w:rPr>
            <w:noProof/>
            <w:webHidden/>
          </w:rPr>
          <w:t>60</w:t>
        </w:r>
        <w:r w:rsidR="00DF5EE0">
          <w:rPr>
            <w:noProof/>
            <w:webHidden/>
          </w:rPr>
          <w:fldChar w:fldCharType="end"/>
        </w:r>
      </w:hyperlink>
    </w:p>
    <w:p w14:paraId="4EAC2581" w14:textId="3D42BA9A" w:rsidR="00DF5EE0" w:rsidRDefault="00F31239">
      <w:pPr>
        <w:pStyle w:val="TOC3"/>
        <w:rPr>
          <w:rFonts w:asciiTheme="minorHAnsi" w:eastAsiaTheme="minorEastAsia" w:hAnsiTheme="minorHAnsi"/>
          <w:noProof/>
          <w:kern w:val="2"/>
          <w:sz w:val="24"/>
          <w:szCs w:val="24"/>
          <w:lang w:eastAsia="en-GB"/>
          <w14:ligatures w14:val="standardContextual"/>
        </w:rPr>
      </w:pPr>
      <w:hyperlink w:anchor="_Toc149131715" w:history="1">
        <w:r w:rsidR="00DF5EE0" w:rsidRPr="00E45665">
          <w:rPr>
            <w:rStyle w:val="Hyperlink"/>
            <w:noProof/>
          </w:rPr>
          <w:t>Occupational health and safety</w:t>
        </w:r>
        <w:r w:rsidR="00DF5EE0">
          <w:rPr>
            <w:noProof/>
            <w:webHidden/>
          </w:rPr>
          <w:tab/>
        </w:r>
        <w:r w:rsidR="00DF5EE0">
          <w:rPr>
            <w:noProof/>
            <w:webHidden/>
          </w:rPr>
          <w:fldChar w:fldCharType="begin"/>
        </w:r>
        <w:r w:rsidR="00DF5EE0">
          <w:rPr>
            <w:noProof/>
            <w:webHidden/>
          </w:rPr>
          <w:instrText xml:space="preserve"> PAGEREF _Toc149131715 \h </w:instrText>
        </w:r>
        <w:r w:rsidR="00DF5EE0">
          <w:rPr>
            <w:noProof/>
            <w:webHidden/>
          </w:rPr>
        </w:r>
        <w:r w:rsidR="00DF5EE0">
          <w:rPr>
            <w:noProof/>
            <w:webHidden/>
          </w:rPr>
          <w:fldChar w:fldCharType="separate"/>
        </w:r>
        <w:r w:rsidR="00DF5EE0">
          <w:rPr>
            <w:noProof/>
            <w:webHidden/>
          </w:rPr>
          <w:t>62</w:t>
        </w:r>
        <w:r w:rsidR="00DF5EE0">
          <w:rPr>
            <w:noProof/>
            <w:webHidden/>
          </w:rPr>
          <w:fldChar w:fldCharType="end"/>
        </w:r>
      </w:hyperlink>
    </w:p>
    <w:p w14:paraId="3D27A82B" w14:textId="5ABC6182" w:rsidR="00DF5EE0" w:rsidRDefault="00F31239">
      <w:pPr>
        <w:pStyle w:val="TOC3"/>
        <w:rPr>
          <w:rFonts w:asciiTheme="minorHAnsi" w:eastAsiaTheme="minorEastAsia" w:hAnsiTheme="minorHAnsi"/>
          <w:noProof/>
          <w:kern w:val="2"/>
          <w:sz w:val="24"/>
          <w:szCs w:val="24"/>
          <w:lang w:eastAsia="en-GB"/>
          <w14:ligatures w14:val="standardContextual"/>
        </w:rPr>
      </w:pPr>
      <w:hyperlink w:anchor="_Toc149131716" w:history="1">
        <w:r w:rsidR="00DF5EE0" w:rsidRPr="00E45665">
          <w:rPr>
            <w:rStyle w:val="Hyperlink"/>
            <w:noProof/>
          </w:rPr>
          <w:t>Workforce inclusion policy</w:t>
        </w:r>
        <w:r w:rsidR="00DF5EE0">
          <w:rPr>
            <w:noProof/>
            <w:webHidden/>
          </w:rPr>
          <w:tab/>
        </w:r>
        <w:r w:rsidR="00DF5EE0">
          <w:rPr>
            <w:noProof/>
            <w:webHidden/>
          </w:rPr>
          <w:fldChar w:fldCharType="begin"/>
        </w:r>
        <w:r w:rsidR="00DF5EE0">
          <w:rPr>
            <w:noProof/>
            <w:webHidden/>
          </w:rPr>
          <w:instrText xml:space="preserve"> PAGEREF _Toc149131716 \h </w:instrText>
        </w:r>
        <w:r w:rsidR="00DF5EE0">
          <w:rPr>
            <w:noProof/>
            <w:webHidden/>
          </w:rPr>
        </w:r>
        <w:r w:rsidR="00DF5EE0">
          <w:rPr>
            <w:noProof/>
            <w:webHidden/>
          </w:rPr>
          <w:fldChar w:fldCharType="separate"/>
        </w:r>
        <w:r w:rsidR="00DF5EE0">
          <w:rPr>
            <w:noProof/>
            <w:webHidden/>
          </w:rPr>
          <w:t>63</w:t>
        </w:r>
        <w:r w:rsidR="00DF5EE0">
          <w:rPr>
            <w:noProof/>
            <w:webHidden/>
          </w:rPr>
          <w:fldChar w:fldCharType="end"/>
        </w:r>
      </w:hyperlink>
    </w:p>
    <w:p w14:paraId="356B5F73" w14:textId="29D38A54" w:rsidR="00DF5EE0" w:rsidRDefault="00F31239">
      <w:pPr>
        <w:pStyle w:val="TOC3"/>
        <w:rPr>
          <w:rFonts w:asciiTheme="minorHAnsi" w:eastAsiaTheme="minorEastAsia" w:hAnsiTheme="minorHAnsi"/>
          <w:noProof/>
          <w:kern w:val="2"/>
          <w:sz w:val="24"/>
          <w:szCs w:val="24"/>
          <w:lang w:eastAsia="en-GB"/>
          <w14:ligatures w14:val="standardContextual"/>
        </w:rPr>
      </w:pPr>
      <w:hyperlink w:anchor="_Toc149131717" w:history="1">
        <w:r w:rsidR="00DF5EE0" w:rsidRPr="00E45665">
          <w:rPr>
            <w:rStyle w:val="Hyperlink"/>
            <w:noProof/>
          </w:rPr>
          <w:t>Employment and conduct principles</w:t>
        </w:r>
        <w:r w:rsidR="00DF5EE0">
          <w:rPr>
            <w:noProof/>
            <w:webHidden/>
          </w:rPr>
          <w:tab/>
        </w:r>
        <w:r w:rsidR="00DF5EE0">
          <w:rPr>
            <w:noProof/>
            <w:webHidden/>
          </w:rPr>
          <w:fldChar w:fldCharType="begin"/>
        </w:r>
        <w:r w:rsidR="00DF5EE0">
          <w:rPr>
            <w:noProof/>
            <w:webHidden/>
          </w:rPr>
          <w:instrText xml:space="preserve"> PAGEREF _Toc149131717 \h </w:instrText>
        </w:r>
        <w:r w:rsidR="00DF5EE0">
          <w:rPr>
            <w:noProof/>
            <w:webHidden/>
          </w:rPr>
        </w:r>
        <w:r w:rsidR="00DF5EE0">
          <w:rPr>
            <w:noProof/>
            <w:webHidden/>
          </w:rPr>
          <w:fldChar w:fldCharType="separate"/>
        </w:r>
        <w:r w:rsidR="00DF5EE0">
          <w:rPr>
            <w:noProof/>
            <w:webHidden/>
          </w:rPr>
          <w:t>63</w:t>
        </w:r>
        <w:r w:rsidR="00DF5EE0">
          <w:rPr>
            <w:noProof/>
            <w:webHidden/>
          </w:rPr>
          <w:fldChar w:fldCharType="end"/>
        </w:r>
      </w:hyperlink>
    </w:p>
    <w:p w14:paraId="5A20FF80" w14:textId="733992D8" w:rsidR="00381807" w:rsidRDefault="00C4766C" w:rsidP="00381807">
      <w:pPr>
        <w:pStyle w:val="BodyText"/>
        <w:rPr>
          <w:lang w:eastAsia="en-AU"/>
        </w:rPr>
      </w:pPr>
      <w:r>
        <w:rPr>
          <w:lang w:eastAsia="en-AU"/>
        </w:rPr>
        <w:fldChar w:fldCharType="end"/>
      </w:r>
    </w:p>
    <w:p w14:paraId="41AD8426" w14:textId="77777777" w:rsidR="00381807" w:rsidRDefault="00381807" w:rsidP="007211D6">
      <w:pPr>
        <w:pStyle w:val="BodyText"/>
        <w:rPr>
          <w:lang w:eastAsia="en-AU"/>
        </w:rPr>
      </w:pPr>
      <w:r>
        <w:rPr>
          <w:lang w:eastAsia="en-AU"/>
        </w:rPr>
        <w:br w:type="page"/>
      </w:r>
    </w:p>
    <w:p w14:paraId="5A287F1E" w14:textId="77777777" w:rsidR="005E2E3E" w:rsidRPr="00EF2299" w:rsidRDefault="005E2E3E" w:rsidP="00EF2299">
      <w:pPr>
        <w:pStyle w:val="Heading2"/>
      </w:pPr>
      <w:bookmarkStart w:id="128" w:name="_Toc149131708"/>
      <w:bookmarkStart w:id="129" w:name="S3"/>
      <w:r w:rsidRPr="005E2E3E">
        <w:t xml:space="preserve">Organisational </w:t>
      </w:r>
      <w:r w:rsidRPr="00EF2299">
        <w:t>enablement</w:t>
      </w:r>
      <w:bookmarkEnd w:id="128"/>
    </w:p>
    <w:p w14:paraId="34BF8EF4" w14:textId="5BD3A005" w:rsidR="005E2E3E" w:rsidRDefault="005E2E3E" w:rsidP="00B87EDE">
      <w:pPr>
        <w:pStyle w:val="BodyText"/>
        <w:rPr>
          <w:rStyle w:val="Characterbold"/>
        </w:rPr>
      </w:pPr>
      <w:r w:rsidRPr="00B87EDE">
        <w:rPr>
          <w:rStyle w:val="Characterbold"/>
        </w:rPr>
        <w:t xml:space="preserve">Strategic pillar: </w:t>
      </w:r>
      <w:r w:rsidR="00E17AF3">
        <w:rPr>
          <w:rStyle w:val="Characterbold"/>
        </w:rPr>
        <w:t>A</w:t>
      </w:r>
      <w:r w:rsidRPr="00B87EDE">
        <w:rPr>
          <w:rStyle w:val="Characterbold"/>
        </w:rPr>
        <w:t xml:space="preserve"> progressive and connected workplace</w:t>
      </w:r>
    </w:p>
    <w:p w14:paraId="210F53A0" w14:textId="7EDD02B6" w:rsidR="00B87EDE" w:rsidRPr="00B87EDE" w:rsidRDefault="00B87EDE" w:rsidP="00B87EDE">
      <w:pPr>
        <w:pStyle w:val="BodyText"/>
      </w:pPr>
      <w:r w:rsidRPr="00B87EDE">
        <w:t>We are a connected, inclusive and flexible organisation. We encourage a safe environment that empowers our leaders to be, and do their best</w:t>
      </w:r>
      <w:r>
        <w:t>.</w:t>
      </w:r>
    </w:p>
    <w:p w14:paraId="127B19CA" w14:textId="2D7320D6" w:rsidR="00381807" w:rsidRDefault="00573735" w:rsidP="007D446E">
      <w:pPr>
        <w:pStyle w:val="Heading3"/>
      </w:pPr>
      <w:bookmarkStart w:id="130" w:name="_Toc149131709"/>
      <w:bookmarkStart w:id="131" w:name="_Ref149134786"/>
      <w:r>
        <w:t>Strategic initiatives</w:t>
      </w:r>
      <w:bookmarkEnd w:id="130"/>
      <w:bookmarkEnd w:id="131"/>
    </w:p>
    <w:p w14:paraId="00B63218" w14:textId="409D8387" w:rsidR="00BF58E8" w:rsidRDefault="00BF58E8" w:rsidP="00B07072">
      <w:pPr>
        <w:pStyle w:val="Heading4"/>
      </w:pPr>
      <w:r>
        <w:t xml:space="preserve">People </w:t>
      </w:r>
      <w:r w:rsidR="00485887">
        <w:t>S</w:t>
      </w:r>
      <w:r>
        <w:t>trategy</w:t>
      </w:r>
    </w:p>
    <w:p w14:paraId="00F2B3C2" w14:textId="39770FFF" w:rsidR="00BD78C5" w:rsidRDefault="00485887" w:rsidP="00B73F70">
      <w:pPr>
        <w:pStyle w:val="BodyText"/>
      </w:pPr>
      <w:r>
        <w:t>IBAC</w:t>
      </w:r>
      <w:r w:rsidR="0097157E">
        <w:t xml:space="preserve"> </w:t>
      </w:r>
      <w:r w:rsidR="00B73F70">
        <w:t>continu</w:t>
      </w:r>
      <w:r>
        <w:t>es</w:t>
      </w:r>
      <w:r w:rsidR="00B73F70">
        <w:t xml:space="preserve"> to work towards </w:t>
      </w:r>
      <w:r w:rsidR="007F4291">
        <w:t>our</w:t>
      </w:r>
      <w:r w:rsidR="00B73F70">
        <w:t xml:space="preserve"> strategic objective of building a progressive and connected workplace through the implementation of </w:t>
      </w:r>
      <w:r w:rsidR="00D37D4D" w:rsidRPr="00D37D4D">
        <w:t xml:space="preserve">our </w:t>
      </w:r>
      <w:r w:rsidR="00D37D4D" w:rsidRPr="00D37D4D">
        <w:rPr>
          <w:rStyle w:val="Characteritalic"/>
        </w:rPr>
        <w:t>2022–</w:t>
      </w:r>
      <w:r w:rsidR="0045005E">
        <w:rPr>
          <w:rStyle w:val="Characteritalic"/>
        </w:rPr>
        <w:t>20</w:t>
      </w:r>
      <w:r w:rsidR="00D37D4D" w:rsidRPr="00D37D4D">
        <w:rPr>
          <w:rStyle w:val="Characteritalic"/>
        </w:rPr>
        <w:t>23 People Strategy</w:t>
      </w:r>
      <w:r w:rsidR="00B73F70">
        <w:t>. Due to the challenging operational environment</w:t>
      </w:r>
      <w:r w:rsidR="00BC2107">
        <w:t>,</w:t>
      </w:r>
      <w:r w:rsidR="00B73F70">
        <w:t xml:space="preserve"> which has been heavily impacted by COVID</w:t>
      </w:r>
      <w:r w:rsidR="00BC2107">
        <w:t>-19</w:t>
      </w:r>
      <w:r w:rsidR="00B73F70">
        <w:t xml:space="preserve"> over the past three years, a review of the </w:t>
      </w:r>
      <w:r w:rsidR="00B73F70" w:rsidRPr="002B42C5">
        <w:rPr>
          <w:rStyle w:val="Characteritalic"/>
        </w:rPr>
        <w:t>2019–2022 People Strategy</w:t>
      </w:r>
      <w:r w:rsidR="00B73F70">
        <w:t xml:space="preserve"> was undertaken</w:t>
      </w:r>
      <w:r w:rsidR="00BD78C5">
        <w:t>. This was</w:t>
      </w:r>
      <w:r w:rsidR="00B73F70">
        <w:t xml:space="preserve"> to ensure the objectives and initiatives outlined in </w:t>
      </w:r>
      <w:r w:rsidR="00CA5402">
        <w:t xml:space="preserve">our </w:t>
      </w:r>
      <w:r w:rsidR="00B73F70">
        <w:t xml:space="preserve">People </w:t>
      </w:r>
      <w:r w:rsidR="00707958">
        <w:t>S</w:t>
      </w:r>
      <w:r w:rsidR="00B73F70">
        <w:t>trategy continue to be relevant post-COVID</w:t>
      </w:r>
      <w:r w:rsidR="00BD78C5">
        <w:t>-19</w:t>
      </w:r>
      <w:r w:rsidR="00B73F70">
        <w:t>.</w:t>
      </w:r>
    </w:p>
    <w:p w14:paraId="3346B56F" w14:textId="06736BF2" w:rsidR="00B73F70" w:rsidRPr="007E78B5" w:rsidRDefault="00B73F70" w:rsidP="00B73F70">
      <w:pPr>
        <w:pStyle w:val="BodyText"/>
      </w:pPr>
      <w:r>
        <w:t xml:space="preserve">With this review undertaken, the key objectives of the </w:t>
      </w:r>
      <w:r w:rsidR="00B87EDE">
        <w:t xml:space="preserve">People </w:t>
      </w:r>
      <w:r w:rsidR="001C3461">
        <w:t>S</w:t>
      </w:r>
      <w:r>
        <w:t xml:space="preserve">trategy continue to be developed </w:t>
      </w:r>
      <w:r w:rsidRPr="00865DD7">
        <w:t>across</w:t>
      </w:r>
      <w:r w:rsidRPr="007E78B5">
        <w:t xml:space="preserve"> the </w:t>
      </w:r>
      <w:r w:rsidR="00BD78C5" w:rsidRPr="007E78B5">
        <w:t>three</w:t>
      </w:r>
      <w:r w:rsidRPr="007E78B5">
        <w:t xml:space="preserve"> key streams of:</w:t>
      </w:r>
    </w:p>
    <w:p w14:paraId="3AAB3BD1" w14:textId="4CDECA3B" w:rsidR="00B73F70" w:rsidRPr="00CA5402" w:rsidRDefault="00707958" w:rsidP="00CA5402">
      <w:pPr>
        <w:pStyle w:val="ListBullet"/>
      </w:pPr>
      <w:r>
        <w:t>p</w:t>
      </w:r>
      <w:r w:rsidR="00B73F70" w:rsidRPr="00CA5402">
        <w:t>eople</w:t>
      </w:r>
    </w:p>
    <w:p w14:paraId="56228842" w14:textId="31CC9254" w:rsidR="00B73F70" w:rsidRPr="00CA5402" w:rsidRDefault="00707958" w:rsidP="00CA5402">
      <w:pPr>
        <w:pStyle w:val="ListBullet"/>
      </w:pPr>
      <w:r>
        <w:t>c</w:t>
      </w:r>
      <w:r w:rsidR="00B73F70" w:rsidRPr="00CA5402">
        <w:t>ulture</w:t>
      </w:r>
    </w:p>
    <w:p w14:paraId="05D222D3" w14:textId="420E470F" w:rsidR="00B73F70" w:rsidRPr="007E78B5" w:rsidRDefault="00707958" w:rsidP="00CA5402">
      <w:pPr>
        <w:pStyle w:val="ListBullet"/>
        <w:rPr>
          <w:rStyle w:val="BodyTextChar"/>
        </w:rPr>
      </w:pPr>
      <w:r>
        <w:t>c</w:t>
      </w:r>
      <w:r w:rsidR="00B73F70" w:rsidRPr="00CA5402">
        <w:t>apability</w:t>
      </w:r>
      <w:r w:rsidR="00CA5402" w:rsidRPr="00CA5402">
        <w:t>.</w:t>
      </w:r>
    </w:p>
    <w:p w14:paraId="4126BCDA" w14:textId="76FA51B2" w:rsidR="00976E2C" w:rsidRPr="002777F2" w:rsidRDefault="00976E2C" w:rsidP="002777F2">
      <w:pPr>
        <w:pStyle w:val="Heading5"/>
      </w:pPr>
      <w:r w:rsidRPr="002777F2">
        <w:t>People</w:t>
      </w:r>
    </w:p>
    <w:p w14:paraId="449C070F" w14:textId="77777777" w:rsidR="00031105" w:rsidRDefault="001C6AB1" w:rsidP="00B73F70">
      <w:pPr>
        <w:pStyle w:val="BodyText"/>
      </w:pPr>
      <w:r>
        <w:t>Under our people stream, w</w:t>
      </w:r>
      <w:r w:rsidR="001C3224">
        <w:t xml:space="preserve">e </w:t>
      </w:r>
      <w:r w:rsidR="00D1342C">
        <w:t>commenced a review of our OHS strategy</w:t>
      </w:r>
      <w:r w:rsidR="001C3224">
        <w:t xml:space="preserve"> to </w:t>
      </w:r>
      <w:r w:rsidR="00937E9A">
        <w:t xml:space="preserve">ensure </w:t>
      </w:r>
      <w:r w:rsidR="001C3224">
        <w:t>our people</w:t>
      </w:r>
      <w:r w:rsidR="002A1D76">
        <w:t xml:space="preserve"> </w:t>
      </w:r>
      <w:r>
        <w:t xml:space="preserve">are supported </w:t>
      </w:r>
      <w:r w:rsidR="002A1D76">
        <w:t xml:space="preserve">to improve their </w:t>
      </w:r>
      <w:r w:rsidR="00EF142D">
        <w:t xml:space="preserve">wellbeing. </w:t>
      </w:r>
    </w:p>
    <w:p w14:paraId="5A1DB374" w14:textId="4B0F6C5D" w:rsidR="00B31F55" w:rsidRPr="007E78B5" w:rsidRDefault="0023075B" w:rsidP="00B73F70">
      <w:pPr>
        <w:pStyle w:val="BodyText"/>
      </w:pPr>
      <w:r>
        <w:t xml:space="preserve">We also </w:t>
      </w:r>
      <w:r w:rsidR="00307FC8">
        <w:t xml:space="preserve">streamlined our </w:t>
      </w:r>
      <w:r w:rsidR="00307FC8" w:rsidRPr="007E78B5">
        <w:t>recruitment and employee onboarding</w:t>
      </w:r>
      <w:r w:rsidR="00307FC8" w:rsidRPr="00307FC8">
        <w:rPr>
          <w:rStyle w:val="BodyTextChar"/>
        </w:rPr>
        <w:t xml:space="preserve"> </w:t>
      </w:r>
      <w:r w:rsidR="00307FC8">
        <w:rPr>
          <w:rStyle w:val="BodyTextChar"/>
        </w:rPr>
        <w:t xml:space="preserve">to </w:t>
      </w:r>
      <w:r w:rsidR="00307FC8" w:rsidRPr="005F76C8">
        <w:rPr>
          <w:rStyle w:val="BodyTextChar"/>
        </w:rPr>
        <w:t>e</w:t>
      </w:r>
      <w:r w:rsidR="00307FC8" w:rsidRPr="007E78B5">
        <w:t>nsure we have the right people in the right roles at the right time</w:t>
      </w:r>
      <w:r w:rsidR="00E367AE" w:rsidRPr="007E78B5">
        <w:t>.</w:t>
      </w:r>
      <w:r w:rsidR="00220CE7" w:rsidRPr="007E78B5">
        <w:t xml:space="preserve"> </w:t>
      </w:r>
      <w:r w:rsidR="00E367AE" w:rsidRPr="007E78B5">
        <w:t xml:space="preserve"> </w:t>
      </w:r>
    </w:p>
    <w:p w14:paraId="133E9711" w14:textId="726B72DF" w:rsidR="000227C0" w:rsidRDefault="00352483" w:rsidP="000227C0">
      <w:pPr>
        <w:pStyle w:val="BodyText"/>
      </w:pPr>
      <w:r>
        <w:t>A</w:t>
      </w:r>
      <w:r w:rsidR="000227C0" w:rsidRPr="00865DD7">
        <w:t xml:space="preserve"> formal review of </w:t>
      </w:r>
      <w:r w:rsidR="004D2DF0">
        <w:t>our</w:t>
      </w:r>
      <w:r w:rsidR="000227C0" w:rsidRPr="00865DD7">
        <w:t xml:space="preserve"> payroll practices</w:t>
      </w:r>
      <w:r w:rsidR="001A72F0">
        <w:t xml:space="preserve"> commenced </w:t>
      </w:r>
      <w:r w:rsidR="00B70D52">
        <w:t>to identify</w:t>
      </w:r>
      <w:r w:rsidR="001A72F0">
        <w:t xml:space="preserve"> imp</w:t>
      </w:r>
      <w:r w:rsidR="004D2DF0">
        <w:t>rovement opportunities</w:t>
      </w:r>
      <w:r w:rsidR="000227C0" w:rsidRPr="00865DD7">
        <w:t xml:space="preserve"> with particular comparison to similar agencies across the broader </w:t>
      </w:r>
      <w:r w:rsidR="007D446E" w:rsidRPr="002339D8">
        <w:t>Victorian Public Service</w:t>
      </w:r>
      <w:r w:rsidR="007D446E">
        <w:t xml:space="preserve"> (</w:t>
      </w:r>
      <w:r w:rsidR="000227C0">
        <w:t>VPS</w:t>
      </w:r>
      <w:r w:rsidR="007D446E">
        <w:t>)</w:t>
      </w:r>
      <w:r w:rsidR="000227C0" w:rsidRPr="00865DD7">
        <w:t>. This review will inform how payroll will be managed in the future.</w:t>
      </w:r>
      <w:r w:rsidR="000227C0" w:rsidRPr="7D6E8211">
        <w:t xml:space="preserve"> </w:t>
      </w:r>
    </w:p>
    <w:p w14:paraId="348D3091" w14:textId="11F2372B" w:rsidR="00E367AE" w:rsidRPr="007E78B5" w:rsidRDefault="00E367AE" w:rsidP="007E78B5">
      <w:pPr>
        <w:pStyle w:val="Heading5"/>
      </w:pPr>
      <w:r w:rsidRPr="007E78B5">
        <w:t>Culture</w:t>
      </w:r>
    </w:p>
    <w:p w14:paraId="6FF6A2A1" w14:textId="56092238" w:rsidR="007E186F" w:rsidRDefault="00040061" w:rsidP="00B73F70">
      <w:pPr>
        <w:pStyle w:val="BodyText"/>
      </w:pPr>
      <w:r>
        <w:t xml:space="preserve">In </w:t>
      </w:r>
      <w:r w:rsidR="000A1691">
        <w:t>2022/23</w:t>
      </w:r>
      <w:r>
        <w:t>, we focused on</w:t>
      </w:r>
      <w:r w:rsidR="00B73F70">
        <w:t xml:space="preserve"> the cultural objectives of the </w:t>
      </w:r>
      <w:r w:rsidR="006D4181">
        <w:t>P</w:t>
      </w:r>
      <w:r w:rsidR="00B73F70">
        <w:t xml:space="preserve">eople </w:t>
      </w:r>
      <w:r w:rsidR="006D4181">
        <w:t>S</w:t>
      </w:r>
      <w:r w:rsidR="00B73F70">
        <w:t>trategy</w:t>
      </w:r>
      <w:r w:rsidR="00372F3B">
        <w:t>,</w:t>
      </w:r>
      <w:r w:rsidR="00B73F70">
        <w:t xml:space="preserve"> with a particular emphasis on developing the organisation’s Reconciliation Action Plan (RAP). Key elements of the RAP that have been achieved includ</w:t>
      </w:r>
      <w:r w:rsidR="00544DB6">
        <w:t>e</w:t>
      </w:r>
      <w:r w:rsidR="00EB2944">
        <w:t>:</w:t>
      </w:r>
    </w:p>
    <w:p w14:paraId="1608AB4C" w14:textId="06C0CF16" w:rsidR="00BD5EA7" w:rsidRDefault="00B73F70" w:rsidP="00BD5EA7">
      <w:pPr>
        <w:pStyle w:val="ListBullet"/>
      </w:pPr>
      <w:r>
        <w:t>AJ</w:t>
      </w:r>
      <w:r w:rsidR="00544DB6">
        <w:t xml:space="preserve"> </w:t>
      </w:r>
      <w:r>
        <w:t>Williams-Tchen of Girraway Ganyi Consultancy hosted a</w:t>
      </w:r>
      <w:r w:rsidR="00544DB6">
        <w:t xml:space="preserve"> </w:t>
      </w:r>
      <w:r>
        <w:t xml:space="preserve">panel discussion </w:t>
      </w:r>
      <w:r w:rsidR="0003629F">
        <w:t>for our employees,</w:t>
      </w:r>
      <w:r w:rsidR="008130A0">
        <w:t xml:space="preserve"> </w:t>
      </w:r>
      <w:r>
        <w:t xml:space="preserve">discussing the significance of cultural protocols and sharing what NAIDOC means to them. </w:t>
      </w:r>
    </w:p>
    <w:p w14:paraId="1B877F04" w14:textId="20B6792A" w:rsidR="003824DD" w:rsidRDefault="00B73F70" w:rsidP="00040061">
      <w:pPr>
        <w:pStyle w:val="ListBullet"/>
      </w:pPr>
      <w:r>
        <w:t xml:space="preserve">As part of NAIDOC week celebrations, </w:t>
      </w:r>
      <w:r w:rsidR="00040061">
        <w:t xml:space="preserve">proud Palawa woman </w:t>
      </w:r>
      <w:r>
        <w:t>Aunt</w:t>
      </w:r>
      <w:r w:rsidR="00131AEF">
        <w:t>y</w:t>
      </w:r>
      <w:r>
        <w:t xml:space="preserve"> Heather Kennedy</w:t>
      </w:r>
      <w:r w:rsidR="00D94C35">
        <w:t xml:space="preserve"> </w:t>
      </w:r>
      <w:r>
        <w:t>unveiled</w:t>
      </w:r>
      <w:r w:rsidR="0003629F">
        <w:t xml:space="preserve"> </w:t>
      </w:r>
      <w:r w:rsidR="007403E7">
        <w:t>the</w:t>
      </w:r>
      <w:r w:rsidR="00D94C35">
        <w:t xml:space="preserve"> reconciliation artwork</w:t>
      </w:r>
      <w:r w:rsidR="007403E7">
        <w:t xml:space="preserve"> she designed for us</w:t>
      </w:r>
      <w:r w:rsidR="009A7C94" w:rsidRPr="009A7C94">
        <w:t xml:space="preserve"> as a representation of our journey to create our first RAP.</w:t>
      </w:r>
      <w:r w:rsidR="00F81A18">
        <w:t xml:space="preserve"> </w:t>
      </w:r>
      <w:r w:rsidR="003E7C9C">
        <w:t xml:space="preserve">The piece is called ‘Coming together’ and is on display in our reception area. </w:t>
      </w:r>
    </w:p>
    <w:p w14:paraId="698E99C5" w14:textId="2E8C0689" w:rsidR="00B73F70" w:rsidRDefault="00B73F70" w:rsidP="00040061">
      <w:pPr>
        <w:pStyle w:val="ListBullet"/>
      </w:pPr>
      <w:r>
        <w:t xml:space="preserve">RAP Ambassadors </w:t>
      </w:r>
      <w:r w:rsidR="00D675D1">
        <w:t xml:space="preserve">were given </w:t>
      </w:r>
      <w:r>
        <w:t xml:space="preserve">the opportunity to attend a National Reconciliation Week breakfast with special guest speaker Aunty Jill Gallagher. </w:t>
      </w:r>
    </w:p>
    <w:p w14:paraId="09C1FF3D" w14:textId="563AC889" w:rsidR="00B73F70" w:rsidRDefault="00B87EDE" w:rsidP="00B87EDE">
      <w:pPr>
        <w:pStyle w:val="BodyText"/>
      </w:pPr>
      <w:r>
        <w:t xml:space="preserve">Another </w:t>
      </w:r>
      <w:r w:rsidR="0054194B">
        <w:t xml:space="preserve">key objective in the culture stream is to </w:t>
      </w:r>
      <w:r w:rsidR="0054194B" w:rsidRPr="00F77916">
        <w:rPr>
          <w:rStyle w:val="BodyTextChar"/>
        </w:rPr>
        <w:t>b</w:t>
      </w:r>
      <w:r w:rsidR="0054194B" w:rsidRPr="007E78B5">
        <w:t>uild a more inclusive and connected workplace by embedding our newly defined values into every aspect of our work</w:t>
      </w:r>
      <w:r w:rsidRPr="007E78B5">
        <w:t>.</w:t>
      </w:r>
      <w:r w:rsidR="0054194B" w:rsidRPr="007E78B5">
        <w:t xml:space="preserve"> </w:t>
      </w:r>
      <w:r w:rsidRPr="007E78B5">
        <w:t>Meaningful values that resonate with our people were designed during the</w:t>
      </w:r>
      <w:r w:rsidR="00B73F70" w:rsidRPr="7D6E8211">
        <w:rPr>
          <w:rFonts w:eastAsia="Calibri" w:cs="Calibri"/>
          <w:szCs w:val="22"/>
        </w:rPr>
        <w:t xml:space="preserve"> IBAC </w:t>
      </w:r>
      <w:r w:rsidR="00220908">
        <w:rPr>
          <w:rFonts w:eastAsia="Calibri" w:cs="Calibri"/>
          <w:szCs w:val="22"/>
        </w:rPr>
        <w:t>v</w:t>
      </w:r>
      <w:r w:rsidR="00B73F70" w:rsidRPr="7D6E8211">
        <w:rPr>
          <w:rFonts w:eastAsia="Calibri" w:cs="Calibri"/>
          <w:szCs w:val="22"/>
        </w:rPr>
        <w:t>alues refresh program</w:t>
      </w:r>
      <w:r w:rsidR="00CA0A88">
        <w:rPr>
          <w:rFonts w:eastAsia="Calibri" w:cs="Calibri"/>
          <w:szCs w:val="22"/>
        </w:rPr>
        <w:t>.</w:t>
      </w:r>
      <w:r w:rsidR="00B73F70" w:rsidRPr="7D6E8211">
        <w:t xml:space="preserve"> </w:t>
      </w:r>
      <w:r w:rsidR="00937C1A">
        <w:t>O</w:t>
      </w:r>
      <w:r w:rsidR="00E80C38">
        <w:t>ur</w:t>
      </w:r>
      <w:r w:rsidR="00D65812" w:rsidRPr="7D6E8211">
        <w:t xml:space="preserve"> </w:t>
      </w:r>
      <w:r w:rsidR="00B73F70" w:rsidRPr="7D6E8211">
        <w:t>values</w:t>
      </w:r>
      <w:r w:rsidR="008B4633">
        <w:t xml:space="preserve"> </w:t>
      </w:r>
      <w:r w:rsidRPr="00B87EDE">
        <w:t>provide alignment with the IBAC Plan by supporting our vision and our ways of working</w:t>
      </w:r>
      <w:r w:rsidR="00B73F70" w:rsidRPr="7D6E8211">
        <w:t>.</w:t>
      </w:r>
    </w:p>
    <w:p w14:paraId="304F6DFB" w14:textId="549023C6" w:rsidR="00B73F70" w:rsidRDefault="00D042DE" w:rsidP="0042177E">
      <w:pPr>
        <w:pStyle w:val="Caption"/>
      </w:pPr>
      <w:r w:rsidRPr="009B3A3C">
        <w:rPr>
          <w:rFonts w:eastAsia="Calibri"/>
        </w:rPr>
        <w:t xml:space="preserve">Figure </w:t>
      </w:r>
      <w:r w:rsidR="00F76B77" w:rsidRPr="009B3A3C">
        <w:rPr>
          <w:rFonts w:eastAsia="Calibri"/>
        </w:rPr>
        <w:t>5</w:t>
      </w:r>
      <w:r w:rsidRPr="009B3A3C">
        <w:rPr>
          <w:rFonts w:eastAsia="Calibri"/>
        </w:rPr>
        <w:t xml:space="preserve">: </w:t>
      </w:r>
      <w:r w:rsidR="00B73F70" w:rsidRPr="009B3A3C">
        <w:t xml:space="preserve">IBAC </w:t>
      </w:r>
      <w:r w:rsidR="00DA7598" w:rsidRPr="009B3A3C">
        <w:t>v</w:t>
      </w:r>
      <w:r w:rsidR="00B73F70" w:rsidRPr="009B3A3C">
        <w:t>alues</w:t>
      </w:r>
    </w:p>
    <w:p w14:paraId="34B370FB" w14:textId="5EA35DB1" w:rsidR="009B3A3C" w:rsidRPr="009B3A3C" w:rsidRDefault="009B3A3C" w:rsidP="009B3A3C">
      <w:pPr>
        <w:pStyle w:val="Image"/>
      </w:pPr>
      <w:r>
        <w:rPr>
          <w:noProof/>
        </w:rPr>
        <w:drawing>
          <wp:inline distT="0" distB="0" distL="0" distR="0" wp14:anchorId="3C4E3EF2" wp14:editId="26CEBF1F">
            <wp:extent cx="5732145" cy="2556510"/>
            <wp:effectExtent l="0" t="0" r="0" b="0"/>
            <wp:docPr id="1346055545" name="Picture 2" descr="Diagram showing IBAC values of:&#10;Lead by example.&#10;Act impartially.&#10;Work together.&#10;Behave with respect.&#10;Strive for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55545" name="Picture 2" descr="Diagram showing IBAC values of:&#10;Lead by example.&#10;Act impartially.&#10;Work together.&#10;Behave with respect.&#10;Strive for excellence."/>
                    <pic:cNvPicPr/>
                  </pic:nvPicPr>
                  <pic:blipFill>
                    <a:blip r:embed="rId50">
                      <a:extLst>
                        <a:ext uri="{28A0092B-C50C-407E-A947-70E740481C1C}">
                          <a14:useLocalDpi xmlns:a14="http://schemas.microsoft.com/office/drawing/2010/main" val="0"/>
                        </a:ext>
                      </a:extLst>
                    </a:blip>
                    <a:stretch>
                      <a:fillRect/>
                    </a:stretch>
                  </pic:blipFill>
                  <pic:spPr>
                    <a:xfrm>
                      <a:off x="0" y="0"/>
                      <a:ext cx="5732145" cy="2556510"/>
                    </a:xfrm>
                    <a:prstGeom prst="rect">
                      <a:avLst/>
                    </a:prstGeom>
                  </pic:spPr>
                </pic:pic>
              </a:graphicData>
            </a:graphic>
          </wp:inline>
        </w:drawing>
      </w:r>
    </w:p>
    <w:p w14:paraId="3B71D0BD" w14:textId="2CD64F78" w:rsidR="00791B5F" w:rsidRPr="002777F2" w:rsidRDefault="00791B5F" w:rsidP="002777F2">
      <w:pPr>
        <w:pStyle w:val="Heading5"/>
      </w:pPr>
      <w:r w:rsidRPr="002777F2">
        <w:t>Capability</w:t>
      </w:r>
    </w:p>
    <w:p w14:paraId="14CB2DFF" w14:textId="20966630" w:rsidR="00B73F70" w:rsidRDefault="00791B5F" w:rsidP="00B73F70">
      <w:pPr>
        <w:pStyle w:val="BodyText"/>
        <w:rPr>
          <w:lang w:eastAsia="en-AU"/>
        </w:rPr>
      </w:pPr>
      <w:r>
        <w:t xml:space="preserve">Key capability objectives that have been achieved in the People Strategy include the implementation of our service recognition awards program. This program recognises the extremely valuable contribution that IBAC </w:t>
      </w:r>
      <w:r w:rsidR="005A4F8A">
        <w:t>employees</w:t>
      </w:r>
      <w:r>
        <w:t xml:space="preserve"> have made to the organisation over a sustained period. </w:t>
      </w:r>
    </w:p>
    <w:p w14:paraId="1A1D58BA" w14:textId="22618E9B" w:rsidR="00BF58E8" w:rsidRDefault="00BF58E8" w:rsidP="00B07072">
      <w:pPr>
        <w:pStyle w:val="Heading4"/>
      </w:pPr>
      <w:bookmarkStart w:id="132" w:name="_Ref149134821"/>
      <w:r w:rsidRPr="00BF58E8">
        <w:t>IT strateg</w:t>
      </w:r>
      <w:r>
        <w:t>y</w:t>
      </w:r>
      <w:bookmarkEnd w:id="132"/>
    </w:p>
    <w:p w14:paraId="3D5D57E6" w14:textId="0C17EDB9" w:rsidR="002C2D27" w:rsidRDefault="002C2D27" w:rsidP="002C2D27">
      <w:pPr>
        <w:pStyle w:val="BodyText"/>
      </w:pPr>
      <w:bookmarkStart w:id="133" w:name="_Toc133585234"/>
      <w:r>
        <w:t xml:space="preserve">The </w:t>
      </w:r>
      <w:r w:rsidR="002B4633">
        <w:t>t</w:t>
      </w:r>
      <w:r>
        <w:t xml:space="preserve">hree-year IT </w:t>
      </w:r>
      <w:r w:rsidR="00D03C04">
        <w:t>s</w:t>
      </w:r>
      <w:r>
        <w:t>trategy concluded this year. This strategy modernised and enhanced our IT systems, setting the foundations for continuous improvement and customer service.</w:t>
      </w:r>
    </w:p>
    <w:p w14:paraId="4101ED25" w14:textId="15844FF7" w:rsidR="002C2D27" w:rsidRDefault="002C2D27" w:rsidP="002C2D27">
      <w:pPr>
        <w:pStyle w:val="BodyText"/>
      </w:pPr>
      <w:r>
        <w:t xml:space="preserve">Under the strategy in </w:t>
      </w:r>
      <w:r w:rsidR="000A1691">
        <w:t>2022/23</w:t>
      </w:r>
      <w:r w:rsidR="00A21456">
        <w:t>,</w:t>
      </w:r>
      <w:r>
        <w:t xml:space="preserve"> we:</w:t>
      </w:r>
    </w:p>
    <w:p w14:paraId="01F36F13" w14:textId="77777777" w:rsidR="002C2D27" w:rsidRDefault="002C2D27" w:rsidP="002C2D27">
      <w:pPr>
        <w:pStyle w:val="ListBullet"/>
      </w:pPr>
      <w:r>
        <w:t>implemented a secure cloud infrastructure and migrated our core applications</w:t>
      </w:r>
    </w:p>
    <w:p w14:paraId="72F8DC14" w14:textId="6DE2440C" w:rsidR="002C2D27" w:rsidRDefault="002C2D27" w:rsidP="002C2D27">
      <w:pPr>
        <w:pStyle w:val="ListBullet"/>
        <w:rPr>
          <w:rFonts w:eastAsia="Calibri" w:cs="Arial"/>
          <w:szCs w:val="22"/>
        </w:rPr>
      </w:pPr>
      <w:r w:rsidRPr="73077DDA">
        <w:rPr>
          <w:rFonts w:eastAsia="Calibri" w:cs="Arial"/>
        </w:rPr>
        <w:t>consolidated our computer networks</w:t>
      </w:r>
      <w:r w:rsidR="00A21456" w:rsidRPr="73077DDA">
        <w:rPr>
          <w:rFonts w:eastAsia="Calibri" w:cs="Arial"/>
        </w:rPr>
        <w:t>,</w:t>
      </w:r>
      <w:r w:rsidRPr="73077DDA">
        <w:rPr>
          <w:rFonts w:eastAsia="Calibri" w:cs="Arial"/>
        </w:rPr>
        <w:t xml:space="preserve"> reducing complexity and enhancing security to protect our information</w:t>
      </w:r>
    </w:p>
    <w:p w14:paraId="501FE39A" w14:textId="77777777" w:rsidR="002C2D27" w:rsidRDefault="002C2D27" w:rsidP="002C2D27">
      <w:pPr>
        <w:pStyle w:val="ListBullet"/>
        <w:rPr>
          <w:rFonts w:eastAsia="Calibri" w:cs="Arial"/>
          <w:szCs w:val="22"/>
        </w:rPr>
      </w:pPr>
      <w:r w:rsidRPr="73077DDA">
        <w:rPr>
          <w:rFonts w:eastAsia="Calibri" w:cs="Arial"/>
        </w:rPr>
        <w:t>modernised our telephony systems and call centre, leveraging cloud opportunities</w:t>
      </w:r>
    </w:p>
    <w:p w14:paraId="726B70EC" w14:textId="794B9658" w:rsidR="002C2D27" w:rsidRDefault="002C2D27" w:rsidP="002C2D27">
      <w:pPr>
        <w:pStyle w:val="ListBullet"/>
        <w:rPr>
          <w:rFonts w:eastAsia="Calibri" w:cs="Arial"/>
          <w:szCs w:val="22"/>
        </w:rPr>
      </w:pPr>
      <w:r w:rsidRPr="73077DDA">
        <w:rPr>
          <w:rFonts w:eastAsia="Calibri" w:cs="Arial"/>
        </w:rPr>
        <w:t xml:space="preserve">continued to improve and uplift our maturity against industry IT frameworks for </w:t>
      </w:r>
      <w:r w:rsidR="00844A64" w:rsidRPr="73077DDA">
        <w:rPr>
          <w:rFonts w:eastAsia="Calibri" w:cs="Arial"/>
        </w:rPr>
        <w:t xml:space="preserve">enterprise architecture, data architecture and service management. </w:t>
      </w:r>
    </w:p>
    <w:p w14:paraId="1ED7EFBE" w14:textId="6D4823C0" w:rsidR="002C2D27" w:rsidRDefault="002C2D27" w:rsidP="002C2D27">
      <w:pPr>
        <w:pStyle w:val="BodyText"/>
        <w:rPr>
          <w:rFonts w:eastAsia="Calibri" w:cs="Arial"/>
        </w:rPr>
      </w:pPr>
      <w:r w:rsidRPr="10E56325">
        <w:rPr>
          <w:rFonts w:eastAsia="Calibri" w:cs="Arial"/>
        </w:rPr>
        <w:t xml:space="preserve">With the initiatives delivered under the IT </w:t>
      </w:r>
      <w:r w:rsidR="00D03C04">
        <w:rPr>
          <w:rFonts w:eastAsia="Calibri" w:cs="Arial"/>
        </w:rPr>
        <w:t>s</w:t>
      </w:r>
      <w:r w:rsidRPr="10E56325">
        <w:rPr>
          <w:rFonts w:eastAsia="Calibri" w:cs="Arial"/>
        </w:rPr>
        <w:t>trategy we will continue to enhance our IT capability.</w:t>
      </w:r>
    </w:p>
    <w:p w14:paraId="7EFAED27" w14:textId="77777777" w:rsidR="007D446E" w:rsidRPr="007211D6" w:rsidRDefault="007D446E" w:rsidP="007211D6">
      <w:pPr>
        <w:pStyle w:val="BodyText"/>
      </w:pPr>
      <w:r>
        <w:br w:type="page"/>
      </w:r>
    </w:p>
    <w:p w14:paraId="7A70CFB7" w14:textId="4955E339" w:rsidR="004B76DF" w:rsidRDefault="004B76DF" w:rsidP="007D446E">
      <w:pPr>
        <w:pStyle w:val="Heading3"/>
        <w:rPr>
          <w:rFonts w:eastAsia="Calibri"/>
        </w:rPr>
      </w:pPr>
      <w:bookmarkStart w:id="134" w:name="_Toc149131710"/>
      <w:r>
        <w:t>Other core activity</w:t>
      </w:r>
      <w:bookmarkEnd w:id="134"/>
    </w:p>
    <w:p w14:paraId="64C49B15" w14:textId="0129617A" w:rsidR="000A1ED8" w:rsidRDefault="00C07EFD" w:rsidP="00B07072">
      <w:pPr>
        <w:pStyle w:val="Heading4"/>
      </w:pPr>
      <w:r w:rsidRPr="00C07EFD">
        <w:t xml:space="preserve">Operational </w:t>
      </w:r>
      <w:r w:rsidR="000A1ED8">
        <w:t>c</w:t>
      </w:r>
      <w:r w:rsidRPr="00C07EFD">
        <w:t xml:space="preserve">apability investment </w:t>
      </w:r>
      <w:r w:rsidR="000A1ED8">
        <w:t>r</w:t>
      </w:r>
      <w:r w:rsidRPr="00C07EFD">
        <w:t xml:space="preserve">oadmaps </w:t>
      </w:r>
    </w:p>
    <w:p w14:paraId="2C63DA35" w14:textId="73D4F086" w:rsidR="002B0D08" w:rsidRDefault="002B0D08" w:rsidP="002B0D08">
      <w:pPr>
        <w:pStyle w:val="BodyText"/>
      </w:pPr>
      <w:r>
        <w:t xml:space="preserve">IBAC recognises </w:t>
      </w:r>
      <w:r w:rsidR="000A1ED8">
        <w:t xml:space="preserve">that we need our </w:t>
      </w:r>
      <w:r>
        <w:t xml:space="preserve">operational capabilities </w:t>
      </w:r>
      <w:r w:rsidR="00AF4611">
        <w:t xml:space="preserve">to </w:t>
      </w:r>
      <w:r>
        <w:t>promote effective investigative and prevention outcomes in a rapidly evolving operating environment.</w:t>
      </w:r>
    </w:p>
    <w:p w14:paraId="04A1D5D3" w14:textId="35DF4125" w:rsidR="004B76DF" w:rsidRPr="004B76DF" w:rsidRDefault="000A1ED8" w:rsidP="002B0D08">
      <w:pPr>
        <w:pStyle w:val="BodyText"/>
      </w:pPr>
      <w:r>
        <w:t>Consequently</w:t>
      </w:r>
      <w:r w:rsidR="002B0D08">
        <w:t xml:space="preserve">, </w:t>
      </w:r>
      <w:r>
        <w:t xml:space="preserve">we </w:t>
      </w:r>
      <w:r w:rsidR="002B0D08">
        <w:t>ha</w:t>
      </w:r>
      <w:r>
        <w:t>ve</w:t>
      </w:r>
      <w:r w:rsidR="002B0D08">
        <w:t xml:space="preserve"> developed and implemented</w:t>
      </w:r>
      <w:r>
        <w:t xml:space="preserve"> i</w:t>
      </w:r>
      <w:r w:rsidR="002B0D08">
        <w:t>nvestment roadmap</w:t>
      </w:r>
      <w:r>
        <w:t>s</w:t>
      </w:r>
      <w:r w:rsidR="002B0D08">
        <w:t xml:space="preserve"> to prioritise investment in the technologies and skills </w:t>
      </w:r>
      <w:r>
        <w:t xml:space="preserve">that </w:t>
      </w:r>
      <w:r w:rsidR="002B0D08">
        <w:t>underpin</w:t>
      </w:r>
      <w:r>
        <w:t xml:space="preserve"> our</w:t>
      </w:r>
      <w:r w:rsidR="002B0D08">
        <w:t xml:space="preserve"> investigative function. The roadmaps are based on demonstrated business need </w:t>
      </w:r>
      <w:r>
        <w:t xml:space="preserve">and </w:t>
      </w:r>
      <w:r w:rsidR="002B0D08">
        <w:t>address current and emerging capability gaps</w:t>
      </w:r>
      <w:r>
        <w:t xml:space="preserve">. </w:t>
      </w:r>
      <w:r w:rsidR="00AF4611" w:rsidRPr="00AF4611">
        <w:t>This approach provides confidence that investments we make in technical and human capabilities represent value for money, while also addressing any changes in our operating environment and demands on investigative capability</w:t>
      </w:r>
      <w:r w:rsidR="006F097B">
        <w:t>.</w:t>
      </w:r>
    </w:p>
    <w:p w14:paraId="4F94A38B" w14:textId="7E825EBE" w:rsidR="004B76DF" w:rsidRPr="004B76DF" w:rsidRDefault="004B76DF" w:rsidP="002B0D08">
      <w:pPr>
        <w:pStyle w:val="BodyText"/>
      </w:pPr>
      <w:r w:rsidRPr="004B76DF">
        <w:t>The roadmap</w:t>
      </w:r>
      <w:r w:rsidR="006F097B">
        <w:t>s</w:t>
      </w:r>
      <w:r w:rsidRPr="004B76DF">
        <w:t xml:space="preserve"> </w:t>
      </w:r>
      <w:r w:rsidR="006706BA">
        <w:t xml:space="preserve">will be </w:t>
      </w:r>
      <w:r w:rsidRPr="004B76DF">
        <w:t xml:space="preserve">reviewed </w:t>
      </w:r>
      <w:r w:rsidR="003B246E">
        <w:t>regularly</w:t>
      </w:r>
      <w:r w:rsidRPr="004B76DF">
        <w:t xml:space="preserve"> and </w:t>
      </w:r>
      <w:r w:rsidR="003B246E">
        <w:t xml:space="preserve">will </w:t>
      </w:r>
      <w:r w:rsidRPr="004B76DF">
        <w:t xml:space="preserve">represent the Operations </w:t>
      </w:r>
      <w:r w:rsidR="000A1ED8">
        <w:t>d</w:t>
      </w:r>
      <w:r w:rsidRPr="004B76DF">
        <w:t xml:space="preserve">ivision’s investment priorities within </w:t>
      </w:r>
      <w:r w:rsidR="000A1ED8">
        <w:t>our</w:t>
      </w:r>
      <w:r w:rsidRPr="004B76DF">
        <w:t xml:space="preserve"> broader investment framework.</w:t>
      </w:r>
    </w:p>
    <w:p w14:paraId="746B3BAF" w14:textId="77777777" w:rsidR="00842EE5" w:rsidRPr="00090922" w:rsidRDefault="00842EE5" w:rsidP="00B07072">
      <w:pPr>
        <w:pStyle w:val="Heading4"/>
      </w:pPr>
      <w:r>
        <w:t>Performance measures refresh</w:t>
      </w:r>
    </w:p>
    <w:p w14:paraId="0EC3FFB3" w14:textId="77E614D7" w:rsidR="006E750C" w:rsidRDefault="00314E7D" w:rsidP="00842EE5">
      <w:pPr>
        <w:pStyle w:val="BodyText"/>
      </w:pPr>
      <w:r>
        <w:t>We</w:t>
      </w:r>
      <w:r w:rsidRPr="008F31E9">
        <w:t xml:space="preserve"> </w:t>
      </w:r>
      <w:r w:rsidR="00842EE5" w:rsidRPr="008F31E9">
        <w:t xml:space="preserve">completed a pilot program to review and refresh complaint assessment performance measures during the </w:t>
      </w:r>
      <w:r w:rsidR="000A1691">
        <w:t>2022/23</w:t>
      </w:r>
      <w:r w:rsidR="00842EE5" w:rsidRPr="008F31E9">
        <w:t xml:space="preserve"> financial year. This work centred on custom designing performance measures that provide evidence of desired results across a range of performance criteria</w:t>
      </w:r>
      <w:r w:rsidR="006F4217">
        <w:t xml:space="preserve"> including</w:t>
      </w:r>
      <w:r w:rsidR="00842EE5" w:rsidRPr="008F31E9">
        <w:t xml:space="preserve"> effectiveness and efficiency, with a focus on continuous improvement. </w:t>
      </w:r>
    </w:p>
    <w:p w14:paraId="50DD96DE" w14:textId="4A86D3F7" w:rsidR="00842EE5" w:rsidRDefault="00842EE5" w:rsidP="00842EE5">
      <w:pPr>
        <w:pStyle w:val="BodyText"/>
      </w:pPr>
      <w:r w:rsidRPr="008F31E9">
        <w:t xml:space="preserve">All desired results are mapped and strategically aligned, providing visibility of how each team contributes to IBAC’s public value outcomes. Work will continue in </w:t>
      </w:r>
      <w:r w:rsidR="000A1691">
        <w:t>2023/24</w:t>
      </w:r>
      <w:r w:rsidRPr="008F31E9">
        <w:t xml:space="preserve"> </w:t>
      </w:r>
      <w:r w:rsidR="006E750C">
        <w:t>f</w:t>
      </w:r>
      <w:r w:rsidRPr="008F31E9">
        <w:t>or other functions, with a particular focus on measures that quantify IBAC’s</w:t>
      </w:r>
      <w:r w:rsidR="00227829">
        <w:t xml:space="preserve"> </w:t>
      </w:r>
      <w:r w:rsidR="00227829" w:rsidRPr="008F31E9">
        <w:t xml:space="preserve">outcomes </w:t>
      </w:r>
      <w:r w:rsidR="00227829">
        <w:t xml:space="preserve">and </w:t>
      </w:r>
      <w:r w:rsidRPr="008F31E9">
        <w:t>impact.</w:t>
      </w:r>
    </w:p>
    <w:p w14:paraId="5FF1B669" w14:textId="71FB63D1" w:rsidR="00842EE5" w:rsidRDefault="00842EE5" w:rsidP="00B07072">
      <w:pPr>
        <w:pStyle w:val="Heading4"/>
      </w:pPr>
      <w:r>
        <w:t>Data Governance Community of Practice</w:t>
      </w:r>
    </w:p>
    <w:p w14:paraId="5B179898" w14:textId="448976A2" w:rsidR="00AC27A9" w:rsidRDefault="00842EE5" w:rsidP="00842EE5">
      <w:pPr>
        <w:pStyle w:val="BodyText"/>
      </w:pPr>
      <w:r w:rsidRPr="00B306D5">
        <w:t xml:space="preserve">The Data Governance </w:t>
      </w:r>
      <w:r w:rsidR="00EB718E">
        <w:t xml:space="preserve">Community of Practice </w:t>
      </w:r>
      <w:r w:rsidRPr="00B306D5">
        <w:t xml:space="preserve">group was formed in April 2022 and has been meeting monthly. The purpose of the group is to provide an open forum for </w:t>
      </w:r>
      <w:r w:rsidR="00227829">
        <w:t>employees</w:t>
      </w:r>
      <w:r w:rsidRPr="00B306D5">
        <w:t xml:space="preserve"> across IBAC to discuss topics related to </w:t>
      </w:r>
      <w:r w:rsidR="00150440">
        <w:t>d</w:t>
      </w:r>
      <w:r w:rsidRPr="00B306D5">
        <w:t>ata</w:t>
      </w:r>
      <w:r w:rsidR="00AC27A9">
        <w:t>. These</w:t>
      </w:r>
      <w:r w:rsidRPr="00B306D5">
        <w:t xml:space="preserve"> rang</w:t>
      </w:r>
      <w:r w:rsidR="00AC27A9">
        <w:t>e</w:t>
      </w:r>
      <w:r w:rsidRPr="00B306D5">
        <w:t xml:space="preserve"> from the highly technical to presentation/visualisation</w:t>
      </w:r>
      <w:r w:rsidR="00AC27A9">
        <w:t>,</w:t>
      </w:r>
      <w:r w:rsidRPr="00B306D5">
        <w:t xml:space="preserve"> and from simple data entry to building organisational strategy.</w:t>
      </w:r>
    </w:p>
    <w:p w14:paraId="4008FED7" w14:textId="5DA2ABCA" w:rsidR="00090922" w:rsidRPr="00433888" w:rsidRDefault="00842EE5" w:rsidP="00433888">
      <w:pPr>
        <w:pStyle w:val="BodyText"/>
      </w:pPr>
      <w:r w:rsidRPr="00B306D5">
        <w:t>All divisions of IBAC are represented through highly engaged participants</w:t>
      </w:r>
      <w:r w:rsidR="00434544">
        <w:t>,</w:t>
      </w:r>
      <w:r w:rsidRPr="00B306D5">
        <w:t xml:space="preserve"> with attendees sharing knowledge, projects, innovations, issues and ideas for solutions to data-related problems. The past financial year has seen a doubling in membership</w:t>
      </w:r>
      <w:r w:rsidR="00434544">
        <w:t>,</w:t>
      </w:r>
      <w:r w:rsidRPr="00B306D5">
        <w:t xml:space="preserve"> which has also resulted in increased awareness and communication between teams in their day-to-day work, collaboration on data solutions, sharing of resources, and importantly, a greater understanding of how data is used across all areas of IBAC.</w:t>
      </w:r>
      <w:r w:rsidR="00090922">
        <w:br w:type="page"/>
      </w:r>
    </w:p>
    <w:p w14:paraId="69FE3BEC" w14:textId="047371DF" w:rsidR="00090922" w:rsidRDefault="00090922">
      <w:pPr>
        <w:pStyle w:val="Heading2"/>
      </w:pPr>
      <w:bookmarkStart w:id="135" w:name="_Toc149131711"/>
      <w:r>
        <w:t>People and organisation</w:t>
      </w:r>
      <w:bookmarkEnd w:id="135"/>
    </w:p>
    <w:p w14:paraId="23A3C18B" w14:textId="0C887507" w:rsidR="00672E7A" w:rsidRDefault="00672E7A" w:rsidP="000E0EB4">
      <w:pPr>
        <w:pStyle w:val="Heading3"/>
      </w:pPr>
      <w:bookmarkStart w:id="136" w:name="_Toc149131712"/>
      <w:bookmarkStart w:id="137" w:name="_Ref149135512"/>
      <w:r w:rsidRPr="002F6765">
        <w:t xml:space="preserve">Organisational </w:t>
      </w:r>
      <w:r w:rsidRPr="0049153C">
        <w:t>structure</w:t>
      </w:r>
      <w:bookmarkEnd w:id="133"/>
      <w:bookmarkEnd w:id="136"/>
      <w:bookmarkEnd w:id="137"/>
    </w:p>
    <w:p w14:paraId="5C44B24F" w14:textId="749003B4" w:rsidR="00672E7A" w:rsidRPr="002F6765" w:rsidRDefault="002E0D12" w:rsidP="00B07072">
      <w:pPr>
        <w:pStyle w:val="Heading4"/>
      </w:pPr>
      <w:r>
        <w:t>Ministers</w:t>
      </w:r>
    </w:p>
    <w:p w14:paraId="00F774C7" w14:textId="77777777" w:rsidR="009C722C" w:rsidRDefault="009E71B3" w:rsidP="0049153C">
      <w:pPr>
        <w:pStyle w:val="BodyText"/>
      </w:pPr>
      <w:r w:rsidRPr="009E71B3">
        <w:t>The Attorney-General of Victoria is the responsible minister for IBAC, supported by the Department of Justice and Community Safety.</w:t>
      </w:r>
    </w:p>
    <w:p w14:paraId="206099D0" w14:textId="0D7FF570" w:rsidR="009E71B3" w:rsidRDefault="009E71B3" w:rsidP="0049153C">
      <w:pPr>
        <w:pStyle w:val="BodyText"/>
      </w:pPr>
      <w:r w:rsidRPr="009E71B3">
        <w:t xml:space="preserve">The Honourable Jaclyn Symes, MP was the Attorney-General during the reporting period. </w:t>
      </w:r>
    </w:p>
    <w:p w14:paraId="41F4C0EB" w14:textId="5F56CF6E" w:rsidR="00CE1336" w:rsidRPr="0049153C" w:rsidRDefault="5BE30E5F" w:rsidP="0049153C">
      <w:pPr>
        <w:pStyle w:val="BodyText"/>
      </w:pPr>
      <w:r>
        <w:t xml:space="preserve">However, </w:t>
      </w:r>
      <w:r w:rsidR="008B5779" w:rsidRPr="0049153C">
        <w:t>IBAC is not subject to the direction or control of the Attorney-General in the performance of its duties and functions</w:t>
      </w:r>
      <w:r w:rsidR="00892373">
        <w:t>,</w:t>
      </w:r>
      <w:r w:rsidR="008B5779" w:rsidRPr="0049153C">
        <w:t xml:space="preserve"> and the exercise of its powers.</w:t>
      </w:r>
      <w:r w:rsidR="003A4200">
        <w:t xml:space="preserve"> </w:t>
      </w:r>
    </w:p>
    <w:p w14:paraId="5182C7B5" w14:textId="1AB7763F" w:rsidR="008B5779" w:rsidRPr="0049153C" w:rsidRDefault="00CE1336" w:rsidP="0049153C">
      <w:pPr>
        <w:pStyle w:val="BodyText"/>
      </w:pPr>
      <w:r w:rsidRPr="0049153C">
        <w:t>T</w:t>
      </w:r>
      <w:r w:rsidR="008B5779" w:rsidRPr="0049153C">
        <w:t xml:space="preserve">he Attorney-General </w:t>
      </w:r>
      <w:r w:rsidR="008B5779">
        <w:t>receive</w:t>
      </w:r>
      <w:r w:rsidR="34DBBE2A">
        <w:t>s</w:t>
      </w:r>
      <w:r w:rsidR="008B5779" w:rsidRPr="0049153C">
        <w:t xml:space="preserve"> reports on IBAC’s:</w:t>
      </w:r>
    </w:p>
    <w:p w14:paraId="5D16FD4B" w14:textId="6D232E54" w:rsidR="008B5779" w:rsidRPr="002F6765" w:rsidRDefault="5DD49C78" w:rsidP="00E867B1">
      <w:pPr>
        <w:pStyle w:val="ListBullet"/>
      </w:pPr>
      <w:r>
        <w:t>telecommunications interception warrants</w:t>
      </w:r>
    </w:p>
    <w:p w14:paraId="6A9AC32D" w14:textId="79D5DC06" w:rsidR="008B5779" w:rsidRPr="002F6765" w:rsidRDefault="5DD49C78" w:rsidP="00E867B1">
      <w:pPr>
        <w:pStyle w:val="ListBullet"/>
      </w:pPr>
      <w:r>
        <w:t>surveillance device warrants</w:t>
      </w:r>
    </w:p>
    <w:p w14:paraId="4B11E6A8" w14:textId="287B0E60" w:rsidR="008B5779" w:rsidRPr="002F6765" w:rsidRDefault="5DD49C78" w:rsidP="00E867B1">
      <w:pPr>
        <w:pStyle w:val="ListBullet"/>
      </w:pPr>
      <w:r>
        <w:t>assumed identities.</w:t>
      </w:r>
    </w:p>
    <w:p w14:paraId="3AE01F43" w14:textId="1BA240CB" w:rsidR="0091379A" w:rsidRDefault="00A53729" w:rsidP="00834775">
      <w:pPr>
        <w:pStyle w:val="Caption"/>
      </w:pPr>
      <w:r w:rsidRPr="002F6765">
        <w:t xml:space="preserve">Figure </w:t>
      </w:r>
      <w:r w:rsidR="00F76B77">
        <w:t>6</w:t>
      </w:r>
      <w:r w:rsidR="003A6EBF">
        <w:t>:</w:t>
      </w:r>
      <w:r w:rsidRPr="002F6765">
        <w:t xml:space="preserve"> Organisational structure at 30 </w:t>
      </w:r>
      <w:r w:rsidRPr="001F6354">
        <w:t>June</w:t>
      </w:r>
      <w:r w:rsidRPr="002F6765">
        <w:t xml:space="preserve"> 202</w:t>
      </w:r>
      <w:r w:rsidR="00C25147">
        <w:t>3</w:t>
      </w:r>
    </w:p>
    <w:p w14:paraId="1BBAF0F8" w14:textId="1FD5DE01" w:rsidR="00A53729" w:rsidRPr="002F6765" w:rsidRDefault="001650B0" w:rsidP="00CE1336">
      <w:pPr>
        <w:pStyle w:val="Image"/>
      </w:pPr>
      <w:r>
        <w:rPr>
          <w:noProof/>
        </w:rPr>
        <w:drawing>
          <wp:inline distT="0" distB="0" distL="0" distR="0" wp14:anchorId="52D5FABD" wp14:editId="6BBA07E4">
            <wp:extent cx="5732145" cy="3926226"/>
            <wp:effectExtent l="0" t="0" r="0" b="0"/>
            <wp:docPr id="6" name="Picture 6" descr="Diagram of IBAC organisational structure, starting with the Commissioner, then the CEO and Deputy Commissioner, followed by the various business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IBAC organisational structure, starting with the Commissioner, then the CEO and Deputy Commissioner, followed by the various business unit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2145" cy="3926226"/>
                    </a:xfrm>
                    <a:prstGeom prst="rect">
                      <a:avLst/>
                    </a:prstGeom>
                  </pic:spPr>
                </pic:pic>
              </a:graphicData>
            </a:graphic>
          </wp:inline>
        </w:drawing>
      </w:r>
    </w:p>
    <w:p w14:paraId="79A7A23B" w14:textId="77777777" w:rsidR="00832291" w:rsidRPr="007211D6" w:rsidRDefault="00832291" w:rsidP="007211D6">
      <w:pPr>
        <w:pStyle w:val="BodyText"/>
      </w:pPr>
      <w:r>
        <w:br w:type="page"/>
      </w:r>
    </w:p>
    <w:p w14:paraId="219F1B9A" w14:textId="39FB52E3" w:rsidR="00E05333" w:rsidRDefault="00E05333" w:rsidP="00E05333">
      <w:pPr>
        <w:pStyle w:val="Heading3"/>
      </w:pPr>
      <w:bookmarkStart w:id="138" w:name="_Toc149131713"/>
      <w:bookmarkStart w:id="139" w:name="_Ref149135521"/>
      <w:bookmarkStart w:id="140" w:name="_Ref149166554"/>
      <w:r w:rsidRPr="00C831E7">
        <w:t>Executive team</w:t>
      </w:r>
      <w:bookmarkEnd w:id="138"/>
      <w:bookmarkEnd w:id="139"/>
      <w:bookmarkEnd w:id="140"/>
    </w:p>
    <w:p w14:paraId="651BC948" w14:textId="01973A2A" w:rsidR="00A8769D" w:rsidRPr="002F6765" w:rsidRDefault="00A8769D" w:rsidP="00B07072">
      <w:pPr>
        <w:pStyle w:val="Heading4"/>
      </w:pPr>
      <w:r w:rsidRPr="002F6765">
        <w:t xml:space="preserve">IBAC </w:t>
      </w:r>
      <w:r w:rsidRPr="001F6354">
        <w:t>Commissioner</w:t>
      </w:r>
    </w:p>
    <w:p w14:paraId="10959BCD" w14:textId="3D8C0F8A" w:rsidR="00A8769D" w:rsidRPr="002F6765" w:rsidRDefault="00A8769D" w:rsidP="001F6354">
      <w:pPr>
        <w:pStyle w:val="BodyText"/>
        <w:rPr>
          <w:lang w:eastAsia="en-AU"/>
        </w:rPr>
      </w:pPr>
      <w:r w:rsidRPr="002F6765">
        <w:rPr>
          <w:lang w:eastAsia="en-AU"/>
        </w:rPr>
        <w:t xml:space="preserve">IBAC’s Commissioner is an independent officer of </w:t>
      </w:r>
      <w:r w:rsidR="00482E99">
        <w:rPr>
          <w:lang w:eastAsia="en-AU"/>
        </w:rPr>
        <w:t>Victorian P</w:t>
      </w:r>
      <w:r w:rsidR="00F8513B" w:rsidRPr="002F6765">
        <w:rPr>
          <w:lang w:eastAsia="en-AU"/>
        </w:rPr>
        <w:t xml:space="preserve">arliament </w:t>
      </w:r>
      <w:r w:rsidRPr="002F6765">
        <w:rPr>
          <w:lang w:eastAsia="en-AU"/>
        </w:rPr>
        <w:t>and is responsible for our strategic leadership.</w:t>
      </w:r>
    </w:p>
    <w:p w14:paraId="3B53F8FF" w14:textId="77777777" w:rsidR="00D85BC2" w:rsidRPr="001F6354" w:rsidRDefault="00D85BC2" w:rsidP="00D85BC2">
      <w:pPr>
        <w:pStyle w:val="BodyText"/>
      </w:pPr>
      <w:r w:rsidRPr="001F6354">
        <w:rPr>
          <w:rStyle w:val="Characterbold"/>
        </w:rPr>
        <w:t xml:space="preserve">The Honourable Robert Redlich </w:t>
      </w:r>
      <w:r w:rsidRPr="004420EF">
        <w:rPr>
          <w:rStyle w:val="Characterbold"/>
        </w:rPr>
        <w:t xml:space="preserve">AM, </w:t>
      </w:r>
      <w:r>
        <w:rPr>
          <w:rStyle w:val="Characterbold"/>
        </w:rPr>
        <w:t>K</w:t>
      </w:r>
      <w:r w:rsidRPr="004420EF">
        <w:rPr>
          <w:rStyle w:val="Characterbold"/>
        </w:rPr>
        <w:t>C</w:t>
      </w:r>
      <w:r w:rsidRPr="001F6354">
        <w:t xml:space="preserve"> began a five-year term as IBAC Commissioner on 1</w:t>
      </w:r>
      <w:r>
        <w:t xml:space="preserve"> </w:t>
      </w:r>
      <w:r w:rsidRPr="001F6354">
        <w:t>January</w:t>
      </w:r>
      <w:r>
        <w:t xml:space="preserve"> </w:t>
      </w:r>
      <w:r w:rsidRPr="001F6354">
        <w:t>2018</w:t>
      </w:r>
      <w:r>
        <w:t xml:space="preserve">, </w:t>
      </w:r>
      <w:r w:rsidRPr="00CA0FFA">
        <w:t>which he completed in December 2022</w:t>
      </w:r>
      <w:r>
        <w:t>.</w:t>
      </w:r>
    </w:p>
    <w:p w14:paraId="1F842D33" w14:textId="77777777" w:rsidR="00D85BC2" w:rsidRPr="001F6354" w:rsidRDefault="00D85BC2" w:rsidP="00D85BC2">
      <w:pPr>
        <w:pStyle w:val="BodyText"/>
      </w:pPr>
      <w:r w:rsidRPr="001F6354">
        <w:t>Commissioner Redlich was a judge of the Supreme Court of Victoria for 15 years, including 11</w:t>
      </w:r>
      <w:r>
        <w:t xml:space="preserve"> </w:t>
      </w:r>
      <w:r w:rsidRPr="001F6354">
        <w:t>years as a judge of the Victorian Court of Appeal. He was a member of the Victorian Bar for 30</w:t>
      </w:r>
      <w:r>
        <w:t xml:space="preserve"> </w:t>
      </w:r>
      <w:r w:rsidRPr="001F6354">
        <w:t xml:space="preserve">years and served for a period as Chairman of the Victorian Bar Council. His significant achievements in legal practice were recognised with his appointment as </w:t>
      </w:r>
      <w:r>
        <w:t>King</w:t>
      </w:r>
      <w:r w:rsidRPr="001F6354">
        <w:t>’s Counsel in 1984.</w:t>
      </w:r>
    </w:p>
    <w:p w14:paraId="12A3F7F7" w14:textId="77777777" w:rsidR="003A5DD6" w:rsidRDefault="003A5DD6" w:rsidP="00944560">
      <w:pPr>
        <w:pStyle w:val="BodyText"/>
      </w:pPr>
      <w:r w:rsidRPr="003A5DD6">
        <w:rPr>
          <w:rStyle w:val="Characterbold"/>
        </w:rPr>
        <w:t>Stephen Farrow</w:t>
      </w:r>
      <w:r w:rsidRPr="003A5DD6">
        <w:t xml:space="preserve"> </w:t>
      </w:r>
      <w:r>
        <w:t>joined IBAC in July 2021 as Deputy Commissioner and was appointed Acting Commissioner in December 2022.</w:t>
      </w:r>
    </w:p>
    <w:p w14:paraId="127EEF46" w14:textId="27531069" w:rsidR="003A5DD6" w:rsidRPr="003A5DD6" w:rsidRDefault="003A5DD6" w:rsidP="00944560">
      <w:pPr>
        <w:pStyle w:val="BodyText"/>
      </w:pPr>
      <w:r>
        <w:t>Beginning his career as a solicitor, Acting Commissioner Farrow has extensive experience in public law and policy. Mr Farrow was previously the full-time Deputy Chairperson of the Adult Parole Board, the first non-judicial officer appointed to the role in the board's 64-year history. He was C</w:t>
      </w:r>
      <w:r w:rsidR="00F70F1D">
        <w:t xml:space="preserve">hief </w:t>
      </w:r>
      <w:r>
        <w:t>E</w:t>
      </w:r>
      <w:r w:rsidR="00F70F1D">
        <w:t xml:space="preserve">xecutive </w:t>
      </w:r>
      <w:r>
        <w:t>O</w:t>
      </w:r>
      <w:r w:rsidR="00F70F1D">
        <w:t>fficer (CEO)</w:t>
      </w:r>
      <w:r>
        <w:t xml:space="preserve"> of the Sentencing Advisory Council from 2008</w:t>
      </w:r>
      <w:r w:rsidR="007F6DCE">
        <w:t>,</w:t>
      </w:r>
      <w:r>
        <w:t xml:space="preserve"> and has held several roles at </w:t>
      </w:r>
      <w:r w:rsidR="007F6DCE">
        <w:t xml:space="preserve">the </w:t>
      </w:r>
      <w:r>
        <w:t>Department of Justice and Community Safety, focusing on terrorism and criminal law reform</w:t>
      </w:r>
      <w:r w:rsidRPr="003A5DD6">
        <w:t>.</w:t>
      </w:r>
    </w:p>
    <w:p w14:paraId="51718768" w14:textId="7E54628A" w:rsidR="00A8769D" w:rsidRPr="002F6765" w:rsidRDefault="00D50DBD" w:rsidP="00B07072">
      <w:pPr>
        <w:pStyle w:val="Heading4"/>
      </w:pPr>
      <w:r w:rsidRPr="002F6765">
        <w:t>Chief Executive Officer</w:t>
      </w:r>
    </w:p>
    <w:p w14:paraId="790D626E" w14:textId="70F720DA" w:rsidR="00D50DBD" w:rsidRPr="002F6765" w:rsidRDefault="000D148C" w:rsidP="001F6354">
      <w:pPr>
        <w:pStyle w:val="BodyText"/>
        <w:rPr>
          <w:lang w:eastAsia="en-AU"/>
        </w:rPr>
      </w:pPr>
      <w:r w:rsidRPr="002F6765">
        <w:rPr>
          <w:lang w:eastAsia="en-AU"/>
        </w:rPr>
        <w:t xml:space="preserve">IBAC’s </w:t>
      </w:r>
      <w:r w:rsidR="00D50DBD" w:rsidRPr="002F6765">
        <w:rPr>
          <w:lang w:eastAsia="en-AU"/>
        </w:rPr>
        <w:t xml:space="preserve">Chief Executive Officer is responsible for the general conduct and the effective, </w:t>
      </w:r>
      <w:r w:rsidR="00E15700" w:rsidRPr="002F6765">
        <w:rPr>
          <w:lang w:eastAsia="en-AU"/>
        </w:rPr>
        <w:t>efficient</w:t>
      </w:r>
      <w:r w:rsidR="00D50DBD" w:rsidRPr="002F6765">
        <w:rPr>
          <w:lang w:eastAsia="en-AU"/>
        </w:rPr>
        <w:t xml:space="preserve"> and economical management of </w:t>
      </w:r>
      <w:r w:rsidR="003C6C30" w:rsidRPr="002F6765">
        <w:rPr>
          <w:lang w:eastAsia="en-AU"/>
        </w:rPr>
        <w:t xml:space="preserve">IBAC’s </w:t>
      </w:r>
      <w:r w:rsidR="00D50DBD" w:rsidRPr="002F6765">
        <w:rPr>
          <w:lang w:eastAsia="en-AU"/>
        </w:rPr>
        <w:t>functions and activities.</w:t>
      </w:r>
    </w:p>
    <w:p w14:paraId="065552FB" w14:textId="51BB1F92" w:rsidR="00D50DBD" w:rsidRPr="001F6354" w:rsidRDefault="00D50DBD" w:rsidP="001F6354">
      <w:pPr>
        <w:pStyle w:val="BodyText"/>
      </w:pPr>
      <w:r w:rsidRPr="001F6354">
        <w:rPr>
          <w:rStyle w:val="Characterbold"/>
        </w:rPr>
        <w:t>Marlo Baragwanath</w:t>
      </w:r>
      <w:r w:rsidRPr="001F6354">
        <w:t xml:space="preserve"> joined IBAC in January 2020. </w:t>
      </w:r>
      <w:r w:rsidR="004420EF">
        <w:t>Before this</w:t>
      </w:r>
      <w:r w:rsidR="00C12386" w:rsidRPr="001F6354">
        <w:t xml:space="preserve">, </w:t>
      </w:r>
      <w:r w:rsidRPr="001F6354">
        <w:t>Ms</w:t>
      </w:r>
      <w:r w:rsidR="00025C73">
        <w:t xml:space="preserve"> </w:t>
      </w:r>
      <w:r w:rsidRPr="001F6354">
        <w:t>Baragwanath was the Victorian Government Solicitor</w:t>
      </w:r>
      <w:r w:rsidR="00D97D80">
        <w:t>,</w:t>
      </w:r>
      <w:r w:rsidRPr="001F6354">
        <w:t xml:space="preserve"> </w:t>
      </w:r>
      <w:r w:rsidR="005F2037" w:rsidRPr="001F6354">
        <w:t>responsible</w:t>
      </w:r>
      <w:r w:rsidRPr="001F6354">
        <w:t xml:space="preserve"> for leading the Victorian Government Solicitor's Office. She </w:t>
      </w:r>
      <w:r w:rsidR="008A207D" w:rsidRPr="001F6354">
        <w:t xml:space="preserve">began </w:t>
      </w:r>
      <w:r w:rsidRPr="001F6354">
        <w:t>her public sector career at the Victorian Ombudsman</w:t>
      </w:r>
      <w:r w:rsidR="00A13650" w:rsidRPr="001F6354">
        <w:t xml:space="preserve">, and </w:t>
      </w:r>
      <w:r w:rsidR="00C12386" w:rsidRPr="001F6354">
        <w:t>previously</w:t>
      </w:r>
      <w:r w:rsidR="00A13650" w:rsidRPr="001F6354">
        <w:t xml:space="preserve"> held the roles of </w:t>
      </w:r>
      <w:r w:rsidR="003802C8" w:rsidRPr="001F6354">
        <w:t xml:space="preserve">General Counsel </w:t>
      </w:r>
      <w:r w:rsidR="00A13650" w:rsidRPr="001F6354">
        <w:t xml:space="preserve">at WorkSafe Victoria and </w:t>
      </w:r>
      <w:r w:rsidR="003802C8" w:rsidRPr="001F6354">
        <w:t>Director</w:t>
      </w:r>
      <w:r w:rsidR="00A13650" w:rsidRPr="001F6354">
        <w:t xml:space="preserve"> at</w:t>
      </w:r>
      <w:r w:rsidR="00E107A3">
        <w:t xml:space="preserve"> the</w:t>
      </w:r>
      <w:r w:rsidR="00A13650" w:rsidRPr="001F6354">
        <w:t xml:space="preserve"> Victorian Building Authority.</w:t>
      </w:r>
    </w:p>
    <w:p w14:paraId="64B7BE6B" w14:textId="277767C4" w:rsidR="00D50DBD" w:rsidRPr="002F6765" w:rsidRDefault="00130034" w:rsidP="00B07072">
      <w:pPr>
        <w:pStyle w:val="Heading4"/>
      </w:pPr>
      <w:r w:rsidRPr="002F6765">
        <w:t xml:space="preserve">Deputy </w:t>
      </w:r>
      <w:r w:rsidRPr="001F6354">
        <w:t>Commissioners</w:t>
      </w:r>
    </w:p>
    <w:p w14:paraId="2AD48087" w14:textId="6832F946" w:rsidR="00130034" w:rsidRPr="002F6765" w:rsidRDefault="00130034" w:rsidP="001F6354">
      <w:pPr>
        <w:pStyle w:val="BodyText"/>
      </w:pPr>
      <w:r w:rsidRPr="002F6765">
        <w:t>IBAC</w:t>
      </w:r>
      <w:r w:rsidR="00E107A3">
        <w:t>’</w:t>
      </w:r>
      <w:r w:rsidRPr="002F6765">
        <w:t xml:space="preserve">s Deputy </w:t>
      </w:r>
      <w:r w:rsidRPr="001F6354">
        <w:t>Commissioners</w:t>
      </w:r>
      <w:r w:rsidRPr="002F6765">
        <w:t xml:space="preserve"> assist the Commissioner, performing duties and functions under the </w:t>
      </w:r>
      <w:r w:rsidR="00002955" w:rsidRPr="002F6765">
        <w:t>IBAC Act</w:t>
      </w:r>
      <w:r w:rsidRPr="002F6765">
        <w:t>.</w:t>
      </w:r>
    </w:p>
    <w:p w14:paraId="12D79C85" w14:textId="13E9C2A5" w:rsidR="00130034" w:rsidRPr="00193C6E" w:rsidRDefault="00130034" w:rsidP="00AF4611">
      <w:pPr>
        <w:pStyle w:val="BodyText"/>
      </w:pPr>
      <w:r w:rsidRPr="001F6354">
        <w:rPr>
          <w:rStyle w:val="Characterbold"/>
        </w:rPr>
        <w:t>David Wolf</w:t>
      </w:r>
      <w:r w:rsidRPr="001F6354">
        <w:t xml:space="preserve"> </w:t>
      </w:r>
      <w:r w:rsidR="00AF4611">
        <w:t>joined IBAC in January 2020, bringing a broad range of skills, expertise and deep understanding of regulatory, integrity, communication, public sector and council administration matters. Prior to joining IBAC, Mr Wolf was Victoria's inaugural Chief Municipal Inspector and head of the Local Government Inspectorate. He has also held positions as Director at the Victorian Building Authority and Deputy Director of Communications at the former Department of Planning and Community Development</w:t>
      </w:r>
      <w:r w:rsidR="02979FDB" w:rsidRPr="00193C6E">
        <w:t>.</w:t>
      </w:r>
    </w:p>
    <w:p w14:paraId="68D7BD53" w14:textId="665C471E" w:rsidR="00130034" w:rsidRPr="001F6354" w:rsidRDefault="00951198" w:rsidP="00AF4611">
      <w:pPr>
        <w:pStyle w:val="BodyText"/>
      </w:pPr>
      <w:r w:rsidRPr="1F751BE5">
        <w:rPr>
          <w:rStyle w:val="Characterbold"/>
        </w:rPr>
        <w:t>Kylie Kilgour</w:t>
      </w:r>
      <w:r>
        <w:t xml:space="preserve"> </w:t>
      </w:r>
      <w:r w:rsidR="00AF4611">
        <w:t xml:space="preserve">joined IBAC in January 2021, bringing with her significant expertise and deep understanding of police regulatory, integrity and administration matters. Ms Kilgour was the CEO of the </w:t>
      </w:r>
      <w:r w:rsidR="0016406B">
        <w:t xml:space="preserve">RCMPI from </w:t>
      </w:r>
      <w:r w:rsidR="00AF4611">
        <w:t>December 2018 to November 2020. Ms Kilgour has also held various senior leadership roles with the Department of Justice and Community Safety and worked as a lawyer in London and Sydney. Ms Kilgour has a Bachelor of Arts/Bachelor of Laws and was admitted as a legal practitioner by the Supreme Court of N</w:t>
      </w:r>
      <w:r w:rsidR="00845172">
        <w:t xml:space="preserve">ew </w:t>
      </w:r>
      <w:r w:rsidR="00AF4611">
        <w:t>S</w:t>
      </w:r>
      <w:r w:rsidR="00845172">
        <w:t xml:space="preserve">outh </w:t>
      </w:r>
      <w:r w:rsidR="00AF4611">
        <w:t>W</w:t>
      </w:r>
      <w:r w:rsidR="00845172">
        <w:t>ales</w:t>
      </w:r>
      <w:r w:rsidR="00AF4611">
        <w:t xml:space="preserve"> in 2001</w:t>
      </w:r>
      <w:r>
        <w:t>.</w:t>
      </w:r>
    </w:p>
    <w:p w14:paraId="06FAAB07" w14:textId="77777777" w:rsidR="00832291" w:rsidRPr="007211D6" w:rsidRDefault="00832291" w:rsidP="007211D6">
      <w:pPr>
        <w:pStyle w:val="BodyText"/>
      </w:pPr>
      <w:r>
        <w:br w:type="page"/>
      </w:r>
    </w:p>
    <w:p w14:paraId="0D03D606" w14:textId="1FF14BEE" w:rsidR="00130034" w:rsidRPr="001F6354" w:rsidRDefault="00130034" w:rsidP="00B07072">
      <w:pPr>
        <w:pStyle w:val="Heading4"/>
      </w:pPr>
      <w:r w:rsidRPr="002F6765">
        <w:t xml:space="preserve">Executive </w:t>
      </w:r>
      <w:r w:rsidR="002B626C" w:rsidRPr="002F6765">
        <w:t>directors</w:t>
      </w:r>
    </w:p>
    <w:p w14:paraId="216FC001" w14:textId="77777777" w:rsidR="00E04A64" w:rsidRPr="001F6354" w:rsidRDefault="00E04A64" w:rsidP="00B07072">
      <w:pPr>
        <w:pStyle w:val="Heading5"/>
      </w:pPr>
      <w:r w:rsidRPr="002F6765">
        <w:t>Prevention &amp; Communication</w:t>
      </w:r>
    </w:p>
    <w:p w14:paraId="5725A4C7" w14:textId="0C76D0BF" w:rsidR="00E04A64" w:rsidRPr="00066E88" w:rsidRDefault="00E04A64" w:rsidP="00066E88">
      <w:pPr>
        <w:pStyle w:val="BodyText"/>
      </w:pPr>
      <w:r w:rsidRPr="00066E88">
        <w:rPr>
          <w:rStyle w:val="Characterbold"/>
        </w:rPr>
        <w:t>Linda Timothy</w:t>
      </w:r>
      <w:r w:rsidRPr="00066E88">
        <w:t xml:space="preserve"> joined IBAC in February 2022. Dr Timothy leads IBAC</w:t>
      </w:r>
      <w:r w:rsidR="00713351">
        <w:t>’</w:t>
      </w:r>
      <w:r w:rsidRPr="00066E88">
        <w:t xml:space="preserve">s Strategic Intelligence, Prevention Policy </w:t>
      </w:r>
      <w:r w:rsidR="00F34DBA">
        <w:t>&amp;</w:t>
      </w:r>
      <w:r w:rsidR="00F34DBA" w:rsidRPr="00066E88">
        <w:t xml:space="preserve"> </w:t>
      </w:r>
      <w:r w:rsidRPr="00066E88">
        <w:t xml:space="preserve">Research, </w:t>
      </w:r>
      <w:r w:rsidR="001253FB">
        <w:t xml:space="preserve">and </w:t>
      </w:r>
      <w:r w:rsidRPr="00066E88">
        <w:t xml:space="preserve">Communication </w:t>
      </w:r>
      <w:r w:rsidR="00DA1A99">
        <w:t>&amp;</w:t>
      </w:r>
      <w:r w:rsidR="00DA1A99" w:rsidRPr="00066E88">
        <w:t xml:space="preserve"> </w:t>
      </w:r>
      <w:r w:rsidRPr="00066E88">
        <w:t xml:space="preserve">Engagement </w:t>
      </w:r>
      <w:r w:rsidR="002B626C" w:rsidRPr="00066E88">
        <w:t>teams</w:t>
      </w:r>
      <w:r w:rsidRPr="00066E88">
        <w:t xml:space="preserve">. She is an experienced leader with significant experience </w:t>
      </w:r>
      <w:r w:rsidR="001253FB">
        <w:t>in</w:t>
      </w:r>
      <w:r w:rsidR="001253FB" w:rsidRPr="00066E88">
        <w:t xml:space="preserve"> </w:t>
      </w:r>
      <w:r w:rsidRPr="00066E88">
        <w:t xml:space="preserve">public policy, stakeholder engagement, marketing and communications, </w:t>
      </w:r>
      <w:r w:rsidR="001253FB">
        <w:t>and</w:t>
      </w:r>
      <w:r w:rsidRPr="00066E88">
        <w:t xml:space="preserve"> organisational and legislative reform.</w:t>
      </w:r>
    </w:p>
    <w:p w14:paraId="0715C7F4" w14:textId="6A3E4C46" w:rsidR="00130034" w:rsidRPr="00066E88" w:rsidRDefault="00130034" w:rsidP="00B07072">
      <w:pPr>
        <w:pStyle w:val="Heading5"/>
      </w:pPr>
      <w:r w:rsidRPr="002F6765">
        <w:t>Corporate Services</w:t>
      </w:r>
    </w:p>
    <w:p w14:paraId="73010E9D" w14:textId="58A24BB6" w:rsidR="00130034" w:rsidRPr="00066E88" w:rsidRDefault="00130034" w:rsidP="00066E88">
      <w:pPr>
        <w:pStyle w:val="BodyText"/>
      </w:pPr>
      <w:r w:rsidRPr="00066E88">
        <w:rPr>
          <w:rStyle w:val="Characterbold"/>
        </w:rPr>
        <w:t>Glenn Ockerby</w:t>
      </w:r>
      <w:r w:rsidR="00066E88">
        <w:t xml:space="preserve"> l</w:t>
      </w:r>
      <w:r w:rsidRPr="00066E88">
        <w:t>eads IBAC</w:t>
      </w:r>
      <w:r w:rsidR="00DF6A6B">
        <w:t>’</w:t>
      </w:r>
      <w:r w:rsidRPr="00066E88">
        <w:t xml:space="preserve">s Finance </w:t>
      </w:r>
      <w:r w:rsidR="0009016F" w:rsidRPr="00066E88">
        <w:t>&amp;</w:t>
      </w:r>
      <w:r w:rsidRPr="00066E88">
        <w:t xml:space="preserve"> Procurement</w:t>
      </w:r>
      <w:r w:rsidR="00B21EA2">
        <w:t>,</w:t>
      </w:r>
      <w:r w:rsidRPr="00066E88">
        <w:t xml:space="preserve"> Information </w:t>
      </w:r>
      <w:r w:rsidR="0009016F" w:rsidRPr="00066E88">
        <w:t>&amp;</w:t>
      </w:r>
      <w:r w:rsidRPr="00066E88">
        <w:t xml:space="preserve"> Digital Services</w:t>
      </w:r>
      <w:r w:rsidR="00537B40">
        <w:t>,</w:t>
      </w:r>
      <w:r w:rsidRPr="00066E88">
        <w:t xml:space="preserve"> </w:t>
      </w:r>
      <w:r w:rsidR="008B5779" w:rsidRPr="00066E88">
        <w:t>People, Culture &amp; Capability</w:t>
      </w:r>
      <w:r w:rsidR="00B21EA2">
        <w:t>,</w:t>
      </w:r>
      <w:r w:rsidR="008B5779" w:rsidRPr="00066E88">
        <w:t xml:space="preserve"> and </w:t>
      </w:r>
      <w:r w:rsidR="00F820E3" w:rsidRPr="00066E88">
        <w:t xml:space="preserve">Strategy </w:t>
      </w:r>
      <w:r w:rsidR="0009016F" w:rsidRPr="00066E88">
        <w:t>&amp;</w:t>
      </w:r>
      <w:r w:rsidRPr="00066E88">
        <w:t xml:space="preserve"> Risk teams.</w:t>
      </w:r>
      <w:r w:rsidR="008466B2">
        <w:t xml:space="preserve"> Mr</w:t>
      </w:r>
      <w:r w:rsidR="00025C73">
        <w:t xml:space="preserve"> </w:t>
      </w:r>
      <w:r w:rsidRPr="00066E88">
        <w:t>Ockerby joined IBAC from the Metropolitan Fire Brigade where he was Executive Director, Corporate Services and Chief Financial Officer.</w:t>
      </w:r>
      <w:r w:rsidR="008466B2">
        <w:t xml:space="preserve"> Mr</w:t>
      </w:r>
      <w:r w:rsidR="00025C73">
        <w:t xml:space="preserve"> </w:t>
      </w:r>
      <w:r w:rsidRPr="00066E88">
        <w:t>Ockerby has broad experience</w:t>
      </w:r>
      <w:r w:rsidR="0009016F" w:rsidRPr="00066E88">
        <w:t xml:space="preserve"> </w:t>
      </w:r>
      <w:r w:rsidR="00BA5B4C" w:rsidRPr="00066E88">
        <w:t>in</w:t>
      </w:r>
      <w:r w:rsidRPr="00066E88">
        <w:t xml:space="preserve"> public and private sector leadership roles, including </w:t>
      </w:r>
      <w:r w:rsidR="00B226E2">
        <w:t xml:space="preserve">at </w:t>
      </w:r>
      <w:r w:rsidRPr="00066E88">
        <w:t>the Victorian WorkCover Authority and KPMG Australia.</w:t>
      </w:r>
    </w:p>
    <w:p w14:paraId="18A956EB" w14:textId="77777777" w:rsidR="00130034" w:rsidRPr="00066E88" w:rsidRDefault="00130034" w:rsidP="00B07072">
      <w:pPr>
        <w:pStyle w:val="Heading5"/>
      </w:pPr>
      <w:r w:rsidRPr="002F6765">
        <w:t>Operations</w:t>
      </w:r>
    </w:p>
    <w:p w14:paraId="6516068E" w14:textId="1BA67D0A" w:rsidR="00130034" w:rsidRPr="002F6765" w:rsidRDefault="00D777A6" w:rsidP="00066E88">
      <w:pPr>
        <w:pStyle w:val="BodyText"/>
        <w:rPr>
          <w:lang w:eastAsia="en-AU"/>
        </w:rPr>
      </w:pPr>
      <w:r w:rsidRPr="00066E88">
        <w:rPr>
          <w:rStyle w:val="Characterbold"/>
        </w:rPr>
        <w:t>Peter Morris</w:t>
      </w:r>
      <w:r w:rsidRPr="002F6765">
        <w:rPr>
          <w:lang w:eastAsia="en-AU"/>
        </w:rPr>
        <w:t xml:space="preserve"> joined IBAC in October 2021.</w:t>
      </w:r>
      <w:r w:rsidR="008466B2">
        <w:rPr>
          <w:lang w:eastAsia="en-AU"/>
        </w:rPr>
        <w:t xml:space="preserve"> Mr</w:t>
      </w:r>
      <w:r w:rsidR="00025C73">
        <w:rPr>
          <w:lang w:eastAsia="en-AU"/>
        </w:rPr>
        <w:t xml:space="preserve"> </w:t>
      </w:r>
      <w:r w:rsidRPr="002F6765">
        <w:rPr>
          <w:lang w:eastAsia="en-AU"/>
        </w:rPr>
        <w:t xml:space="preserve">Morris leads the Digital Forensics </w:t>
      </w:r>
      <w:r w:rsidR="001C5C13">
        <w:rPr>
          <w:lang w:eastAsia="en-AU"/>
        </w:rPr>
        <w:t>&amp;</w:t>
      </w:r>
      <w:r w:rsidR="001C5C13" w:rsidRPr="002F6765">
        <w:rPr>
          <w:lang w:eastAsia="en-AU"/>
        </w:rPr>
        <w:t xml:space="preserve"> </w:t>
      </w:r>
      <w:r w:rsidRPr="002F6765">
        <w:rPr>
          <w:lang w:eastAsia="en-AU"/>
        </w:rPr>
        <w:t xml:space="preserve">Collections, </w:t>
      </w:r>
      <w:r w:rsidR="008B5779" w:rsidRPr="002F6765">
        <w:t xml:space="preserve">Investigations and </w:t>
      </w:r>
      <w:r w:rsidRPr="002F6765">
        <w:rPr>
          <w:lang w:eastAsia="en-AU"/>
        </w:rPr>
        <w:t xml:space="preserve">Surveillance teams. </w:t>
      </w:r>
      <w:r w:rsidR="00B226E2">
        <w:rPr>
          <w:lang w:eastAsia="en-AU"/>
        </w:rPr>
        <w:t>Before</w:t>
      </w:r>
      <w:r w:rsidRPr="002F6765">
        <w:rPr>
          <w:lang w:eastAsia="en-AU"/>
        </w:rPr>
        <w:t xml:space="preserve"> commencing at IBAC,</w:t>
      </w:r>
      <w:r w:rsidR="008466B2">
        <w:rPr>
          <w:lang w:eastAsia="en-AU"/>
        </w:rPr>
        <w:t xml:space="preserve"> Mr</w:t>
      </w:r>
      <w:r w:rsidR="00025C73">
        <w:rPr>
          <w:lang w:eastAsia="en-AU"/>
        </w:rPr>
        <w:t xml:space="preserve"> </w:t>
      </w:r>
      <w:r w:rsidRPr="002F6765">
        <w:rPr>
          <w:lang w:eastAsia="en-AU"/>
        </w:rPr>
        <w:t xml:space="preserve">Morris was a </w:t>
      </w:r>
      <w:r w:rsidR="00B226E2" w:rsidRPr="002F6765">
        <w:rPr>
          <w:lang w:eastAsia="en-AU"/>
        </w:rPr>
        <w:t xml:space="preserve">partner </w:t>
      </w:r>
      <w:r w:rsidRPr="002F6765">
        <w:rPr>
          <w:lang w:eastAsia="en-AU"/>
        </w:rPr>
        <w:t xml:space="preserve">in the </w:t>
      </w:r>
      <w:r w:rsidR="00B226E2" w:rsidRPr="002F6765">
        <w:rPr>
          <w:lang w:eastAsia="en-AU"/>
        </w:rPr>
        <w:t xml:space="preserve">forensic </w:t>
      </w:r>
      <w:r w:rsidRPr="002F6765">
        <w:rPr>
          <w:lang w:eastAsia="en-AU"/>
        </w:rPr>
        <w:t>practice of Deloitte</w:t>
      </w:r>
      <w:r w:rsidR="00B226E2">
        <w:rPr>
          <w:lang w:eastAsia="en-AU"/>
        </w:rPr>
        <w:t>,</w:t>
      </w:r>
      <w:r w:rsidRPr="002F6765">
        <w:rPr>
          <w:lang w:eastAsia="en-AU"/>
        </w:rPr>
        <w:t xml:space="preserve"> where he specialised in fraud and corruption risk management. He </w:t>
      </w:r>
      <w:r w:rsidR="009B670B">
        <w:rPr>
          <w:lang w:eastAsia="en-AU"/>
        </w:rPr>
        <w:t>began</w:t>
      </w:r>
      <w:r w:rsidR="009B670B" w:rsidRPr="002F6765">
        <w:rPr>
          <w:lang w:eastAsia="en-AU"/>
        </w:rPr>
        <w:t xml:space="preserve"> </w:t>
      </w:r>
      <w:r w:rsidRPr="002F6765">
        <w:rPr>
          <w:lang w:eastAsia="en-AU"/>
        </w:rPr>
        <w:t xml:space="preserve">his career as a sworn member </w:t>
      </w:r>
      <w:r w:rsidR="009B670B">
        <w:rPr>
          <w:lang w:eastAsia="en-AU"/>
        </w:rPr>
        <w:t>of</w:t>
      </w:r>
      <w:r w:rsidR="009B670B" w:rsidRPr="002F6765">
        <w:rPr>
          <w:lang w:eastAsia="en-AU"/>
        </w:rPr>
        <w:t xml:space="preserve"> </w:t>
      </w:r>
      <w:r w:rsidRPr="002F6765">
        <w:rPr>
          <w:lang w:eastAsia="en-AU"/>
        </w:rPr>
        <w:t xml:space="preserve">the Australian Federal Police, where he worked </w:t>
      </w:r>
      <w:r w:rsidR="009B670B">
        <w:rPr>
          <w:lang w:eastAsia="en-AU"/>
        </w:rPr>
        <w:t>in</w:t>
      </w:r>
      <w:r w:rsidR="009B670B" w:rsidRPr="002F6765">
        <w:rPr>
          <w:lang w:eastAsia="en-AU"/>
        </w:rPr>
        <w:t xml:space="preserve"> </w:t>
      </w:r>
      <w:r w:rsidRPr="002F6765">
        <w:rPr>
          <w:lang w:eastAsia="en-AU"/>
        </w:rPr>
        <w:t>a range of divisions</w:t>
      </w:r>
      <w:r w:rsidR="003A0498">
        <w:rPr>
          <w:lang w:eastAsia="en-AU"/>
        </w:rPr>
        <w:t>,</w:t>
      </w:r>
      <w:r w:rsidRPr="002F6765">
        <w:rPr>
          <w:lang w:eastAsia="en-AU"/>
        </w:rPr>
        <w:t xml:space="preserve"> including criminal intelligence, </w:t>
      </w:r>
      <w:r w:rsidR="00CA20A9" w:rsidRPr="002F6765">
        <w:rPr>
          <w:lang w:eastAsia="en-AU"/>
        </w:rPr>
        <w:t>fraud</w:t>
      </w:r>
      <w:r w:rsidRPr="002F6765">
        <w:rPr>
          <w:lang w:eastAsia="en-AU"/>
        </w:rPr>
        <w:t xml:space="preserve"> and general crime.</w:t>
      </w:r>
      <w:r w:rsidR="008466B2">
        <w:rPr>
          <w:lang w:eastAsia="en-AU"/>
        </w:rPr>
        <w:t xml:space="preserve"> Mr</w:t>
      </w:r>
      <w:r w:rsidR="00025C73">
        <w:rPr>
          <w:lang w:eastAsia="en-AU"/>
        </w:rPr>
        <w:t xml:space="preserve"> </w:t>
      </w:r>
      <w:r w:rsidRPr="002F6765">
        <w:rPr>
          <w:lang w:eastAsia="en-AU"/>
        </w:rPr>
        <w:t xml:space="preserve">Morris is an experienced </w:t>
      </w:r>
      <w:r w:rsidRPr="00066E88">
        <w:t>leader</w:t>
      </w:r>
      <w:r w:rsidRPr="002F6765">
        <w:rPr>
          <w:lang w:eastAsia="en-AU"/>
        </w:rPr>
        <w:t xml:space="preserve"> with significant experience </w:t>
      </w:r>
      <w:r w:rsidR="009B670B">
        <w:rPr>
          <w:lang w:eastAsia="en-AU"/>
        </w:rPr>
        <w:t>in</w:t>
      </w:r>
      <w:r w:rsidR="009B670B" w:rsidRPr="002F6765">
        <w:rPr>
          <w:lang w:eastAsia="en-AU"/>
        </w:rPr>
        <w:t xml:space="preserve"> </w:t>
      </w:r>
      <w:r w:rsidRPr="002F6765">
        <w:rPr>
          <w:lang w:eastAsia="en-AU"/>
        </w:rPr>
        <w:t>law enforcement and professional services firms</w:t>
      </w:r>
      <w:r w:rsidR="00130034" w:rsidRPr="002F6765">
        <w:rPr>
          <w:lang w:eastAsia="en-AU"/>
        </w:rPr>
        <w:t>.</w:t>
      </w:r>
    </w:p>
    <w:p w14:paraId="6B2CCB62" w14:textId="76A11DC0" w:rsidR="00130034" w:rsidRPr="002F6765" w:rsidRDefault="53CECCCF" w:rsidP="00B07072">
      <w:pPr>
        <w:pStyle w:val="Heading5"/>
      </w:pPr>
      <w:r>
        <w:t>Legal, Assessment</w:t>
      </w:r>
      <w:r w:rsidR="4E5F8A2A">
        <w:t xml:space="preserve"> &amp;</w:t>
      </w:r>
      <w:r>
        <w:t xml:space="preserve"> Review</w:t>
      </w:r>
      <w:r w:rsidR="003A0498">
        <w:t>,</w:t>
      </w:r>
      <w:r>
        <w:t xml:space="preserve"> </w:t>
      </w:r>
      <w:r w:rsidR="4E5F8A2A">
        <w:t>and</w:t>
      </w:r>
      <w:r>
        <w:t xml:space="preserve"> Compliance</w:t>
      </w:r>
    </w:p>
    <w:p w14:paraId="7DE38A11" w14:textId="0152630C" w:rsidR="00130034" w:rsidRPr="002F6765" w:rsidRDefault="00130034" w:rsidP="00066E88">
      <w:pPr>
        <w:pStyle w:val="BodyText"/>
        <w:rPr>
          <w:lang w:eastAsia="en-AU"/>
        </w:rPr>
      </w:pPr>
      <w:r w:rsidRPr="00066E88">
        <w:rPr>
          <w:rStyle w:val="Characterbold"/>
        </w:rPr>
        <w:t>Stacey Killackey</w:t>
      </w:r>
      <w:r w:rsidRPr="002F6765">
        <w:rPr>
          <w:lang w:eastAsia="en-AU"/>
        </w:rPr>
        <w:t xml:space="preserve"> leads IBAC</w:t>
      </w:r>
      <w:r w:rsidR="009B670B">
        <w:rPr>
          <w:lang w:eastAsia="en-AU"/>
        </w:rPr>
        <w:t>’</w:t>
      </w:r>
      <w:r w:rsidRPr="002F6765">
        <w:rPr>
          <w:lang w:eastAsia="en-AU"/>
        </w:rPr>
        <w:t xml:space="preserve">s </w:t>
      </w:r>
      <w:r w:rsidR="00460CAF" w:rsidRPr="002F6765">
        <w:rPr>
          <w:lang w:eastAsia="en-AU"/>
        </w:rPr>
        <w:t xml:space="preserve">Legal, </w:t>
      </w:r>
      <w:r w:rsidRPr="002F6765">
        <w:rPr>
          <w:lang w:eastAsia="en-AU"/>
        </w:rPr>
        <w:t>Assessment</w:t>
      </w:r>
      <w:r w:rsidR="000C53D1" w:rsidRPr="002F6765">
        <w:rPr>
          <w:lang w:eastAsia="en-AU"/>
        </w:rPr>
        <w:t xml:space="preserve"> &amp;</w:t>
      </w:r>
      <w:r w:rsidRPr="002F6765">
        <w:rPr>
          <w:lang w:eastAsia="en-AU"/>
        </w:rPr>
        <w:t xml:space="preserve"> Review</w:t>
      </w:r>
      <w:r w:rsidR="0026319A">
        <w:rPr>
          <w:lang w:eastAsia="en-AU"/>
        </w:rPr>
        <w:t>,</w:t>
      </w:r>
      <w:r w:rsidR="00460CAF" w:rsidRPr="002F6765">
        <w:rPr>
          <w:lang w:eastAsia="en-AU"/>
        </w:rPr>
        <w:t xml:space="preserve"> </w:t>
      </w:r>
      <w:r w:rsidR="000C53D1" w:rsidRPr="002F6765">
        <w:rPr>
          <w:lang w:eastAsia="en-AU"/>
        </w:rPr>
        <w:t xml:space="preserve">and </w:t>
      </w:r>
      <w:r w:rsidRPr="002F6765">
        <w:rPr>
          <w:lang w:eastAsia="en-AU"/>
        </w:rPr>
        <w:t>Compliance</w:t>
      </w:r>
      <w:r w:rsidR="00132064" w:rsidRPr="002F6765">
        <w:rPr>
          <w:lang w:eastAsia="en-AU"/>
        </w:rPr>
        <w:t xml:space="preserve"> </w:t>
      </w:r>
      <w:r w:rsidR="000C53D1" w:rsidRPr="002F6765">
        <w:rPr>
          <w:lang w:eastAsia="en-AU"/>
        </w:rPr>
        <w:t>t</w:t>
      </w:r>
      <w:r w:rsidRPr="002F6765">
        <w:rPr>
          <w:lang w:eastAsia="en-AU"/>
        </w:rPr>
        <w:t>eam</w:t>
      </w:r>
      <w:r w:rsidR="000C53D1" w:rsidRPr="002F6765">
        <w:rPr>
          <w:lang w:eastAsia="en-AU"/>
        </w:rPr>
        <w:t>s</w:t>
      </w:r>
      <w:r w:rsidRPr="002F6765">
        <w:rPr>
          <w:lang w:eastAsia="en-AU"/>
        </w:rPr>
        <w:t xml:space="preserve">. </w:t>
      </w:r>
      <w:r w:rsidR="00EE1ED2" w:rsidRPr="002F6765">
        <w:rPr>
          <w:lang w:eastAsia="en-AU"/>
        </w:rPr>
        <w:t>Before starting at IBAC</w:t>
      </w:r>
      <w:r w:rsidRPr="002F6765">
        <w:rPr>
          <w:lang w:eastAsia="en-AU"/>
        </w:rPr>
        <w:t xml:space="preserve">, </w:t>
      </w:r>
      <w:r w:rsidR="00C86A05" w:rsidRPr="002F6765">
        <w:rPr>
          <w:lang w:eastAsia="en-AU"/>
        </w:rPr>
        <w:t>she</w:t>
      </w:r>
      <w:r w:rsidRPr="002F6765">
        <w:rPr>
          <w:lang w:eastAsia="en-AU"/>
        </w:rPr>
        <w:t xml:space="preserve"> was Director, Workplace and Education Law at the </w:t>
      </w:r>
      <w:r w:rsidR="00A460C5">
        <w:rPr>
          <w:lang w:eastAsia="en-AU"/>
        </w:rPr>
        <w:t>D</w:t>
      </w:r>
      <w:r w:rsidR="00A052E9">
        <w:rPr>
          <w:lang w:eastAsia="en-AU"/>
        </w:rPr>
        <w:t xml:space="preserve">epartment of </w:t>
      </w:r>
      <w:r w:rsidR="00A460C5">
        <w:rPr>
          <w:lang w:eastAsia="en-AU"/>
        </w:rPr>
        <w:t>E</w:t>
      </w:r>
      <w:r w:rsidR="00A052E9">
        <w:rPr>
          <w:lang w:eastAsia="en-AU"/>
        </w:rPr>
        <w:t xml:space="preserve">ducation and </w:t>
      </w:r>
      <w:r w:rsidR="00A460C5">
        <w:rPr>
          <w:lang w:eastAsia="en-AU"/>
        </w:rPr>
        <w:t>T</w:t>
      </w:r>
      <w:r w:rsidR="00A052E9">
        <w:rPr>
          <w:lang w:eastAsia="en-AU"/>
        </w:rPr>
        <w:t>raining</w:t>
      </w:r>
      <w:r w:rsidRPr="002F6765">
        <w:rPr>
          <w:lang w:eastAsia="en-AU"/>
        </w:rPr>
        <w:t xml:space="preserve">. Ms Killackey is an experienced lawyer who has been </w:t>
      </w:r>
      <w:r w:rsidR="00A0739B" w:rsidRPr="002F6765">
        <w:rPr>
          <w:lang w:eastAsia="en-AU"/>
        </w:rPr>
        <w:t xml:space="preserve">in practice </w:t>
      </w:r>
      <w:r w:rsidRPr="002F6765">
        <w:rPr>
          <w:lang w:eastAsia="en-AU"/>
        </w:rPr>
        <w:t>since 2000, primarily in workplace relations and litigation</w:t>
      </w:r>
      <w:r w:rsidR="00C86A05" w:rsidRPr="002F6765">
        <w:rPr>
          <w:lang w:eastAsia="en-AU"/>
        </w:rPr>
        <w:t>,</w:t>
      </w:r>
      <w:r w:rsidRPr="002F6765">
        <w:rPr>
          <w:lang w:eastAsia="en-AU"/>
        </w:rPr>
        <w:t xml:space="preserve"> </w:t>
      </w:r>
      <w:r w:rsidR="00C86A05" w:rsidRPr="002F6765">
        <w:rPr>
          <w:lang w:eastAsia="en-AU"/>
        </w:rPr>
        <w:t>and</w:t>
      </w:r>
      <w:r w:rsidRPr="002F6765">
        <w:rPr>
          <w:lang w:eastAsia="en-AU"/>
        </w:rPr>
        <w:t xml:space="preserve"> in community legal practice in Darwin. </w:t>
      </w:r>
      <w:r w:rsidR="00C86A05" w:rsidRPr="002F6765">
        <w:rPr>
          <w:lang w:eastAsia="en-AU"/>
        </w:rPr>
        <w:t>Before</w:t>
      </w:r>
      <w:r w:rsidRPr="002F6765">
        <w:rPr>
          <w:lang w:eastAsia="en-AU"/>
        </w:rPr>
        <w:t xml:space="preserve"> working in government, Ms Killackey worked at Corrs Chambers Westgarth.</w:t>
      </w:r>
    </w:p>
    <w:p w14:paraId="52C6CFBE" w14:textId="77777777" w:rsidR="00C25147" w:rsidRPr="004032CE" w:rsidRDefault="00C25147">
      <w:pPr>
        <w:pStyle w:val="Heading3"/>
      </w:pPr>
      <w:bookmarkStart w:id="141" w:name="_Toc149131714"/>
      <w:r w:rsidRPr="002F6765">
        <w:t>Governance</w:t>
      </w:r>
      <w:bookmarkEnd w:id="141"/>
    </w:p>
    <w:p w14:paraId="301C8291" w14:textId="6FDB1FDD" w:rsidR="00C25147" w:rsidRPr="004032CE" w:rsidRDefault="00C25147" w:rsidP="00C25147">
      <w:pPr>
        <w:pStyle w:val="BodyText"/>
      </w:pPr>
      <w:r w:rsidRPr="004032CE">
        <w:t xml:space="preserve">Governance refers to the ways in which IBAC is directed, controlled and held to account, </w:t>
      </w:r>
      <w:r w:rsidR="00AC743C">
        <w:t xml:space="preserve">both </w:t>
      </w:r>
      <w:r w:rsidRPr="004032CE">
        <w:t>internally and externally.</w:t>
      </w:r>
    </w:p>
    <w:p w14:paraId="4926423D" w14:textId="4C622A2D" w:rsidR="00AE10F7" w:rsidRDefault="00C25147" w:rsidP="00C25147">
      <w:pPr>
        <w:pStyle w:val="BodyText"/>
      </w:pPr>
      <w:r w:rsidRPr="004032CE">
        <w:t>Internal governance includes IBAC’s</w:t>
      </w:r>
      <w:r w:rsidR="00AE10F7">
        <w:t>:</w:t>
      </w:r>
    </w:p>
    <w:p w14:paraId="14211BDF" w14:textId="02315214" w:rsidR="00AE10F7" w:rsidRDefault="00C25147" w:rsidP="00FF11FE">
      <w:pPr>
        <w:pStyle w:val="ListBullet"/>
      </w:pPr>
      <w:r w:rsidRPr="004032CE">
        <w:t>internal accountability structures (organisational structure and committees)</w:t>
      </w:r>
    </w:p>
    <w:p w14:paraId="170B6571" w14:textId="752E5015" w:rsidR="00AE10F7" w:rsidRDefault="00C25147" w:rsidP="00FF11FE">
      <w:pPr>
        <w:pStyle w:val="ListBullet"/>
      </w:pPr>
      <w:r w:rsidRPr="004032CE">
        <w:t>delegations and authorisations</w:t>
      </w:r>
    </w:p>
    <w:p w14:paraId="0BE25B38" w14:textId="113DCF7D" w:rsidR="00AE10F7" w:rsidRDefault="00C25147" w:rsidP="00FF11FE">
      <w:pPr>
        <w:pStyle w:val="ListBullet"/>
      </w:pPr>
      <w:r w:rsidRPr="004032CE">
        <w:t>policies and procedures</w:t>
      </w:r>
    </w:p>
    <w:p w14:paraId="21FFEC93" w14:textId="505DA500" w:rsidR="00AE10F7" w:rsidRDefault="00C25147" w:rsidP="00FF11FE">
      <w:pPr>
        <w:pStyle w:val="ListBullet"/>
      </w:pPr>
      <w:r w:rsidRPr="004032CE">
        <w:t xml:space="preserve">risk </w:t>
      </w:r>
      <w:r w:rsidR="00AC743C">
        <w:t xml:space="preserve">and compliance </w:t>
      </w:r>
      <w:r w:rsidRPr="004032CE">
        <w:t>management</w:t>
      </w:r>
    </w:p>
    <w:p w14:paraId="749D1184" w14:textId="3DBF3468" w:rsidR="00AE10F7" w:rsidRDefault="00AE56DD" w:rsidP="00FF11FE">
      <w:pPr>
        <w:pStyle w:val="ListBullet"/>
      </w:pPr>
      <w:r>
        <w:t>strategy</w:t>
      </w:r>
      <w:r w:rsidR="00C25147" w:rsidRPr="004032CE">
        <w:t xml:space="preserve"> and performance management</w:t>
      </w:r>
    </w:p>
    <w:p w14:paraId="7DDF3298" w14:textId="12454E43" w:rsidR="00C07510" w:rsidRDefault="00C25147" w:rsidP="00FF11FE">
      <w:pPr>
        <w:pStyle w:val="ListBullet"/>
      </w:pPr>
      <w:r w:rsidRPr="004032CE">
        <w:t>culture (leadership and behaviours)</w:t>
      </w:r>
    </w:p>
    <w:p w14:paraId="50C9C6A6" w14:textId="0207BCB6" w:rsidR="00C25147" w:rsidRPr="004032CE" w:rsidRDefault="00C25147" w:rsidP="00FF11FE">
      <w:pPr>
        <w:pStyle w:val="ListBullet"/>
      </w:pPr>
      <w:r w:rsidRPr="004032CE">
        <w:t>assurance mechanisms.</w:t>
      </w:r>
    </w:p>
    <w:p w14:paraId="209008D5" w14:textId="0DC7C278" w:rsidR="009F7291" w:rsidRPr="004032CE" w:rsidRDefault="009F7291" w:rsidP="009F7291">
      <w:pPr>
        <w:pStyle w:val="BodyText"/>
      </w:pPr>
      <w:r w:rsidRPr="004032CE">
        <w:t>External governance includes the roles, relationships and distribution of powers</w:t>
      </w:r>
      <w:r>
        <w:t>, accountabilities</w:t>
      </w:r>
      <w:r w:rsidRPr="004032CE">
        <w:t xml:space="preserve"> and responsibilities between </w:t>
      </w:r>
      <w:r w:rsidR="00482E99">
        <w:t>Victorian P</w:t>
      </w:r>
      <w:r w:rsidRPr="004032CE">
        <w:t xml:space="preserve">arliament, the </w:t>
      </w:r>
      <w:r w:rsidR="008A510C">
        <w:t>IOC</w:t>
      </w:r>
      <w:r w:rsidRPr="004032CE">
        <w:t>, the Victorian Inspectorate, the Attorney-General, the Department of Justice and Community Safety</w:t>
      </w:r>
      <w:r>
        <w:t xml:space="preserve">, </w:t>
      </w:r>
      <w:r w:rsidR="008A510C">
        <w:t>OVIC</w:t>
      </w:r>
      <w:r w:rsidRPr="004032CE">
        <w:t xml:space="preserve"> and the Victorian public sector.</w:t>
      </w:r>
    </w:p>
    <w:p w14:paraId="38A9FB48" w14:textId="366D224D" w:rsidR="00C25147" w:rsidRDefault="00C25147" w:rsidP="00C25147">
      <w:pPr>
        <w:pStyle w:val="BodyText"/>
      </w:pPr>
      <w:r w:rsidRPr="004032CE">
        <w:t xml:space="preserve">IBAC’s governance arrangements are described in detail in our </w:t>
      </w:r>
      <w:bookmarkStart w:id="142" w:name="_Hlk110891044"/>
      <w:r w:rsidR="00B3781C">
        <w:fldChar w:fldCharType="begin"/>
      </w:r>
      <w:r w:rsidR="00B3781C">
        <w:instrText>HYPERLINK "http://www.ibac.vic.gov.au/node/441"</w:instrText>
      </w:r>
      <w:r w:rsidR="00B3781C">
        <w:fldChar w:fldCharType="separate"/>
      </w:r>
      <w:r w:rsidR="00591B9F" w:rsidRPr="00B3781C">
        <w:rPr>
          <w:rStyle w:val="Hyperlink"/>
        </w:rPr>
        <w:t>Governance Charter</w:t>
      </w:r>
      <w:r w:rsidR="00B3781C">
        <w:fldChar w:fldCharType="end"/>
      </w:r>
      <w:r>
        <w:t>,</w:t>
      </w:r>
      <w:r w:rsidRPr="004032CE">
        <w:t xml:space="preserve"> </w:t>
      </w:r>
      <w:r w:rsidR="00D26C1E">
        <w:t xml:space="preserve">which is </w:t>
      </w:r>
      <w:r w:rsidRPr="004032CE">
        <w:t>available on the IBAC website</w:t>
      </w:r>
      <w:r w:rsidR="00591B9F">
        <w:t xml:space="preserve"> (</w:t>
      </w:r>
      <w:r w:rsidR="00D26C1E" w:rsidRPr="00D26C1E">
        <w:t>www.ibac.vic.gov.au/governance-charter</w:t>
      </w:r>
      <w:r w:rsidR="00591B9F">
        <w:t>)</w:t>
      </w:r>
      <w:r w:rsidRPr="004032CE">
        <w:t>.</w:t>
      </w:r>
      <w:bookmarkEnd w:id="142"/>
    </w:p>
    <w:p w14:paraId="154289EB" w14:textId="3B6F5202" w:rsidR="00672E7A" w:rsidRPr="002F6765" w:rsidRDefault="00672E7A" w:rsidP="00B07072">
      <w:pPr>
        <w:pStyle w:val="Heading4"/>
      </w:pPr>
      <w:bookmarkStart w:id="143" w:name="_Ref149165488"/>
      <w:r w:rsidRPr="002F6765">
        <w:t xml:space="preserve">Audit and Risk </w:t>
      </w:r>
      <w:r w:rsidRPr="00066E88">
        <w:t>Management</w:t>
      </w:r>
      <w:r w:rsidRPr="002F6765">
        <w:t xml:space="preserve"> Committee</w:t>
      </w:r>
      <w:bookmarkEnd w:id="143"/>
    </w:p>
    <w:p w14:paraId="5C79DC90" w14:textId="72E711A3" w:rsidR="00467B4D" w:rsidRPr="002F6765" w:rsidRDefault="00467B4D" w:rsidP="00066E88">
      <w:pPr>
        <w:pStyle w:val="BodyText"/>
      </w:pPr>
      <w:r w:rsidRPr="00066E88">
        <w:t>IBAC’s</w:t>
      </w:r>
      <w:r w:rsidRPr="002F6765">
        <w:t xml:space="preserve"> Audit and Risk Management Committee met </w:t>
      </w:r>
      <w:r w:rsidRPr="00944560">
        <w:t>four</w:t>
      </w:r>
      <w:r w:rsidRPr="002F6765">
        <w:t xml:space="preserve"> times in </w:t>
      </w:r>
      <w:r w:rsidR="000A1691">
        <w:t>2022/23</w:t>
      </w:r>
      <w:r w:rsidRPr="002F6765">
        <w:t xml:space="preserve"> and provided independent advice to the IBAC Commissioner and </w:t>
      </w:r>
      <w:r w:rsidR="000A2BCA">
        <w:rPr>
          <w:lang w:eastAsia="en-AU"/>
        </w:rPr>
        <w:t>CEO</w:t>
      </w:r>
      <w:r w:rsidR="00A52A2C" w:rsidRPr="002F6765">
        <w:rPr>
          <w:lang w:eastAsia="en-AU"/>
        </w:rPr>
        <w:t xml:space="preserve"> </w:t>
      </w:r>
      <w:r w:rsidRPr="002F6765">
        <w:t>on:</w:t>
      </w:r>
    </w:p>
    <w:p w14:paraId="1D02394B" w14:textId="511C0C02" w:rsidR="00467B4D" w:rsidRPr="00066E88" w:rsidRDefault="6CEAD81C" w:rsidP="00E867B1">
      <w:pPr>
        <w:pStyle w:val="ListBullet"/>
      </w:pPr>
      <w:r>
        <w:t xml:space="preserve">the effectiveness of </w:t>
      </w:r>
      <w:r w:rsidR="00116B5E">
        <w:t xml:space="preserve">our </w:t>
      </w:r>
      <w:r>
        <w:t>systems and controls for financial and organisational risk management</w:t>
      </w:r>
    </w:p>
    <w:p w14:paraId="5A71CD4C" w14:textId="294E0357" w:rsidR="00467B4D" w:rsidRPr="00066E88" w:rsidRDefault="0044532E" w:rsidP="00E867B1">
      <w:pPr>
        <w:pStyle w:val="ListBullet"/>
      </w:pPr>
      <w:r>
        <w:t xml:space="preserve">our </w:t>
      </w:r>
      <w:r w:rsidR="6CEAD81C">
        <w:t>annual financial statements</w:t>
      </w:r>
    </w:p>
    <w:p w14:paraId="3CAC522B" w14:textId="1828DC12" w:rsidR="00467B4D" w:rsidRPr="00066E88" w:rsidRDefault="0044532E" w:rsidP="00E867B1">
      <w:pPr>
        <w:pStyle w:val="ListBullet"/>
      </w:pPr>
      <w:r>
        <w:t xml:space="preserve">our </w:t>
      </w:r>
      <w:r w:rsidR="6CEAD81C">
        <w:t>internal audit function</w:t>
      </w:r>
    </w:p>
    <w:p w14:paraId="1437C57E" w14:textId="69E26538" w:rsidR="00FA29DA" w:rsidRDefault="673EB161" w:rsidP="00E867B1">
      <w:pPr>
        <w:pStyle w:val="ListBullet"/>
      </w:pPr>
      <w:r>
        <w:t>recommendations made by internal and external auditors</w:t>
      </w:r>
    </w:p>
    <w:p w14:paraId="4C7B3BDD" w14:textId="540F436A" w:rsidR="00467B4D" w:rsidRPr="00066E88" w:rsidRDefault="673EB161" w:rsidP="00E867B1">
      <w:pPr>
        <w:pStyle w:val="ListBullet"/>
      </w:pPr>
      <w:r>
        <w:t xml:space="preserve">actions in response to the audit effectiveness of </w:t>
      </w:r>
      <w:r w:rsidR="0044532E">
        <w:t xml:space="preserve">our </w:t>
      </w:r>
      <w:r>
        <w:t xml:space="preserve">compliance-management processes and remedial actions to </w:t>
      </w:r>
      <w:r w:rsidR="38140476">
        <w:t xml:space="preserve">remedy deficiencies in </w:t>
      </w:r>
      <w:r>
        <w:t>compliance</w:t>
      </w:r>
    </w:p>
    <w:p w14:paraId="56551BA8" w14:textId="2260739E" w:rsidR="00467B4D" w:rsidRPr="002F6765" w:rsidRDefault="6CEAD81C" w:rsidP="00E867B1">
      <w:pPr>
        <w:pStyle w:val="ListBullet"/>
      </w:pPr>
      <w:r>
        <w:t xml:space="preserve">compliance with the </w:t>
      </w:r>
      <w:r w:rsidR="00313D13" w:rsidRPr="007E78B5">
        <w:rPr>
          <w:rStyle w:val="BodyTextChar"/>
        </w:rPr>
        <w:t>FM</w:t>
      </w:r>
      <w:r w:rsidRPr="007E78B5">
        <w:rPr>
          <w:rStyle w:val="BodyTextChar"/>
        </w:rPr>
        <w:t xml:space="preserve"> Act</w:t>
      </w:r>
      <w:r>
        <w:t xml:space="preserve"> </w:t>
      </w:r>
      <w:r w:rsidR="00313D13">
        <w:t>and S</w:t>
      </w:r>
      <w:r w:rsidR="38140476">
        <w:t xml:space="preserve">tanding </w:t>
      </w:r>
      <w:r w:rsidR="00313D13">
        <w:t>D</w:t>
      </w:r>
      <w:r w:rsidR="38140476">
        <w:t xml:space="preserve">irections </w:t>
      </w:r>
      <w:r w:rsidR="00313D13">
        <w:t>2018</w:t>
      </w:r>
      <w:r>
        <w:t>.</w:t>
      </w:r>
    </w:p>
    <w:p w14:paraId="123F9F74" w14:textId="2127123D" w:rsidR="00130A63" w:rsidRPr="00066E88" w:rsidRDefault="00130A63" w:rsidP="00130A63">
      <w:pPr>
        <w:pStyle w:val="BodyText"/>
      </w:pPr>
      <w:bookmarkStart w:id="144" w:name="_Hlk139371100"/>
      <w:r w:rsidRPr="00066E88">
        <w:t xml:space="preserve">In </w:t>
      </w:r>
      <w:r w:rsidR="000A1691">
        <w:t>2022/23</w:t>
      </w:r>
      <w:r w:rsidRPr="00066E88">
        <w:t xml:space="preserve">, the committee was made up of </w:t>
      </w:r>
      <w:r>
        <w:t xml:space="preserve">four </w:t>
      </w:r>
      <w:r w:rsidRPr="00066E88">
        <w:t>external, independent members</w:t>
      </w:r>
      <w:r w:rsidR="00AD3CA7">
        <w:t>,</w:t>
      </w:r>
      <w:r>
        <w:t xml:space="preserve"> with one of the independent members appointed as Chair</w:t>
      </w:r>
      <w:r w:rsidRPr="00066E88">
        <w:t>. Remuneration of the external members for the period totalled</w:t>
      </w:r>
      <w:r>
        <w:t xml:space="preserve"> </w:t>
      </w:r>
      <w:r w:rsidRPr="006A40D3">
        <w:t>$41,552</w:t>
      </w:r>
      <w:r w:rsidRPr="00066E88">
        <w:t xml:space="preserve"> (excluding GST).</w:t>
      </w:r>
    </w:p>
    <w:bookmarkEnd w:id="144"/>
    <w:p w14:paraId="63827A23" w14:textId="77777777" w:rsidR="00F14070" w:rsidRDefault="004E2AED" w:rsidP="00066E88">
      <w:pPr>
        <w:pStyle w:val="BodyText"/>
      </w:pPr>
      <w:r w:rsidRPr="00066E88">
        <w:rPr>
          <w:rStyle w:val="Characterbold"/>
        </w:rPr>
        <w:t>Sara Watts</w:t>
      </w:r>
      <w:r w:rsidRPr="00066E88">
        <w:t xml:space="preserve"> (Chair)</w:t>
      </w:r>
    </w:p>
    <w:p w14:paraId="72AB7A29" w14:textId="49EEA6D1" w:rsidR="004E2AED" w:rsidRPr="00066E88" w:rsidRDefault="004E2AED" w:rsidP="00066E88">
      <w:pPr>
        <w:pStyle w:val="BodyText"/>
      </w:pPr>
      <w:r w:rsidRPr="00066E88">
        <w:t>Ms Watts is a non-executive director and audit and risk committee chair. She has worked in sectors including information technology, higher education, arts and disability, and has experience in financial management, technology deployment and governance. Ms Watts holds a Bachelor of Science</w:t>
      </w:r>
      <w:r w:rsidR="006D56F3">
        <w:t xml:space="preserve"> and</w:t>
      </w:r>
      <w:r w:rsidRPr="00066E88">
        <w:t xml:space="preserve"> a Master of Business Administration, is a Fellow of CPA Australia and a Fellow of the Australian Institute of Company Directors.</w:t>
      </w:r>
    </w:p>
    <w:p w14:paraId="1FC7ED38" w14:textId="77777777" w:rsidR="00F14070" w:rsidRDefault="004E2AED" w:rsidP="00066E88">
      <w:pPr>
        <w:pStyle w:val="BodyText"/>
      </w:pPr>
      <w:r w:rsidRPr="00066E88">
        <w:rPr>
          <w:rStyle w:val="Characterbold"/>
        </w:rPr>
        <w:t>Geoff Harry</w:t>
      </w:r>
    </w:p>
    <w:p w14:paraId="377A6125" w14:textId="7D0CB9E6" w:rsidR="004E2AED" w:rsidRPr="00066E88" w:rsidRDefault="004E2AED" w:rsidP="00066E88">
      <w:pPr>
        <w:pStyle w:val="BodyText"/>
      </w:pPr>
      <w:r w:rsidRPr="00066E88">
        <w:t>Mr Harry retired from full-time executive roles in 2014 and has extensive skills in financial reporting, assurance, governance, risk management and control frameworks at both state and local government levels, as well as in the corporate sector.</w:t>
      </w:r>
      <w:r w:rsidR="008466B2">
        <w:t xml:space="preserve"> Mr</w:t>
      </w:r>
      <w:r w:rsidR="00025C73">
        <w:t xml:space="preserve"> </w:t>
      </w:r>
      <w:r w:rsidRPr="00066E88">
        <w:t xml:space="preserve">Harry has a Bachelor of Commerce and is a Fellow of the Institute of Chartered Accountants in Australia and New Zealand, </w:t>
      </w:r>
      <w:r w:rsidR="000D4E3C" w:rsidRPr="00066E88">
        <w:t xml:space="preserve">a Fellow of CPA </w:t>
      </w:r>
      <w:r w:rsidR="00CA20A9" w:rsidRPr="00066E88">
        <w:t>Australia</w:t>
      </w:r>
      <w:r w:rsidR="000D4E3C" w:rsidRPr="00066E88">
        <w:t xml:space="preserve"> </w:t>
      </w:r>
      <w:r w:rsidRPr="00066E88">
        <w:t>and a Graduate Member of the Australian Institute of Company Directors.</w:t>
      </w:r>
    </w:p>
    <w:p w14:paraId="787BC88E" w14:textId="77777777" w:rsidR="00F14070" w:rsidRDefault="004E2AED" w:rsidP="00066E88">
      <w:pPr>
        <w:pStyle w:val="BodyText"/>
      </w:pPr>
      <w:r w:rsidRPr="00066E88">
        <w:rPr>
          <w:rStyle w:val="Characterbold"/>
        </w:rPr>
        <w:t>Jennifer Johanson</w:t>
      </w:r>
    </w:p>
    <w:p w14:paraId="6CED91CB" w14:textId="53E44D71" w:rsidR="004E2AED" w:rsidRPr="00066E88" w:rsidRDefault="004E2AED" w:rsidP="00066E88">
      <w:pPr>
        <w:pStyle w:val="BodyText"/>
      </w:pPr>
      <w:r w:rsidRPr="00066E88">
        <w:t xml:space="preserve">Ms Johanson is an experienced non-executive director in financial services, </w:t>
      </w:r>
      <w:r w:rsidR="00CA20A9" w:rsidRPr="00066E88">
        <w:t>education</w:t>
      </w:r>
      <w:r w:rsidRPr="00066E88">
        <w:t xml:space="preserve"> and the not-for-profit sector. Her deep capability in governance and risk management is supported by strong communication and negotiation skills, and a background in audit, risk and information technology. Ms Johanson is a chartered accountant and a certified information systems auditor with a Bachelor of </w:t>
      </w:r>
      <w:r w:rsidR="00CA20A9" w:rsidRPr="00066E88">
        <w:t>Commerce</w:t>
      </w:r>
      <w:r w:rsidR="00CA20A9">
        <w:t xml:space="preserve"> and</w:t>
      </w:r>
      <w:r w:rsidR="000D4E3C">
        <w:t xml:space="preserve"> is</w:t>
      </w:r>
      <w:r w:rsidRPr="00066E88">
        <w:t xml:space="preserve"> a </w:t>
      </w:r>
      <w:r w:rsidR="000D4E3C" w:rsidRPr="00066E88">
        <w:t>Graduate Member of the Australian Institute of Company Directors</w:t>
      </w:r>
      <w:r w:rsidRPr="00066E88">
        <w:t>.</w:t>
      </w:r>
    </w:p>
    <w:p w14:paraId="40BBED3C" w14:textId="77777777" w:rsidR="00F14070" w:rsidRDefault="004E2AED" w:rsidP="00066E88">
      <w:pPr>
        <w:pStyle w:val="BodyText"/>
      </w:pPr>
      <w:r w:rsidRPr="00066E88">
        <w:rPr>
          <w:rStyle w:val="Characterbold"/>
        </w:rPr>
        <w:t>Chris Sheehan</w:t>
      </w:r>
    </w:p>
    <w:p w14:paraId="7243762F" w14:textId="4B21AEB8" w:rsidR="00467B4D" w:rsidRPr="00066E88" w:rsidRDefault="004E2AED" w:rsidP="00066E88">
      <w:pPr>
        <w:pStyle w:val="BodyText"/>
      </w:pPr>
      <w:r w:rsidRPr="00066E88">
        <w:t xml:space="preserve">Mr Sheehan is a senior executive with almost 30 years’ international and domestic law enforcement experience in national security, organised </w:t>
      </w:r>
      <w:r w:rsidR="00CA20A9" w:rsidRPr="00066E88">
        <w:t>crime</w:t>
      </w:r>
      <w:r w:rsidRPr="00066E88">
        <w:t xml:space="preserve"> and crisis management.</w:t>
      </w:r>
      <w:r w:rsidR="008466B2">
        <w:t xml:space="preserve"> Mr</w:t>
      </w:r>
      <w:r w:rsidR="00025C73">
        <w:t xml:space="preserve"> </w:t>
      </w:r>
      <w:r w:rsidRPr="00066E88">
        <w:t>Sheehan has deep knowledge of investigative management. He specialises in financial management, corporate governance and formulating policy, building trust with all stakeholders to make sure information flows freely.</w:t>
      </w:r>
    </w:p>
    <w:p w14:paraId="0F8EE9A5" w14:textId="77777777" w:rsidR="002D0454" w:rsidRPr="007211D6" w:rsidRDefault="002D0454" w:rsidP="007211D6">
      <w:pPr>
        <w:pStyle w:val="BodyText"/>
      </w:pPr>
      <w:r w:rsidRPr="002F6765">
        <w:br w:type="page"/>
      </w:r>
    </w:p>
    <w:p w14:paraId="34B1C08F" w14:textId="19849D30" w:rsidR="00672E7A" w:rsidRDefault="00672E7A" w:rsidP="00EF6E7F">
      <w:pPr>
        <w:pStyle w:val="Heading3"/>
      </w:pPr>
      <w:bookmarkStart w:id="145" w:name="_Toc133585235"/>
      <w:bookmarkStart w:id="146" w:name="_Toc133920506"/>
      <w:bookmarkStart w:id="147" w:name="_Toc149131715"/>
      <w:bookmarkStart w:id="148" w:name="_Ref149136537"/>
      <w:r w:rsidRPr="002F6765">
        <w:t>Occupational health and safety</w:t>
      </w:r>
      <w:bookmarkEnd w:id="145"/>
      <w:bookmarkEnd w:id="146"/>
      <w:bookmarkEnd w:id="147"/>
      <w:bookmarkEnd w:id="148"/>
    </w:p>
    <w:p w14:paraId="1ADF2BB4" w14:textId="6260499E" w:rsidR="004D0C5A" w:rsidRPr="005751CF" w:rsidRDefault="004D0C5A" w:rsidP="00B41773">
      <w:pPr>
        <w:pStyle w:val="BodyText"/>
      </w:pPr>
      <w:r w:rsidRPr="005751CF">
        <w:t xml:space="preserve">Throughout </w:t>
      </w:r>
      <w:r w:rsidR="000A1691">
        <w:t>2022/23</w:t>
      </w:r>
      <w:r w:rsidR="002A6825">
        <w:t>,</w:t>
      </w:r>
      <w:r w:rsidRPr="005751CF">
        <w:t xml:space="preserve"> </w:t>
      </w:r>
      <w:r w:rsidR="00335332">
        <w:t xml:space="preserve">we </w:t>
      </w:r>
      <w:r w:rsidRPr="005751CF">
        <w:t xml:space="preserve">continued to build a strong health and safety culture. This has been reinforced by the ongoing implementation of the </w:t>
      </w:r>
      <w:r w:rsidR="00B41773" w:rsidRPr="00B41773">
        <w:rPr>
          <w:rStyle w:val="Characteritalic"/>
        </w:rPr>
        <w:t>2021–23 Health, Safety and Wellbeing Strategy</w:t>
      </w:r>
      <w:r w:rsidR="00B41773">
        <w:t xml:space="preserve"> (HSW Strategy),</w:t>
      </w:r>
      <w:r w:rsidRPr="005751CF">
        <w:t xml:space="preserve"> which is based on five key pillars:</w:t>
      </w:r>
    </w:p>
    <w:p w14:paraId="7E9C4D36" w14:textId="3B47FF23" w:rsidR="004D0C5A" w:rsidRPr="005751CF" w:rsidRDefault="00335332" w:rsidP="00E33271">
      <w:pPr>
        <w:pStyle w:val="ListBullet"/>
      </w:pPr>
      <w:r>
        <w:t>s</w:t>
      </w:r>
      <w:r w:rsidR="004D0C5A" w:rsidRPr="005751CF">
        <w:t xml:space="preserve">hared </w:t>
      </w:r>
      <w:r w:rsidR="00E0050E">
        <w:t>c</w:t>
      </w:r>
      <w:r w:rsidR="004D0C5A" w:rsidRPr="005751CF">
        <w:t>hallenges</w:t>
      </w:r>
    </w:p>
    <w:p w14:paraId="4D4B12FE" w14:textId="5669FA34" w:rsidR="004D0C5A" w:rsidRPr="005751CF" w:rsidRDefault="00335332" w:rsidP="00E33271">
      <w:pPr>
        <w:pStyle w:val="ListBullet"/>
      </w:pPr>
      <w:r>
        <w:t>l</w:t>
      </w:r>
      <w:r w:rsidR="004D0C5A" w:rsidRPr="005751CF">
        <w:t>eadership</w:t>
      </w:r>
    </w:p>
    <w:p w14:paraId="54247636" w14:textId="55A4A2D4" w:rsidR="004D0C5A" w:rsidRPr="005751CF" w:rsidRDefault="00335332" w:rsidP="00E33271">
      <w:pPr>
        <w:pStyle w:val="ListBullet"/>
      </w:pPr>
      <w:r>
        <w:t>e</w:t>
      </w:r>
      <w:r w:rsidR="004D0C5A" w:rsidRPr="005751CF">
        <w:t xml:space="preserve">ngagement and </w:t>
      </w:r>
      <w:r w:rsidR="00E0050E">
        <w:t>c</w:t>
      </w:r>
      <w:r w:rsidR="004D0C5A" w:rsidRPr="005751CF">
        <w:t>ulture</w:t>
      </w:r>
    </w:p>
    <w:p w14:paraId="15D7CA97" w14:textId="7CEF4DC6" w:rsidR="004D0C5A" w:rsidRPr="005751CF" w:rsidRDefault="00335332" w:rsidP="00E33271">
      <w:pPr>
        <w:pStyle w:val="ListBullet"/>
      </w:pPr>
      <w:r>
        <w:t>t</w:t>
      </w:r>
      <w:r w:rsidR="004D0C5A" w:rsidRPr="005751CF">
        <w:t xml:space="preserve">argeted </w:t>
      </w:r>
      <w:r w:rsidR="00E0050E">
        <w:t>r</w:t>
      </w:r>
      <w:r w:rsidR="004D0C5A" w:rsidRPr="005751CF">
        <w:t>isk programs</w:t>
      </w:r>
    </w:p>
    <w:p w14:paraId="1283B596" w14:textId="58195B4C" w:rsidR="004D0C5A" w:rsidRPr="005751CF" w:rsidRDefault="00335332" w:rsidP="00E33271">
      <w:pPr>
        <w:pStyle w:val="ListBullet"/>
      </w:pPr>
      <w:r>
        <w:t>s</w:t>
      </w:r>
      <w:r w:rsidR="004D0C5A" w:rsidRPr="005751CF">
        <w:t>ystems and governance</w:t>
      </w:r>
      <w:r w:rsidR="00E0050E">
        <w:t>.</w:t>
      </w:r>
    </w:p>
    <w:p w14:paraId="7B437F56" w14:textId="56DAF198" w:rsidR="0094679B" w:rsidRDefault="004D0C5A" w:rsidP="004D0C5A">
      <w:pPr>
        <w:pStyle w:val="BodyText"/>
      </w:pPr>
      <w:r w:rsidRPr="005751CF">
        <w:t>In March 2023</w:t>
      </w:r>
      <w:r w:rsidR="00E0050E">
        <w:t>,</w:t>
      </w:r>
      <w:r w:rsidRPr="005751CF">
        <w:t xml:space="preserve"> </w:t>
      </w:r>
      <w:r w:rsidR="00316512">
        <w:t xml:space="preserve">we undertook </w:t>
      </w:r>
      <w:r w:rsidRPr="005751CF">
        <w:t xml:space="preserve">an implementation review of the HSW </w:t>
      </w:r>
      <w:r w:rsidR="00316512">
        <w:t>S</w:t>
      </w:r>
      <w:r w:rsidRPr="005751CF">
        <w:t xml:space="preserve">trategy. This review concluded that </w:t>
      </w:r>
      <w:r w:rsidR="0017224B">
        <w:t>we have</w:t>
      </w:r>
      <w:r w:rsidRPr="005751CF">
        <w:t xml:space="preserve"> implemented almost three</w:t>
      </w:r>
      <w:r w:rsidR="00F7604D">
        <w:t>-</w:t>
      </w:r>
      <w:r w:rsidRPr="005751CF">
        <w:t>quarters of the</w:t>
      </w:r>
      <w:r w:rsidR="00F7604D">
        <w:t xml:space="preserve"> strategy</w:t>
      </w:r>
      <w:r w:rsidRPr="005751CF">
        <w:t xml:space="preserve"> objectives, with a further six months completion time remaining.</w:t>
      </w:r>
    </w:p>
    <w:p w14:paraId="61D9EDD8" w14:textId="3E2BCA28" w:rsidR="004D0C5A" w:rsidRPr="001B3448" w:rsidRDefault="004D0C5A" w:rsidP="004D0C5A">
      <w:pPr>
        <w:pStyle w:val="BodyText"/>
      </w:pPr>
      <w:r w:rsidRPr="005751CF">
        <w:t xml:space="preserve">As a result of the implementation of the HSW </w:t>
      </w:r>
      <w:r w:rsidR="00C52EFA">
        <w:t>S</w:t>
      </w:r>
      <w:r w:rsidRPr="005751CF">
        <w:t xml:space="preserve">trategy, </w:t>
      </w:r>
      <w:r w:rsidR="0017224B">
        <w:t>our</w:t>
      </w:r>
      <w:r w:rsidRPr="005751CF">
        <w:t xml:space="preserve"> safety culture has been rated as ’consolidated’</w:t>
      </w:r>
      <w:r w:rsidR="0094679B">
        <w:t>,</w:t>
      </w:r>
      <w:r w:rsidRPr="005751CF">
        <w:t xml:space="preserve"> according to the Victori</w:t>
      </w:r>
      <w:r w:rsidR="0094679B">
        <w:t>an</w:t>
      </w:r>
      <w:r w:rsidRPr="005751CF">
        <w:t xml:space="preserve"> Government’s </w:t>
      </w:r>
      <w:r w:rsidRPr="009A74C9">
        <w:rPr>
          <w:rStyle w:val="Characteritalic"/>
        </w:rPr>
        <w:t xml:space="preserve">Leading the Way </w:t>
      </w:r>
      <w:r w:rsidR="00A668B8" w:rsidRPr="00CD3D91">
        <w:t>f</w:t>
      </w:r>
      <w:r w:rsidRPr="00A668B8">
        <w:t>ramework</w:t>
      </w:r>
      <w:r w:rsidRPr="005751CF">
        <w:t xml:space="preserve">. </w:t>
      </w:r>
    </w:p>
    <w:p w14:paraId="6EDEBC2C" w14:textId="36B40005" w:rsidR="002136D4" w:rsidRDefault="004D0C5A" w:rsidP="002136D4">
      <w:pPr>
        <w:pStyle w:val="BodyText"/>
      </w:pPr>
      <w:r w:rsidRPr="001B3448">
        <w:t xml:space="preserve">During </w:t>
      </w:r>
      <w:r w:rsidR="000A1691">
        <w:t>2022/23</w:t>
      </w:r>
      <w:r w:rsidR="00B85231">
        <w:t>,</w:t>
      </w:r>
      <w:r w:rsidRPr="001B3448">
        <w:t xml:space="preserve"> </w:t>
      </w:r>
      <w:r w:rsidR="0017224B">
        <w:t>we</w:t>
      </w:r>
      <w:r w:rsidR="0017224B" w:rsidRPr="001B3448">
        <w:t xml:space="preserve"> </w:t>
      </w:r>
      <w:r w:rsidRPr="001B3448">
        <w:t>continued to introduce several new initiatives to improve the health and safety of ou</w:t>
      </w:r>
      <w:r>
        <w:t>r</w:t>
      </w:r>
      <w:r w:rsidRPr="001B3448">
        <w:t xml:space="preserve"> </w:t>
      </w:r>
      <w:r w:rsidR="004923FD">
        <w:t>people</w:t>
      </w:r>
      <w:r w:rsidRPr="001B3448">
        <w:t xml:space="preserve">. These initiatives included the implementation of a Vicarious Trauma </w:t>
      </w:r>
      <w:r w:rsidR="00EF6E7F">
        <w:t>t</w:t>
      </w:r>
      <w:r w:rsidRPr="001B3448">
        <w:t xml:space="preserve">raining program in the Assessment </w:t>
      </w:r>
      <w:r w:rsidR="00A5601C">
        <w:t>&amp;</w:t>
      </w:r>
      <w:r w:rsidR="00A5601C" w:rsidRPr="001B3448">
        <w:t xml:space="preserve"> </w:t>
      </w:r>
      <w:r w:rsidRPr="001B3448">
        <w:t xml:space="preserve">Review team. This program </w:t>
      </w:r>
      <w:r w:rsidR="00CB5A44">
        <w:t>was</w:t>
      </w:r>
      <w:r w:rsidRPr="001B3448">
        <w:t xml:space="preserve"> specifically developed to provide mental health and wellbeing support to </w:t>
      </w:r>
      <w:r w:rsidR="00B26185">
        <w:t>employees</w:t>
      </w:r>
      <w:r w:rsidRPr="001B3448">
        <w:t xml:space="preserve"> who are exposed to difficult and confronting material on a regular basis. </w:t>
      </w:r>
      <w:r w:rsidR="002136D4">
        <w:t xml:space="preserve">On completion, </w:t>
      </w:r>
      <w:r w:rsidR="0023338D">
        <w:t>we</w:t>
      </w:r>
      <w:r w:rsidR="002136D4">
        <w:t xml:space="preserve"> will review</w:t>
      </w:r>
      <w:r w:rsidR="0023338D">
        <w:t xml:space="preserve"> the program</w:t>
      </w:r>
      <w:r w:rsidR="002136D4">
        <w:t xml:space="preserve"> with a view to </w:t>
      </w:r>
      <w:r w:rsidR="00EF6E7F">
        <w:t xml:space="preserve">rolling it </w:t>
      </w:r>
      <w:r w:rsidR="002136D4">
        <w:t xml:space="preserve">out across </w:t>
      </w:r>
      <w:r w:rsidR="0023338D">
        <w:t>IBAC</w:t>
      </w:r>
      <w:r w:rsidR="002136D4">
        <w:t xml:space="preserve">. </w:t>
      </w:r>
    </w:p>
    <w:p w14:paraId="68792555" w14:textId="6B6A0D44" w:rsidR="004923FD" w:rsidRPr="00E67158" w:rsidRDefault="004923FD" w:rsidP="004923FD">
      <w:pPr>
        <w:pStyle w:val="BodyText"/>
      </w:pPr>
      <w:r>
        <w:t>Another initiative completed i</w:t>
      </w:r>
      <w:r w:rsidRPr="0603B09D">
        <w:t>n 2023</w:t>
      </w:r>
      <w:r>
        <w:t xml:space="preserve"> was the </w:t>
      </w:r>
      <w:r w:rsidRPr="0603B09D">
        <w:t xml:space="preserve">successful </w:t>
      </w:r>
      <w:r>
        <w:t>implementation</w:t>
      </w:r>
      <w:r w:rsidRPr="0603B09D">
        <w:t xml:space="preserve"> of Stopline. </w:t>
      </w:r>
      <w:r>
        <w:t>This</w:t>
      </w:r>
      <w:r w:rsidRPr="0603B09D">
        <w:t xml:space="preserve"> is an independent external channel enabling </w:t>
      </w:r>
      <w:r>
        <w:t>our people</w:t>
      </w:r>
      <w:r w:rsidRPr="0603B09D">
        <w:t xml:space="preserve"> to anonymously report misconduct involving IBAC employees, executive officers, contractors or consultants, on issues including:</w:t>
      </w:r>
    </w:p>
    <w:p w14:paraId="0A9A18E1" w14:textId="77777777" w:rsidR="004923FD" w:rsidRPr="00E67158" w:rsidRDefault="004923FD" w:rsidP="004923FD">
      <w:pPr>
        <w:pStyle w:val="ListBullet"/>
        <w:rPr>
          <w:rFonts w:eastAsia="Segoe UI"/>
        </w:rPr>
      </w:pPr>
      <w:r>
        <w:rPr>
          <w:rFonts w:eastAsia="Segoe UI"/>
        </w:rPr>
        <w:t>b</w:t>
      </w:r>
      <w:r w:rsidRPr="0603B09D">
        <w:rPr>
          <w:rFonts w:eastAsia="Segoe UI"/>
        </w:rPr>
        <w:t>reaches of policy or procedure, or the Code of conduct for Victorian public sector employees</w:t>
      </w:r>
    </w:p>
    <w:p w14:paraId="54B931E6" w14:textId="77777777" w:rsidR="004923FD" w:rsidRPr="00E67158" w:rsidRDefault="004923FD" w:rsidP="004923FD">
      <w:pPr>
        <w:pStyle w:val="ListBullet"/>
        <w:rPr>
          <w:rFonts w:eastAsia="Segoe UI"/>
        </w:rPr>
      </w:pPr>
      <w:r>
        <w:rPr>
          <w:rFonts w:eastAsia="Segoe UI"/>
        </w:rPr>
        <w:t>w</w:t>
      </w:r>
      <w:r w:rsidRPr="0603B09D">
        <w:rPr>
          <w:rFonts w:eastAsia="Segoe UI"/>
        </w:rPr>
        <w:t>orkplace bullying, harassment and discrimination</w:t>
      </w:r>
      <w:r>
        <w:rPr>
          <w:rFonts w:eastAsia="Segoe UI"/>
        </w:rPr>
        <w:t>.</w:t>
      </w:r>
    </w:p>
    <w:p w14:paraId="670FF367" w14:textId="4609E760" w:rsidR="004D0C5A" w:rsidRPr="001B3448" w:rsidRDefault="004923FD" w:rsidP="004D0C5A">
      <w:pPr>
        <w:pStyle w:val="BodyText"/>
      </w:pPr>
      <w:r w:rsidRPr="0603B09D">
        <w:t>The implementation of Stoplin</w:t>
      </w:r>
      <w:r>
        <w:t>e</w:t>
      </w:r>
      <w:r w:rsidRPr="0603B09D">
        <w:t xml:space="preserve"> supports </w:t>
      </w:r>
      <w:r>
        <w:t>our</w:t>
      </w:r>
      <w:r w:rsidRPr="0603B09D">
        <w:t xml:space="preserve"> ongoing commitment to a speak-up culture</w:t>
      </w:r>
      <w:r>
        <w:t>,</w:t>
      </w:r>
      <w:r w:rsidRPr="0603B09D">
        <w:t xml:space="preserve"> where all employees are willing and able to ask questions and raise concerns when they witness or experience misconduct</w:t>
      </w:r>
      <w:r>
        <w:t>.</w:t>
      </w:r>
    </w:p>
    <w:p w14:paraId="18553C46" w14:textId="2DA3AFC5" w:rsidR="00375FF7" w:rsidRDefault="002F042A" w:rsidP="004D0C5A">
      <w:pPr>
        <w:pStyle w:val="BodyText"/>
      </w:pPr>
      <w:r>
        <w:t>We</w:t>
      </w:r>
      <w:r w:rsidR="004D0C5A" w:rsidRPr="001B3448">
        <w:t xml:space="preserve"> also provided a range of health and wellbeing measure</w:t>
      </w:r>
      <w:r w:rsidR="004D0C5A">
        <w:t>s</w:t>
      </w:r>
      <w:r w:rsidR="004D0C5A" w:rsidRPr="001B3448">
        <w:t xml:space="preserve"> throughout the year</w:t>
      </w:r>
      <w:r w:rsidR="00375FF7">
        <w:t>,</w:t>
      </w:r>
      <w:r w:rsidR="004D0C5A" w:rsidRPr="001B3448">
        <w:t xml:space="preserve"> including</w:t>
      </w:r>
      <w:r w:rsidR="00375FF7">
        <w:t>:</w:t>
      </w:r>
    </w:p>
    <w:p w14:paraId="0E63B088" w14:textId="53375017" w:rsidR="00375FF7" w:rsidRDefault="004D0C5A" w:rsidP="00CD3D91">
      <w:pPr>
        <w:pStyle w:val="ListBullet"/>
      </w:pPr>
      <w:r w:rsidRPr="001B3448">
        <w:rPr>
          <w:rFonts w:eastAsiaTheme="minorHAnsi"/>
        </w:rPr>
        <w:t>flu vaccinations</w:t>
      </w:r>
    </w:p>
    <w:p w14:paraId="2C199B8C" w14:textId="5FFA20C6" w:rsidR="00375FF7" w:rsidRDefault="004D0C5A" w:rsidP="00CD3D91">
      <w:pPr>
        <w:pStyle w:val="ListBullet"/>
      </w:pPr>
      <w:r w:rsidRPr="001B3448">
        <w:rPr>
          <w:rFonts w:eastAsiaTheme="minorHAnsi"/>
        </w:rPr>
        <w:t>heart checks</w:t>
      </w:r>
    </w:p>
    <w:p w14:paraId="078DE16D" w14:textId="1E0CA88C" w:rsidR="00375FF7" w:rsidRDefault="004D0C5A" w:rsidP="00CD3D91">
      <w:pPr>
        <w:pStyle w:val="ListBullet"/>
      </w:pPr>
      <w:r w:rsidRPr="001B3448">
        <w:rPr>
          <w:rFonts w:eastAsiaTheme="minorHAnsi"/>
        </w:rPr>
        <w:t>exercise physiologist consultations</w:t>
      </w:r>
    </w:p>
    <w:p w14:paraId="69F99C18" w14:textId="728969D3" w:rsidR="004D0C5A" w:rsidRPr="001B3448" w:rsidRDefault="004D0C5A" w:rsidP="00CD3D91">
      <w:pPr>
        <w:pStyle w:val="ListBullet"/>
      </w:pPr>
      <w:r w:rsidRPr="73077DDA">
        <w:rPr>
          <w:rFonts w:eastAsiaTheme="minorEastAsia"/>
        </w:rPr>
        <w:t xml:space="preserve">encouraging </w:t>
      </w:r>
      <w:r w:rsidR="00A1799D">
        <w:rPr>
          <w:rFonts w:eastAsiaTheme="minorEastAsia"/>
        </w:rPr>
        <w:t xml:space="preserve">employees </w:t>
      </w:r>
      <w:r w:rsidRPr="73077DDA">
        <w:rPr>
          <w:rFonts w:eastAsiaTheme="minorEastAsia"/>
        </w:rPr>
        <w:t xml:space="preserve">to become more active. </w:t>
      </w:r>
    </w:p>
    <w:p w14:paraId="6077F8CD" w14:textId="7B9AF21A" w:rsidR="004D727E" w:rsidRDefault="004D727E" w:rsidP="007211D6">
      <w:pPr>
        <w:pStyle w:val="BodyText"/>
      </w:pPr>
      <w:r>
        <w:t xml:space="preserve">We continued to support the Victorian public sector’s Mental Health and Wellbeing Charter by supporting a number of key mental health initiatives across the calendar year, including International Women's Day, Men's Health Week and the </w:t>
      </w:r>
      <w:r w:rsidRPr="003E3968">
        <w:t>International Day Against Homophobia, Biphobia and Transphobia</w:t>
      </w:r>
      <w:r>
        <w:t>.</w:t>
      </w:r>
    </w:p>
    <w:p w14:paraId="7EA28EE1" w14:textId="5E90589E" w:rsidR="004D0C5A" w:rsidRDefault="00EC46AA" w:rsidP="004D0C5A">
      <w:pPr>
        <w:pStyle w:val="BodyText"/>
      </w:pPr>
      <w:r>
        <w:t xml:space="preserve">Our people </w:t>
      </w:r>
      <w:r w:rsidR="004D0C5A">
        <w:t>participat</w:t>
      </w:r>
      <w:r w:rsidR="0038556F">
        <w:t>ed</w:t>
      </w:r>
      <w:r w:rsidR="004D0C5A">
        <w:t xml:space="preserve"> in a broad range of health and safety training throughout the year</w:t>
      </w:r>
      <w:r w:rsidR="00497AB4">
        <w:t>.</w:t>
      </w:r>
      <w:r w:rsidR="004D0C5A">
        <w:t xml:space="preserve"> </w:t>
      </w:r>
      <w:r w:rsidR="00497AB4">
        <w:t xml:space="preserve">This </w:t>
      </w:r>
      <w:r w:rsidR="004D0C5A">
        <w:t>includ</w:t>
      </w:r>
      <w:r w:rsidR="00497AB4">
        <w:t>ed</w:t>
      </w:r>
      <w:r w:rsidR="001F2B15">
        <w:t xml:space="preserve"> </w:t>
      </w:r>
      <w:r w:rsidR="001F2B15" w:rsidRPr="001F2B15">
        <w:t>health and safety</w:t>
      </w:r>
      <w:r w:rsidR="004D0C5A">
        <w:t xml:space="preserve"> representatives </w:t>
      </w:r>
      <w:r w:rsidR="003E25BC">
        <w:t xml:space="preserve">(HSR) </w:t>
      </w:r>
      <w:r w:rsidR="004D0C5A">
        <w:t xml:space="preserve">completing HSR training and ensuring first aiders maintained their first aid qualifications. All </w:t>
      </w:r>
      <w:r w:rsidR="007515EA">
        <w:t xml:space="preserve">employees </w:t>
      </w:r>
      <w:r w:rsidR="004D0C5A">
        <w:t xml:space="preserve">were required to participate in Custodians of Culture training, while </w:t>
      </w:r>
      <w:r w:rsidR="00D479AF">
        <w:t>people leaders</w:t>
      </w:r>
      <w:r w:rsidR="004D0C5A">
        <w:t xml:space="preserve"> completed Respect in the Workplace Training. </w:t>
      </w:r>
    </w:p>
    <w:p w14:paraId="159A1AAC" w14:textId="631DA268" w:rsidR="004D0C5A" w:rsidRDefault="004D0C5A" w:rsidP="004D0C5A">
      <w:pPr>
        <w:pStyle w:val="BodyText"/>
      </w:pPr>
      <w:r>
        <w:t xml:space="preserve">Additional training completed included building occupant training, which a </w:t>
      </w:r>
      <w:r w:rsidR="00832FB8">
        <w:t>high</w:t>
      </w:r>
      <w:r>
        <w:t xml:space="preserve"> </w:t>
      </w:r>
      <w:r w:rsidR="0028519C">
        <w:t xml:space="preserve">number </w:t>
      </w:r>
      <w:r>
        <w:t>attended</w:t>
      </w:r>
      <w:r w:rsidR="0028519C">
        <w:t>,</w:t>
      </w:r>
      <w:r>
        <w:t xml:space="preserve"> both onsite and online</w:t>
      </w:r>
      <w:r w:rsidR="0028519C">
        <w:t>.</w:t>
      </w:r>
      <w:r>
        <w:t xml:space="preserve"> This training provides a reminder to all staff </w:t>
      </w:r>
      <w:r w:rsidR="00DD0B50">
        <w:t xml:space="preserve">about the location of </w:t>
      </w:r>
      <w:r>
        <w:t>emergency evacuation exits across the building and emergency evacuation meeting points. The training was followed up with an emergency evacuation drill for all onsite staff.</w:t>
      </w:r>
    </w:p>
    <w:p w14:paraId="53FE01FD" w14:textId="77777777" w:rsidR="004D0C5A" w:rsidRPr="002F6765" w:rsidRDefault="004D0C5A" w:rsidP="00EF6E7F">
      <w:pPr>
        <w:pStyle w:val="Heading3"/>
      </w:pPr>
      <w:bookmarkStart w:id="149" w:name="_Toc149131716"/>
      <w:r w:rsidRPr="002F6765">
        <w:t xml:space="preserve">Workforce inclusion </w:t>
      </w:r>
      <w:r w:rsidRPr="007D7DCD">
        <w:t>policy</w:t>
      </w:r>
      <w:bookmarkEnd w:id="149"/>
    </w:p>
    <w:p w14:paraId="4966B698" w14:textId="10FCC058" w:rsidR="00DF2E04" w:rsidRDefault="00521704" w:rsidP="00241CB9">
      <w:pPr>
        <w:pStyle w:val="BodyText"/>
      </w:pPr>
      <w:r>
        <w:t xml:space="preserve">We </w:t>
      </w:r>
      <w:r w:rsidR="004D0C5A">
        <w:t xml:space="preserve">completed a gender equality audit. </w:t>
      </w:r>
      <w:r w:rsidR="00241CB9">
        <w:t xml:space="preserve">In response to the audit findings, and in consultation with our people, we developed our gender equality plan </w:t>
      </w:r>
      <w:r w:rsidR="00241CB9" w:rsidRPr="00241CB9">
        <w:rPr>
          <w:rStyle w:val="Characteritalic"/>
        </w:rPr>
        <w:t>Safer, healthier communities: Gender Equality Action Plan 2021–23</w:t>
      </w:r>
      <w:r w:rsidR="00241CB9">
        <w:t>. The plan will help us to create a more inclusive working environment where equal opportunity and diversity</w:t>
      </w:r>
      <w:r w:rsidR="000F4B2D">
        <w:t xml:space="preserve"> </w:t>
      </w:r>
      <w:r w:rsidR="00241CB9">
        <w:t>are valued</w:t>
      </w:r>
      <w:r w:rsidR="004D0C5A">
        <w:t>.</w:t>
      </w:r>
    </w:p>
    <w:p w14:paraId="529F2804" w14:textId="7C6C98EB" w:rsidR="004D0C5A" w:rsidRPr="002F6765" w:rsidRDefault="004D0C5A" w:rsidP="004D0C5A">
      <w:pPr>
        <w:pStyle w:val="BodyText"/>
      </w:pPr>
      <w:r>
        <w:t xml:space="preserve">Based on the key objectives outlined in the </w:t>
      </w:r>
      <w:r w:rsidR="000F4B2D">
        <w:t xml:space="preserve">gender equality </w:t>
      </w:r>
      <w:r>
        <w:t xml:space="preserve">plan, </w:t>
      </w:r>
      <w:r w:rsidR="003D5C4A">
        <w:t xml:space="preserve">IBAC </w:t>
      </w:r>
      <w:r w:rsidR="00941698">
        <w:t xml:space="preserve">now </w:t>
      </w:r>
      <w:r w:rsidR="003D5C4A">
        <w:t>has</w:t>
      </w:r>
      <w:r>
        <w:t>:</w:t>
      </w:r>
    </w:p>
    <w:p w14:paraId="3ECF0AE1" w14:textId="152791BD" w:rsidR="004D0C5A" w:rsidRDefault="003D5C4A" w:rsidP="00E33271">
      <w:pPr>
        <w:pStyle w:val="ListBullet"/>
      </w:pPr>
      <w:r>
        <w:t>i</w:t>
      </w:r>
      <w:r w:rsidR="004D0C5A">
        <w:t>mproved data collection outlining gender composition and intersectionality with</w:t>
      </w:r>
      <w:r w:rsidR="000F4B2D">
        <w:t>in</w:t>
      </w:r>
      <w:r w:rsidR="004D0C5A">
        <w:t xml:space="preserve"> teams to identify imbalances</w:t>
      </w:r>
    </w:p>
    <w:p w14:paraId="27E12305" w14:textId="2A9B697B" w:rsidR="004D0C5A" w:rsidRDefault="00941698" w:rsidP="00E33271">
      <w:pPr>
        <w:pStyle w:val="ListBullet"/>
        <w:rPr>
          <w:rFonts w:eastAsia="Calibri" w:cs="Arial"/>
          <w:szCs w:val="22"/>
        </w:rPr>
      </w:pPr>
      <w:r w:rsidRPr="73077DDA">
        <w:rPr>
          <w:rFonts w:eastAsia="Calibri" w:cs="Arial"/>
        </w:rPr>
        <w:t>s</w:t>
      </w:r>
      <w:r w:rsidR="004D0C5A" w:rsidRPr="73077DDA">
        <w:rPr>
          <w:rFonts w:eastAsia="Calibri" w:cs="Arial"/>
        </w:rPr>
        <w:t>trongly advocat</w:t>
      </w:r>
      <w:r w:rsidRPr="73077DDA">
        <w:rPr>
          <w:rFonts w:eastAsia="Calibri" w:cs="Arial"/>
        </w:rPr>
        <w:t>ed</w:t>
      </w:r>
      <w:r w:rsidR="004D0C5A" w:rsidRPr="73077DDA">
        <w:rPr>
          <w:rFonts w:eastAsia="Calibri" w:cs="Arial"/>
        </w:rPr>
        <w:t xml:space="preserve"> for merit-based recruitment processes, with a particular emphasis on ensuring equity across secondment and higher duties opportunities</w:t>
      </w:r>
    </w:p>
    <w:p w14:paraId="03094306" w14:textId="405BFD46" w:rsidR="004D0C5A" w:rsidRDefault="00941698" w:rsidP="00E33271">
      <w:pPr>
        <w:pStyle w:val="ListBullet"/>
        <w:rPr>
          <w:rFonts w:eastAsia="Calibri" w:cs="Arial"/>
          <w:szCs w:val="22"/>
        </w:rPr>
      </w:pPr>
      <w:r w:rsidRPr="73077DDA">
        <w:rPr>
          <w:rFonts w:eastAsia="Calibri" w:cs="Arial"/>
        </w:rPr>
        <w:t>a</w:t>
      </w:r>
      <w:r w:rsidR="004D0C5A" w:rsidRPr="73077DDA">
        <w:rPr>
          <w:rFonts w:eastAsia="Calibri" w:cs="Arial"/>
        </w:rPr>
        <w:t xml:space="preserve"> consistent and structured approach to offers of remuneration </w:t>
      </w:r>
      <w:r w:rsidRPr="73077DDA">
        <w:rPr>
          <w:rFonts w:eastAsia="Calibri" w:cs="Arial"/>
        </w:rPr>
        <w:t xml:space="preserve">that are </w:t>
      </w:r>
      <w:r w:rsidR="004D0C5A" w:rsidRPr="73077DDA">
        <w:rPr>
          <w:rFonts w:eastAsia="Calibri" w:cs="Arial"/>
        </w:rPr>
        <w:t>aligned with role clarity and expectations</w:t>
      </w:r>
    </w:p>
    <w:p w14:paraId="155CE63E" w14:textId="627F77F9" w:rsidR="004D0C5A" w:rsidRDefault="004D0C5A" w:rsidP="00E33271">
      <w:pPr>
        <w:pStyle w:val="ListBullet"/>
        <w:rPr>
          <w:rFonts w:eastAsia="Calibri" w:cs="Arial"/>
          <w:szCs w:val="22"/>
        </w:rPr>
      </w:pPr>
      <w:r w:rsidRPr="73077DDA">
        <w:rPr>
          <w:rFonts w:eastAsia="Calibri" w:cs="Arial"/>
        </w:rPr>
        <w:t>gender pay equity reporting</w:t>
      </w:r>
    </w:p>
    <w:p w14:paraId="27F9A0AF" w14:textId="47BC27CF" w:rsidR="004D0C5A" w:rsidRDefault="004D0C5A" w:rsidP="00E33271">
      <w:pPr>
        <w:pStyle w:val="ListBullet"/>
        <w:rPr>
          <w:rFonts w:eastAsia="Calibri" w:cs="Arial"/>
        </w:rPr>
      </w:pPr>
      <w:r w:rsidRPr="0603B09D">
        <w:rPr>
          <w:rFonts w:eastAsia="Calibri" w:cs="Arial"/>
        </w:rPr>
        <w:t>mandatory training</w:t>
      </w:r>
      <w:r w:rsidR="00941698">
        <w:rPr>
          <w:rFonts w:eastAsia="Calibri" w:cs="Arial"/>
        </w:rPr>
        <w:t>,</w:t>
      </w:r>
      <w:r w:rsidRPr="0603B09D">
        <w:rPr>
          <w:rFonts w:eastAsia="Calibri" w:cs="Arial"/>
        </w:rPr>
        <w:t xml:space="preserve"> including </w:t>
      </w:r>
      <w:r w:rsidR="00F42961">
        <w:rPr>
          <w:rFonts w:eastAsia="Calibri" w:cs="Arial"/>
        </w:rPr>
        <w:t>R</w:t>
      </w:r>
      <w:r w:rsidRPr="0603B09D">
        <w:rPr>
          <w:rFonts w:eastAsia="Calibri" w:cs="Arial"/>
        </w:rPr>
        <w:t xml:space="preserve">espect in the </w:t>
      </w:r>
      <w:r w:rsidR="00F42961">
        <w:rPr>
          <w:rFonts w:eastAsia="Calibri" w:cs="Arial"/>
        </w:rPr>
        <w:t>W</w:t>
      </w:r>
      <w:r w:rsidRPr="0603B09D">
        <w:rPr>
          <w:rFonts w:eastAsia="Calibri" w:cs="Arial"/>
        </w:rPr>
        <w:t xml:space="preserve">orkplace </w:t>
      </w:r>
      <w:r w:rsidR="00F42961">
        <w:rPr>
          <w:rFonts w:eastAsia="Calibri" w:cs="Arial"/>
        </w:rPr>
        <w:t>T</w:t>
      </w:r>
      <w:r w:rsidRPr="0603B09D">
        <w:rPr>
          <w:rFonts w:eastAsia="Calibri" w:cs="Arial"/>
        </w:rPr>
        <w:t>raining</w:t>
      </w:r>
      <w:r w:rsidR="001C5990">
        <w:rPr>
          <w:rFonts w:eastAsia="Calibri" w:cs="Arial"/>
        </w:rPr>
        <w:t>.</w:t>
      </w:r>
    </w:p>
    <w:p w14:paraId="4B54F977" w14:textId="6648E963" w:rsidR="004D0C5A" w:rsidRPr="00C71FA9" w:rsidRDefault="004D0C5A" w:rsidP="00EF6E7F">
      <w:pPr>
        <w:pStyle w:val="Heading3"/>
      </w:pPr>
      <w:bookmarkStart w:id="150" w:name="_Toc149131717"/>
      <w:bookmarkStart w:id="151" w:name="_Ref149136493"/>
      <w:bookmarkStart w:id="152" w:name="_Ref149136500"/>
      <w:r w:rsidRPr="00C71FA9">
        <w:t>Employment and conduct principles</w:t>
      </w:r>
      <w:bookmarkEnd w:id="150"/>
      <w:bookmarkEnd w:id="151"/>
      <w:bookmarkEnd w:id="152"/>
    </w:p>
    <w:p w14:paraId="45400F94" w14:textId="7CBE676A" w:rsidR="00766DEB" w:rsidRDefault="007204D9" w:rsidP="004D0C5A">
      <w:pPr>
        <w:pStyle w:val="BodyText"/>
      </w:pPr>
      <w:r>
        <w:t>Our</w:t>
      </w:r>
      <w:r w:rsidRPr="002F6765">
        <w:t xml:space="preserve"> </w:t>
      </w:r>
      <w:r w:rsidR="004D0C5A" w:rsidRPr="002F6765">
        <w:t xml:space="preserve">policies and practices are consistent with the </w:t>
      </w:r>
      <w:r w:rsidR="004D0C5A" w:rsidRPr="006366A2">
        <w:t>Victorian Public Sector Commission</w:t>
      </w:r>
      <w:r w:rsidR="004D0C5A">
        <w:t>’s</w:t>
      </w:r>
      <w:r w:rsidR="004D0C5A" w:rsidRPr="006366A2">
        <w:t xml:space="preserve"> </w:t>
      </w:r>
      <w:r w:rsidR="004D0C5A" w:rsidRPr="002F6765">
        <w:t>employment standards</w:t>
      </w:r>
      <w:r w:rsidR="004D0C5A">
        <w:t>,</w:t>
      </w:r>
      <w:r w:rsidR="004D0C5A" w:rsidRPr="002F6765">
        <w:t xml:space="preserve"> and provide for fair treatment, career opportunities and the early resolution of workplace issues.</w:t>
      </w:r>
    </w:p>
    <w:p w14:paraId="15F31B28" w14:textId="75EBC37F" w:rsidR="004D0C5A" w:rsidRDefault="00245C59" w:rsidP="004D0C5A">
      <w:pPr>
        <w:pStyle w:val="BodyText"/>
      </w:pPr>
      <w:r>
        <w:t>We are</w:t>
      </w:r>
      <w:r w:rsidR="004D0C5A" w:rsidRPr="00C71FA9">
        <w:t xml:space="preserve"> committed to applying merit and equity principles when appointing staff. The selection processes make sure that applicants are assessed and evaluated fairly and equitably on key selection criteria and other accountabilities without discrimination.</w:t>
      </w:r>
      <w:r w:rsidR="004D0C5A">
        <w:t xml:space="preserve"> </w:t>
      </w:r>
      <w:r w:rsidR="004D0C5A" w:rsidRPr="00C71FA9">
        <w:t>Employees have been correctly classified in workforce data collections.</w:t>
      </w:r>
      <w:r w:rsidR="004D0C5A">
        <w:t xml:space="preserve"> See </w:t>
      </w:r>
      <w:r w:rsidR="004D0C5A" w:rsidRPr="001610F6">
        <w:fldChar w:fldCharType="begin"/>
      </w:r>
      <w:r w:rsidR="004D0C5A">
        <w:instrText xml:space="preserve"> REF _Ref133830758 \r \h </w:instrText>
      </w:r>
      <w:r w:rsidR="004D0C5A" w:rsidRPr="001610F6">
        <w:rPr>
          <w:rFonts w:eastAsia="Times New Roman" w:cs="Arial"/>
          <w:b/>
          <w:iCs/>
          <w:color w:val="981D97"/>
          <w:sz w:val="28"/>
          <w:szCs w:val="28"/>
          <w:lang w:eastAsia="en-AU"/>
        </w:rPr>
        <w:fldChar w:fldCharType="separate"/>
      </w:r>
      <w:r w:rsidR="004D0C5A">
        <w:t>Appendix A:</w:t>
      </w:r>
      <w:r w:rsidR="004D0C5A" w:rsidRPr="001610F6">
        <w:fldChar w:fldCharType="end"/>
      </w:r>
      <w:r w:rsidR="004D0C5A">
        <w:t xml:space="preserve"> </w:t>
      </w:r>
      <w:r w:rsidR="004D0C5A" w:rsidRPr="001610F6">
        <w:fldChar w:fldCharType="begin"/>
      </w:r>
      <w:r w:rsidR="004D0C5A">
        <w:instrText xml:space="preserve"> REF _Ref133830758 \h </w:instrText>
      </w:r>
      <w:r w:rsidR="004D0C5A" w:rsidRPr="001610F6">
        <w:rPr>
          <w:rFonts w:eastAsia="Times New Roman" w:cs="Arial"/>
          <w:b/>
          <w:iCs/>
          <w:color w:val="981D97"/>
          <w:sz w:val="28"/>
          <w:szCs w:val="28"/>
          <w:lang w:eastAsia="en-AU"/>
        </w:rPr>
        <w:fldChar w:fldCharType="separate"/>
      </w:r>
      <w:r w:rsidR="004D0C5A">
        <w:t>Workforce data</w:t>
      </w:r>
      <w:r w:rsidR="004D0C5A" w:rsidRPr="001610F6">
        <w:fldChar w:fldCharType="end"/>
      </w:r>
      <w:r w:rsidR="004D0C5A">
        <w:t xml:space="preserve"> for details.</w:t>
      </w:r>
      <w:r w:rsidR="004D0C5A" w:rsidRPr="00BE3D6C">
        <w:t xml:space="preserve"> </w:t>
      </w:r>
    </w:p>
    <w:p w14:paraId="2A65879A" w14:textId="29E99EC1" w:rsidR="004D0C5A" w:rsidRPr="00C71FA9" w:rsidRDefault="006F3D51" w:rsidP="004D0C5A">
      <w:pPr>
        <w:pStyle w:val="BodyText"/>
      </w:pPr>
      <w:r>
        <w:t>We</w:t>
      </w:r>
      <w:r w:rsidRPr="002F6765">
        <w:t xml:space="preserve"> </w:t>
      </w:r>
      <w:r w:rsidR="004D0C5A" w:rsidRPr="002F6765">
        <w:t xml:space="preserve">advise employees on how </w:t>
      </w:r>
      <w:r w:rsidR="004D0C5A" w:rsidRPr="00BA2226">
        <w:t>to</w:t>
      </w:r>
      <w:r w:rsidR="004D0C5A" w:rsidRPr="002F6765">
        <w:t xml:space="preserve"> avoid conflicts of interest, how to respond to offers of gifts and how </w:t>
      </w:r>
      <w:r>
        <w:t>we</w:t>
      </w:r>
      <w:r w:rsidRPr="002F6765">
        <w:t xml:space="preserve"> </w:t>
      </w:r>
      <w:r w:rsidR="004D0C5A" w:rsidRPr="002F6765">
        <w:t>deal with misconduct.</w:t>
      </w:r>
      <w:bookmarkEnd w:id="129"/>
    </w:p>
    <w:p w14:paraId="05421E15" w14:textId="4423C6CC" w:rsidR="00E67158" w:rsidRPr="00E67158" w:rsidRDefault="00E67158" w:rsidP="00E67158">
      <w:pPr>
        <w:pStyle w:val="BodyText"/>
        <w:rPr>
          <w:lang w:eastAsia="en-AU"/>
        </w:rPr>
        <w:sectPr w:rsidR="00E67158" w:rsidRPr="00E67158" w:rsidSect="00572586">
          <w:headerReference w:type="even" r:id="rId52"/>
          <w:headerReference w:type="default" r:id="rId53"/>
          <w:headerReference w:type="first" r:id="rId54"/>
          <w:pgSz w:w="11907" w:h="16839" w:code="9"/>
          <w:pgMar w:top="1440" w:right="1440" w:bottom="1440" w:left="1440" w:header="720" w:footer="720" w:gutter="0"/>
          <w:cols w:space="720"/>
          <w:titlePg/>
          <w:docGrid w:linePitch="360"/>
        </w:sectPr>
      </w:pPr>
    </w:p>
    <w:p w14:paraId="319EE474" w14:textId="3F831054" w:rsidR="00E867B1" w:rsidRDefault="00E867B1" w:rsidP="00E867B1">
      <w:pPr>
        <w:pStyle w:val="Heading1"/>
      </w:pPr>
      <w:bookmarkStart w:id="153" w:name="_Toc107305162"/>
      <w:bookmarkStart w:id="154" w:name="_Toc133920511"/>
      <w:bookmarkStart w:id="155" w:name="_Toc149131448"/>
      <w:r w:rsidRPr="00A27A55">
        <w:t>Financial report</w:t>
      </w:r>
      <w:bookmarkEnd w:id="153"/>
      <w:bookmarkEnd w:id="154"/>
      <w:bookmarkEnd w:id="155"/>
    </w:p>
    <w:p w14:paraId="1621C092" w14:textId="77777777" w:rsidR="0058789F" w:rsidRDefault="0058789F" w:rsidP="00342A1C">
      <w:pPr>
        <w:pStyle w:val="Heading4"/>
      </w:pPr>
      <w:r>
        <w:t>D</w:t>
      </w:r>
      <w:r w:rsidRPr="00DF19FC">
        <w:t>eclaration</w:t>
      </w:r>
      <w:r>
        <w:t xml:space="preserve"> in the financial statements</w:t>
      </w:r>
    </w:p>
    <w:p w14:paraId="27E56E5E" w14:textId="49232F36" w:rsidR="0058789F" w:rsidRDefault="0058789F" w:rsidP="0058789F">
      <w:pPr>
        <w:pStyle w:val="BodyText"/>
        <w:rPr>
          <w:lang w:eastAsia="en-AU"/>
        </w:rPr>
      </w:pPr>
      <w:r>
        <w:rPr>
          <w:lang w:eastAsia="en-AU"/>
        </w:rPr>
        <w:t xml:space="preserve">The attached financial statements for the Independent Broad-based Anti-corruption Commission have been prepared in accordance with Direction 5.2 of the Standing Directions of the Assistant Treasurer under the </w:t>
      </w:r>
      <w:r w:rsidRPr="007A32BC">
        <w:rPr>
          <w:rStyle w:val="Characteritalic"/>
          <w:lang w:eastAsia="en-AU"/>
        </w:rPr>
        <w:t>Financial Management Act 1994</w:t>
      </w:r>
      <w:r w:rsidR="009D7104" w:rsidRPr="009D7104">
        <w:t xml:space="preserve"> (Vic)</w:t>
      </w:r>
      <w:r>
        <w:rPr>
          <w:lang w:eastAsia="en-AU"/>
        </w:rPr>
        <w:t>, applicable Financial Reporting Directions, Australian Accounting Standards including Interpretations, and other mandatory professional reporting requirements.</w:t>
      </w:r>
    </w:p>
    <w:p w14:paraId="27C7D102" w14:textId="77777777" w:rsidR="0058789F" w:rsidRDefault="0058789F" w:rsidP="0058789F">
      <w:pPr>
        <w:pStyle w:val="BodyText"/>
        <w:rPr>
          <w:lang w:eastAsia="en-AU"/>
        </w:rPr>
      </w:pPr>
      <w:r>
        <w:rPr>
          <w:lang w:eastAsia="en-AU"/>
        </w:rPr>
        <w:t>We further state that in our opinion, the information set out in the comprehensive operating statement, balance sheet, statement of changes in equity, cash flow statement and accompanying notes, presents fairly the financial transactions during the year ended 30 June 2023 and financial position of IBAC at 30 June 2023.</w:t>
      </w:r>
    </w:p>
    <w:p w14:paraId="37AA10CB" w14:textId="77777777" w:rsidR="0058789F" w:rsidRDefault="0058789F" w:rsidP="0058789F">
      <w:pPr>
        <w:pStyle w:val="BodyText"/>
        <w:rPr>
          <w:lang w:eastAsia="en-AU"/>
        </w:rPr>
      </w:pPr>
      <w:r>
        <w:rPr>
          <w:lang w:eastAsia="en-AU"/>
        </w:rPr>
        <w:t>At the time of signing, we are not aware of any circumstance which would render any particulars included in the financial report to be misleading or inaccurate.</w:t>
      </w:r>
    </w:p>
    <w:p w14:paraId="12531823" w14:textId="54E969B8" w:rsidR="0058789F" w:rsidRDefault="0058789F" w:rsidP="0058789F">
      <w:pPr>
        <w:pStyle w:val="BodyText"/>
        <w:rPr>
          <w:lang w:eastAsia="en-AU"/>
        </w:rPr>
      </w:pPr>
      <w:r>
        <w:rPr>
          <w:lang w:eastAsia="en-AU"/>
        </w:rPr>
        <w:t>We authorise</w:t>
      </w:r>
      <w:r w:rsidR="00B30A0D">
        <w:rPr>
          <w:lang w:eastAsia="en-AU"/>
        </w:rPr>
        <w:t>d</w:t>
      </w:r>
      <w:r>
        <w:rPr>
          <w:lang w:eastAsia="en-AU"/>
        </w:rPr>
        <w:t xml:space="preserve"> the attached financial statements for issue on </w:t>
      </w:r>
      <w:sdt>
        <w:sdtPr>
          <w:id w:val="810911886"/>
          <w:placeholder>
            <w:docPart w:val="A1DEDF8B398844C39E0DE3E5B795FEA5"/>
          </w:placeholder>
          <w:date w:fullDate="2023-09-07T00:00:00Z">
            <w:dateFormat w:val="d MMMM yyyy"/>
            <w:lid w:val="en-AU"/>
            <w:storeMappedDataAs w:val="dateTime"/>
            <w:calendar w:val="gregorian"/>
          </w:date>
        </w:sdtPr>
        <w:sdtEndPr/>
        <w:sdtContent>
          <w:r>
            <w:t>7 September 2023</w:t>
          </w:r>
        </w:sdtContent>
      </w:sdt>
      <w:r>
        <w:rPr>
          <w:lang w:eastAsia="en-AU"/>
        </w:rPr>
        <w:t>.</w:t>
      </w:r>
    </w:p>
    <w:p w14:paraId="18D1A8C5" w14:textId="77777777" w:rsidR="0058789F" w:rsidRPr="00AA5132" w:rsidRDefault="0058789F" w:rsidP="0058789F">
      <w:pPr>
        <w:pStyle w:val="BodyText"/>
      </w:pPr>
    </w:p>
    <w:tbl>
      <w:tblPr>
        <w:tblStyle w:val="CustomTableplaceholder"/>
        <w:tblW w:w="0" w:type="auto"/>
        <w:tblLook w:val="04A0" w:firstRow="1" w:lastRow="0" w:firstColumn="1" w:lastColumn="0" w:noHBand="0" w:noVBand="1"/>
      </w:tblPr>
      <w:tblGrid>
        <w:gridCol w:w="2596"/>
        <w:gridCol w:w="2700"/>
        <w:gridCol w:w="2244"/>
      </w:tblGrid>
      <w:tr w:rsidR="0058789F" w14:paraId="37A9FBB1" w14:textId="77777777" w:rsidTr="00AD1066">
        <w:tc>
          <w:tcPr>
            <w:tcW w:w="2596" w:type="dxa"/>
          </w:tcPr>
          <w:p w14:paraId="3E444DEE" w14:textId="77777777" w:rsidR="0058789F" w:rsidRPr="009C074E" w:rsidRDefault="0058789F" w:rsidP="00AD1066">
            <w:pPr>
              <w:pStyle w:val="Image"/>
            </w:pPr>
            <w:r>
              <w:rPr>
                <w:noProof/>
              </w:rPr>
              <w:drawing>
                <wp:inline distT="0" distB="0" distL="0" distR="0" wp14:anchorId="641A5FDD" wp14:editId="534549C0">
                  <wp:extent cx="1390650" cy="409575"/>
                  <wp:effectExtent l="0" t="0" r="0" b="9525"/>
                  <wp:docPr id="770866979" name="Picture 770866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66979" name="Picture 77086697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1390650" cy="409575"/>
                          </a:xfrm>
                          <a:prstGeom prst="rect">
                            <a:avLst/>
                          </a:prstGeom>
                        </pic:spPr>
                      </pic:pic>
                    </a:graphicData>
                  </a:graphic>
                </wp:inline>
              </w:drawing>
            </w:r>
          </w:p>
        </w:tc>
        <w:tc>
          <w:tcPr>
            <w:tcW w:w="2700" w:type="dxa"/>
          </w:tcPr>
          <w:p w14:paraId="5D6E7E6C" w14:textId="77777777" w:rsidR="0058789F" w:rsidRDefault="0058789F" w:rsidP="00AD1066">
            <w:pPr>
              <w:pStyle w:val="Image"/>
            </w:pPr>
            <w:r>
              <w:rPr>
                <w:noProof/>
              </w:rPr>
              <w:drawing>
                <wp:inline distT="0" distB="0" distL="0" distR="0" wp14:anchorId="44ECCCED" wp14:editId="6BC3334B">
                  <wp:extent cx="1524006" cy="473963"/>
                  <wp:effectExtent l="0" t="0" r="0" b="2540"/>
                  <wp:docPr id="570509162" name="Picture 570509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509162" name="Picture 57050916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4006" cy="473963"/>
                          </a:xfrm>
                          <a:prstGeom prst="rect">
                            <a:avLst/>
                          </a:prstGeom>
                        </pic:spPr>
                      </pic:pic>
                    </a:graphicData>
                  </a:graphic>
                </wp:inline>
              </w:drawing>
            </w:r>
          </w:p>
        </w:tc>
        <w:tc>
          <w:tcPr>
            <w:tcW w:w="2244" w:type="dxa"/>
          </w:tcPr>
          <w:p w14:paraId="72F4E2B4" w14:textId="77777777" w:rsidR="0058789F" w:rsidRDefault="0058789F" w:rsidP="00AD1066">
            <w:pPr>
              <w:pStyle w:val="Image"/>
            </w:pPr>
            <w:r>
              <w:rPr>
                <w:noProof/>
              </w:rPr>
              <w:drawing>
                <wp:inline distT="0" distB="0" distL="0" distR="0" wp14:anchorId="501E2694" wp14:editId="062D3DA9">
                  <wp:extent cx="952516" cy="46482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52516" cy="464820"/>
                          </a:xfrm>
                          <a:prstGeom prst="rect">
                            <a:avLst/>
                          </a:prstGeom>
                        </pic:spPr>
                      </pic:pic>
                    </a:graphicData>
                  </a:graphic>
                </wp:inline>
              </w:drawing>
            </w:r>
          </w:p>
        </w:tc>
      </w:tr>
      <w:tr w:rsidR="0058789F" w14:paraId="3CA41715" w14:textId="77777777" w:rsidTr="00AD1066">
        <w:tc>
          <w:tcPr>
            <w:tcW w:w="2596" w:type="dxa"/>
          </w:tcPr>
          <w:p w14:paraId="0F298926" w14:textId="77777777" w:rsidR="0058789F" w:rsidRPr="002C0441" w:rsidRDefault="0058789F" w:rsidP="00AD1066">
            <w:pPr>
              <w:pStyle w:val="BodyText"/>
              <w:rPr>
                <w:szCs w:val="22"/>
              </w:rPr>
            </w:pPr>
            <w:r w:rsidRPr="00BB3286">
              <w:rPr>
                <w:rStyle w:val="Characterbold"/>
              </w:rPr>
              <w:t>Stephen Farrow</w:t>
            </w:r>
            <w:r w:rsidRPr="0055054A">
              <w:br/>
            </w:r>
            <w:r>
              <w:t xml:space="preserve">Acting </w:t>
            </w:r>
            <w:r w:rsidRPr="0055054A">
              <w:t>Commissioner</w:t>
            </w:r>
            <w:r w:rsidRPr="0055054A">
              <w:br/>
              <w:t>IBAC</w:t>
            </w:r>
          </w:p>
        </w:tc>
        <w:tc>
          <w:tcPr>
            <w:tcW w:w="2700" w:type="dxa"/>
          </w:tcPr>
          <w:p w14:paraId="477F3419" w14:textId="77777777" w:rsidR="0058789F" w:rsidRPr="002C0441" w:rsidRDefault="0058789F" w:rsidP="00AD1066">
            <w:pPr>
              <w:pStyle w:val="BodyText"/>
              <w:rPr>
                <w:szCs w:val="22"/>
              </w:rPr>
            </w:pPr>
            <w:r w:rsidRPr="00E67158">
              <w:rPr>
                <w:rStyle w:val="Characterbold"/>
              </w:rPr>
              <w:t>Marlo Baragwanath</w:t>
            </w:r>
            <w:r w:rsidRPr="0055054A">
              <w:br/>
              <w:t>Chief Executive Officer</w:t>
            </w:r>
            <w:r w:rsidRPr="0055054A">
              <w:br/>
              <w:t>IBAC</w:t>
            </w:r>
          </w:p>
        </w:tc>
        <w:tc>
          <w:tcPr>
            <w:tcW w:w="2244" w:type="dxa"/>
          </w:tcPr>
          <w:p w14:paraId="75FE6CE2" w14:textId="77777777" w:rsidR="0058789F" w:rsidRPr="001610F6" w:rsidRDefault="0058789F" w:rsidP="00AD1066">
            <w:pPr>
              <w:pStyle w:val="BodyText"/>
              <w:rPr>
                <w:lang w:eastAsia="en-AU"/>
              </w:rPr>
            </w:pPr>
            <w:r w:rsidRPr="00E67158">
              <w:rPr>
                <w:rStyle w:val="Characterbold"/>
              </w:rPr>
              <w:t>Glenn Ockerby</w:t>
            </w:r>
            <w:r w:rsidRPr="0055054A">
              <w:br/>
              <w:t>Executive Director Corporate Services</w:t>
            </w:r>
            <w:r w:rsidRPr="0055054A">
              <w:br/>
              <w:t>IBAC</w:t>
            </w:r>
          </w:p>
        </w:tc>
      </w:tr>
      <w:tr w:rsidR="0058789F" w14:paraId="4CA4BD40" w14:textId="77777777" w:rsidTr="00AD1066">
        <w:tc>
          <w:tcPr>
            <w:tcW w:w="2596" w:type="dxa"/>
          </w:tcPr>
          <w:p w14:paraId="7E165991" w14:textId="77777777" w:rsidR="0058789F" w:rsidRPr="002C0441" w:rsidRDefault="0058789F" w:rsidP="00AD1066">
            <w:pPr>
              <w:pStyle w:val="BodyText"/>
              <w:rPr>
                <w:szCs w:val="22"/>
              </w:rPr>
            </w:pPr>
            <w:r w:rsidRPr="0045554A">
              <w:t>Melbourne</w:t>
            </w:r>
            <w:r w:rsidRPr="002C0441">
              <w:rPr>
                <w:szCs w:val="22"/>
              </w:rPr>
              <w:br/>
            </w:r>
            <w:sdt>
              <w:sdtPr>
                <w:id w:val="-1619823897"/>
                <w:placeholder>
                  <w:docPart w:val="AF528AA967E14A718D06013B181667A0"/>
                </w:placeholder>
                <w:date w:fullDate="2023-09-07T00:00:00Z">
                  <w:dateFormat w:val="d MMMM yyyy"/>
                  <w:lid w:val="en-AU"/>
                  <w:storeMappedDataAs w:val="dateTime"/>
                  <w:calendar w:val="gregorian"/>
                </w:date>
              </w:sdtPr>
              <w:sdtEndPr/>
              <w:sdtContent>
                <w:r>
                  <w:t>7 September 2023</w:t>
                </w:r>
              </w:sdtContent>
            </w:sdt>
          </w:p>
        </w:tc>
        <w:tc>
          <w:tcPr>
            <w:tcW w:w="2700" w:type="dxa"/>
          </w:tcPr>
          <w:p w14:paraId="3A7700D1" w14:textId="77777777" w:rsidR="0058789F" w:rsidRPr="002C0441" w:rsidRDefault="0058789F" w:rsidP="00AD1066">
            <w:pPr>
              <w:pStyle w:val="BodyText"/>
              <w:rPr>
                <w:szCs w:val="22"/>
              </w:rPr>
            </w:pPr>
            <w:r w:rsidRPr="0045554A">
              <w:t>Melbourne</w:t>
            </w:r>
            <w:r w:rsidRPr="002C0441">
              <w:rPr>
                <w:szCs w:val="22"/>
              </w:rPr>
              <w:br/>
            </w:r>
            <w:sdt>
              <w:sdtPr>
                <w:id w:val="261118463"/>
                <w:placeholder>
                  <w:docPart w:val="37929286253A46AEB75BA2574D7428BB"/>
                </w:placeholder>
                <w:date w:fullDate="2023-09-07T00:00:00Z">
                  <w:dateFormat w:val="d MMMM yyyy"/>
                  <w:lid w:val="en-AU"/>
                  <w:storeMappedDataAs w:val="dateTime"/>
                  <w:calendar w:val="gregorian"/>
                </w:date>
              </w:sdtPr>
              <w:sdtEndPr/>
              <w:sdtContent>
                <w:r>
                  <w:t>7 September 2023</w:t>
                </w:r>
              </w:sdtContent>
            </w:sdt>
          </w:p>
        </w:tc>
        <w:tc>
          <w:tcPr>
            <w:tcW w:w="2244" w:type="dxa"/>
          </w:tcPr>
          <w:p w14:paraId="0267368F" w14:textId="77777777" w:rsidR="0058789F" w:rsidRPr="001610F6" w:rsidRDefault="0058789F" w:rsidP="00AD1066">
            <w:pPr>
              <w:pStyle w:val="BodyText"/>
              <w:rPr>
                <w:lang w:eastAsia="en-AU"/>
              </w:rPr>
            </w:pPr>
            <w:r w:rsidRPr="0045554A">
              <w:t>Melbourne</w:t>
            </w:r>
            <w:r w:rsidRPr="002C0441">
              <w:rPr>
                <w:szCs w:val="22"/>
              </w:rPr>
              <w:br/>
            </w:r>
            <w:sdt>
              <w:sdtPr>
                <w:id w:val="-593858533"/>
                <w:placeholder>
                  <w:docPart w:val="D862D80E547B4DB0B71A1B3F1B1348BF"/>
                </w:placeholder>
                <w:date w:fullDate="2023-09-07T00:00:00Z">
                  <w:dateFormat w:val="d MMMM yyyy"/>
                  <w:lid w:val="en-AU"/>
                  <w:storeMappedDataAs w:val="dateTime"/>
                  <w:calendar w:val="gregorian"/>
                </w:date>
              </w:sdtPr>
              <w:sdtEndPr/>
              <w:sdtContent>
                <w:r>
                  <w:t>7 September 2023</w:t>
                </w:r>
              </w:sdtContent>
            </w:sdt>
          </w:p>
        </w:tc>
      </w:tr>
    </w:tbl>
    <w:p w14:paraId="19DB6AA2" w14:textId="77777777" w:rsidR="0058789F" w:rsidRPr="007211D6" w:rsidRDefault="0058789F" w:rsidP="007211D6">
      <w:pPr>
        <w:pStyle w:val="BodyText"/>
      </w:pPr>
      <w:r>
        <w:br w:type="page"/>
      </w:r>
    </w:p>
    <w:p w14:paraId="11968326" w14:textId="77777777" w:rsidR="0058789F" w:rsidRDefault="0058789F" w:rsidP="00064713">
      <w:pPr>
        <w:pStyle w:val="Heading4"/>
      </w:pPr>
      <w:r w:rsidRPr="0055054A">
        <w:t>Independent auditor’s report</w:t>
      </w:r>
    </w:p>
    <w:p w14:paraId="39E1389F" w14:textId="7B1DCDBF" w:rsidR="009463E7" w:rsidRPr="003B78A9" w:rsidRDefault="001F06B1" w:rsidP="003B78A9">
      <w:pPr>
        <w:pStyle w:val="BodyText"/>
        <w:contextualSpacing/>
      </w:pPr>
      <w:r>
        <w:rPr>
          <w:noProof/>
        </w:rPr>
        <w:drawing>
          <wp:inline distT="0" distB="0" distL="0" distR="0" wp14:anchorId="416B0136" wp14:editId="36198A95">
            <wp:extent cx="5731200" cy="7308000"/>
            <wp:effectExtent l="25400" t="25400" r="85725" b="83820"/>
            <wp:docPr id="1603210538" name="Picture 3" descr="Image of 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10538" name="Picture 3" descr="Image of Independent auditor’s report (page 1)."/>
                    <pic:cNvPicPr/>
                  </pic:nvPicPr>
                  <pic:blipFill>
                    <a:blip r:embed="rId58">
                      <a:extLst>
                        <a:ext uri="{28A0092B-C50C-407E-A947-70E740481C1C}">
                          <a14:useLocalDpi xmlns:a14="http://schemas.microsoft.com/office/drawing/2010/main" val="0"/>
                        </a:ext>
                      </a:extLst>
                    </a:blip>
                    <a:stretch>
                      <a:fillRect/>
                    </a:stretch>
                  </pic:blipFill>
                  <pic:spPr>
                    <a:xfrm>
                      <a:off x="0" y="0"/>
                      <a:ext cx="5731200" cy="7308000"/>
                    </a:xfrm>
                    <a:prstGeom prst="rect">
                      <a:avLst/>
                    </a:prstGeom>
                    <a:effectLst>
                      <a:outerShdw blurRad="50800" dist="38100" dir="2700000" algn="tl" rotWithShape="0">
                        <a:prstClr val="black">
                          <a:alpha val="40000"/>
                        </a:prstClr>
                      </a:outerShdw>
                    </a:effectLst>
                  </pic:spPr>
                </pic:pic>
              </a:graphicData>
            </a:graphic>
          </wp:inline>
        </w:drawing>
      </w:r>
    </w:p>
    <w:p w14:paraId="549BCBB1" w14:textId="70271B71" w:rsidR="0058789F" w:rsidRDefault="001F06B1" w:rsidP="007211D6">
      <w:pPr>
        <w:pStyle w:val="BodyText"/>
      </w:pPr>
      <w:r>
        <w:rPr>
          <w:noProof/>
        </w:rPr>
        <w:drawing>
          <wp:inline distT="0" distB="0" distL="0" distR="0" wp14:anchorId="2754BDA8" wp14:editId="3B2CB6CA">
            <wp:extent cx="5731200" cy="7257600"/>
            <wp:effectExtent l="25400" t="25400" r="85725" b="83185"/>
            <wp:docPr id="465931556" name="Picture 4" descr="Image of 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31556" name="Picture 4" descr="Image of Independent auditor’s report (page 2)."/>
                    <pic:cNvPicPr/>
                  </pic:nvPicPr>
                  <pic:blipFill>
                    <a:blip r:embed="rId59">
                      <a:extLst>
                        <a:ext uri="{28A0092B-C50C-407E-A947-70E740481C1C}">
                          <a14:useLocalDpi xmlns:a14="http://schemas.microsoft.com/office/drawing/2010/main" val="0"/>
                        </a:ext>
                      </a:extLst>
                    </a:blip>
                    <a:stretch>
                      <a:fillRect/>
                    </a:stretch>
                  </pic:blipFill>
                  <pic:spPr>
                    <a:xfrm>
                      <a:off x="0" y="0"/>
                      <a:ext cx="5731200" cy="7257600"/>
                    </a:xfrm>
                    <a:prstGeom prst="rect">
                      <a:avLst/>
                    </a:prstGeom>
                    <a:effectLst>
                      <a:outerShdw blurRad="50800" dist="38100" dir="2700000" algn="tl" rotWithShape="0">
                        <a:prstClr val="black">
                          <a:alpha val="40000"/>
                        </a:prstClr>
                      </a:outerShdw>
                    </a:effectLst>
                  </pic:spPr>
                </pic:pic>
              </a:graphicData>
            </a:graphic>
          </wp:inline>
        </w:drawing>
      </w:r>
      <w:r w:rsidR="0058789F">
        <w:br w:type="page"/>
      </w:r>
    </w:p>
    <w:p w14:paraId="77E229DA" w14:textId="77777777" w:rsidR="0058789F" w:rsidRPr="008879D7" w:rsidRDefault="0058789F" w:rsidP="00A44D67">
      <w:pPr>
        <w:pStyle w:val="Heading4"/>
      </w:pPr>
      <w:r>
        <w:t>Contents</w:t>
      </w:r>
    </w:p>
    <w:tbl>
      <w:tblPr>
        <w:tblStyle w:val="CustomTableplaceholder"/>
        <w:tblW w:w="0" w:type="auto"/>
        <w:tblLook w:val="04A0" w:firstRow="1" w:lastRow="0" w:firstColumn="1" w:lastColumn="0" w:noHBand="0" w:noVBand="1"/>
      </w:tblPr>
      <w:tblGrid>
        <w:gridCol w:w="1985"/>
        <w:gridCol w:w="283"/>
        <w:gridCol w:w="426"/>
        <w:gridCol w:w="5244"/>
        <w:gridCol w:w="284"/>
        <w:gridCol w:w="805"/>
      </w:tblGrid>
      <w:tr w:rsidR="00F137DE" w14:paraId="3F21805E" w14:textId="77777777" w:rsidTr="00F137DE">
        <w:tc>
          <w:tcPr>
            <w:tcW w:w="1985" w:type="dxa"/>
            <w:vMerge w:val="restart"/>
          </w:tcPr>
          <w:p w14:paraId="3A6C8742" w14:textId="77777777" w:rsidR="00F137DE" w:rsidRPr="007F47D5" w:rsidRDefault="00F137DE" w:rsidP="00F137DE">
            <w:pPr>
              <w:pStyle w:val="TableBodyText"/>
              <w:rPr>
                <w:rStyle w:val="Characterbold"/>
              </w:rPr>
            </w:pPr>
            <w:r w:rsidRPr="007F47D5">
              <w:rPr>
                <w:rStyle w:val="Characterbold"/>
              </w:rPr>
              <w:t>Financial statements</w:t>
            </w:r>
          </w:p>
        </w:tc>
        <w:tc>
          <w:tcPr>
            <w:tcW w:w="283" w:type="dxa"/>
          </w:tcPr>
          <w:p w14:paraId="708DBA94" w14:textId="77777777" w:rsidR="00F137DE" w:rsidRPr="007F47D5" w:rsidRDefault="00F137DE" w:rsidP="00F137DE">
            <w:pPr>
              <w:pStyle w:val="TableBodyText"/>
              <w:rPr>
                <w:rStyle w:val="Characterbold"/>
              </w:rPr>
            </w:pPr>
          </w:p>
        </w:tc>
        <w:tc>
          <w:tcPr>
            <w:tcW w:w="5670" w:type="dxa"/>
            <w:gridSpan w:val="2"/>
          </w:tcPr>
          <w:p w14:paraId="083BA42C" w14:textId="77777777" w:rsidR="00F137DE" w:rsidRDefault="00F137DE" w:rsidP="00F137DE">
            <w:pPr>
              <w:pStyle w:val="TableBodyText"/>
            </w:pPr>
            <w:r w:rsidRPr="007F47D5">
              <w:t>Comprehensive operating statement</w:t>
            </w:r>
          </w:p>
        </w:tc>
        <w:tc>
          <w:tcPr>
            <w:tcW w:w="284" w:type="dxa"/>
          </w:tcPr>
          <w:p w14:paraId="7315EEBE" w14:textId="77777777" w:rsidR="00F137DE" w:rsidRDefault="00F137DE" w:rsidP="00F137DE">
            <w:pPr>
              <w:pStyle w:val="TableBodyText"/>
            </w:pPr>
          </w:p>
        </w:tc>
        <w:tc>
          <w:tcPr>
            <w:tcW w:w="805" w:type="dxa"/>
            <w:shd w:val="clear" w:color="auto" w:fill="auto"/>
          </w:tcPr>
          <w:p w14:paraId="2B74E928" w14:textId="01BF972F" w:rsidR="00F137DE" w:rsidRDefault="00F137DE" w:rsidP="00F137DE">
            <w:pPr>
              <w:pStyle w:val="TableBodyTextrightalign"/>
            </w:pPr>
            <w:r>
              <w:rPr>
                <w:lang w:eastAsia="en-US"/>
              </w:rPr>
              <w:fldChar w:fldCharType="begin"/>
            </w:r>
            <w:r>
              <w:rPr>
                <w:lang w:eastAsia="en-US"/>
              </w:rPr>
              <w:instrText xml:space="preserve"> PAGEREF _Ref120787915 \h </w:instrText>
            </w:r>
            <w:r>
              <w:rPr>
                <w:lang w:eastAsia="en-US"/>
              </w:rPr>
            </w:r>
            <w:r>
              <w:rPr>
                <w:lang w:eastAsia="en-US"/>
              </w:rPr>
              <w:fldChar w:fldCharType="separate"/>
            </w:r>
            <w:r w:rsidR="003E7988">
              <w:rPr>
                <w:noProof/>
                <w:lang w:eastAsia="en-US"/>
              </w:rPr>
              <w:t>68</w:t>
            </w:r>
            <w:r>
              <w:rPr>
                <w:lang w:eastAsia="en-US"/>
              </w:rPr>
              <w:fldChar w:fldCharType="end"/>
            </w:r>
          </w:p>
        </w:tc>
      </w:tr>
      <w:tr w:rsidR="00F137DE" w14:paraId="5BFF7935" w14:textId="77777777" w:rsidTr="00F137DE">
        <w:tc>
          <w:tcPr>
            <w:tcW w:w="1985" w:type="dxa"/>
            <w:vMerge/>
          </w:tcPr>
          <w:p w14:paraId="03467204" w14:textId="77777777" w:rsidR="00F137DE" w:rsidRPr="007F47D5" w:rsidRDefault="00F137DE" w:rsidP="00F137DE">
            <w:pPr>
              <w:pStyle w:val="TableBodyText"/>
              <w:rPr>
                <w:rStyle w:val="Characterbold"/>
              </w:rPr>
            </w:pPr>
          </w:p>
        </w:tc>
        <w:tc>
          <w:tcPr>
            <w:tcW w:w="283" w:type="dxa"/>
          </w:tcPr>
          <w:p w14:paraId="4090AB17" w14:textId="77777777" w:rsidR="00F137DE" w:rsidRPr="007F47D5" w:rsidRDefault="00F137DE" w:rsidP="00F137DE">
            <w:pPr>
              <w:pStyle w:val="TableBodyText"/>
              <w:rPr>
                <w:rStyle w:val="Characterbold"/>
              </w:rPr>
            </w:pPr>
          </w:p>
        </w:tc>
        <w:tc>
          <w:tcPr>
            <w:tcW w:w="5670" w:type="dxa"/>
            <w:gridSpan w:val="2"/>
          </w:tcPr>
          <w:p w14:paraId="09006E93" w14:textId="77777777" w:rsidR="00F137DE" w:rsidRPr="007F47D5" w:rsidRDefault="00F137DE" w:rsidP="00F137DE">
            <w:pPr>
              <w:pStyle w:val="TableBodyText"/>
            </w:pPr>
            <w:r w:rsidRPr="007F47D5">
              <w:t>Balance sheet</w:t>
            </w:r>
          </w:p>
        </w:tc>
        <w:tc>
          <w:tcPr>
            <w:tcW w:w="284" w:type="dxa"/>
          </w:tcPr>
          <w:p w14:paraId="709EA004" w14:textId="77777777" w:rsidR="00F137DE" w:rsidRDefault="00F137DE" w:rsidP="00F137DE">
            <w:pPr>
              <w:pStyle w:val="TableBodyText"/>
            </w:pPr>
          </w:p>
        </w:tc>
        <w:tc>
          <w:tcPr>
            <w:tcW w:w="805" w:type="dxa"/>
            <w:shd w:val="clear" w:color="auto" w:fill="auto"/>
          </w:tcPr>
          <w:p w14:paraId="106DB683" w14:textId="534F9139" w:rsidR="00F137DE" w:rsidRDefault="00F137DE" w:rsidP="00F137DE">
            <w:pPr>
              <w:pStyle w:val="TableBodyTextrightalign"/>
            </w:pPr>
            <w:r>
              <w:rPr>
                <w:lang w:eastAsia="en-US"/>
              </w:rPr>
              <w:fldChar w:fldCharType="begin"/>
            </w:r>
            <w:r>
              <w:rPr>
                <w:lang w:eastAsia="en-US"/>
              </w:rPr>
              <w:instrText xml:space="preserve"> PAGEREF _Ref120787931 \h </w:instrText>
            </w:r>
            <w:r>
              <w:rPr>
                <w:lang w:eastAsia="en-US"/>
              </w:rPr>
            </w:r>
            <w:r>
              <w:rPr>
                <w:lang w:eastAsia="en-US"/>
              </w:rPr>
              <w:fldChar w:fldCharType="separate"/>
            </w:r>
            <w:r w:rsidR="003E7988">
              <w:rPr>
                <w:noProof/>
                <w:lang w:eastAsia="en-US"/>
              </w:rPr>
              <w:t>69</w:t>
            </w:r>
            <w:r>
              <w:rPr>
                <w:lang w:eastAsia="en-US"/>
              </w:rPr>
              <w:fldChar w:fldCharType="end"/>
            </w:r>
          </w:p>
        </w:tc>
      </w:tr>
      <w:tr w:rsidR="00F137DE" w14:paraId="7909F1C5" w14:textId="77777777" w:rsidTr="00F137DE">
        <w:tc>
          <w:tcPr>
            <w:tcW w:w="1985" w:type="dxa"/>
            <w:vMerge/>
          </w:tcPr>
          <w:p w14:paraId="72D9DA3D" w14:textId="77777777" w:rsidR="00F137DE" w:rsidRPr="007F47D5" w:rsidRDefault="00F137DE" w:rsidP="00F137DE">
            <w:pPr>
              <w:pStyle w:val="TableBodyText"/>
              <w:rPr>
                <w:rStyle w:val="Characterbold"/>
              </w:rPr>
            </w:pPr>
          </w:p>
        </w:tc>
        <w:tc>
          <w:tcPr>
            <w:tcW w:w="283" w:type="dxa"/>
          </w:tcPr>
          <w:p w14:paraId="2A965D42" w14:textId="77777777" w:rsidR="00F137DE" w:rsidRPr="007F47D5" w:rsidRDefault="00F137DE" w:rsidP="00F137DE">
            <w:pPr>
              <w:pStyle w:val="TableBodyText"/>
              <w:rPr>
                <w:rStyle w:val="Characterbold"/>
              </w:rPr>
            </w:pPr>
          </w:p>
        </w:tc>
        <w:tc>
          <w:tcPr>
            <w:tcW w:w="5670" w:type="dxa"/>
            <w:gridSpan w:val="2"/>
          </w:tcPr>
          <w:p w14:paraId="658473A2" w14:textId="77777777" w:rsidR="00F137DE" w:rsidRPr="007F47D5" w:rsidRDefault="00F137DE" w:rsidP="00F137DE">
            <w:pPr>
              <w:pStyle w:val="TableBodyText"/>
            </w:pPr>
            <w:r w:rsidRPr="007F47D5">
              <w:t>Cash flow statement</w:t>
            </w:r>
          </w:p>
        </w:tc>
        <w:tc>
          <w:tcPr>
            <w:tcW w:w="284" w:type="dxa"/>
          </w:tcPr>
          <w:p w14:paraId="2554F2B5" w14:textId="77777777" w:rsidR="00F137DE" w:rsidRDefault="00F137DE" w:rsidP="00F137DE">
            <w:pPr>
              <w:pStyle w:val="TableBodyText"/>
            </w:pPr>
          </w:p>
        </w:tc>
        <w:tc>
          <w:tcPr>
            <w:tcW w:w="805" w:type="dxa"/>
            <w:shd w:val="clear" w:color="auto" w:fill="auto"/>
          </w:tcPr>
          <w:p w14:paraId="46EFCFF6" w14:textId="5F187DDA" w:rsidR="00F137DE" w:rsidRDefault="00F137DE" w:rsidP="00F137DE">
            <w:pPr>
              <w:pStyle w:val="TableBodyTextrightalign"/>
            </w:pPr>
            <w:r>
              <w:rPr>
                <w:lang w:eastAsia="en-US"/>
              </w:rPr>
              <w:fldChar w:fldCharType="begin"/>
            </w:r>
            <w:r>
              <w:rPr>
                <w:lang w:eastAsia="en-US"/>
              </w:rPr>
              <w:instrText xml:space="preserve"> PAGEREF _Ref120787936 \h </w:instrText>
            </w:r>
            <w:r>
              <w:rPr>
                <w:lang w:eastAsia="en-US"/>
              </w:rPr>
            </w:r>
            <w:r>
              <w:rPr>
                <w:lang w:eastAsia="en-US"/>
              </w:rPr>
              <w:fldChar w:fldCharType="separate"/>
            </w:r>
            <w:r w:rsidR="003E7988">
              <w:rPr>
                <w:noProof/>
                <w:lang w:eastAsia="en-US"/>
              </w:rPr>
              <w:t>70</w:t>
            </w:r>
            <w:r>
              <w:rPr>
                <w:lang w:eastAsia="en-US"/>
              </w:rPr>
              <w:fldChar w:fldCharType="end"/>
            </w:r>
          </w:p>
        </w:tc>
      </w:tr>
      <w:tr w:rsidR="00F137DE" w14:paraId="67FC722B" w14:textId="77777777" w:rsidTr="00F137DE">
        <w:tc>
          <w:tcPr>
            <w:tcW w:w="1985" w:type="dxa"/>
            <w:vMerge/>
          </w:tcPr>
          <w:p w14:paraId="0D8D17DE" w14:textId="77777777" w:rsidR="00F137DE" w:rsidRPr="007F47D5" w:rsidRDefault="00F137DE" w:rsidP="00F137DE">
            <w:pPr>
              <w:pStyle w:val="TableBodyText"/>
              <w:rPr>
                <w:rStyle w:val="Characterbold"/>
              </w:rPr>
            </w:pPr>
          </w:p>
        </w:tc>
        <w:tc>
          <w:tcPr>
            <w:tcW w:w="283" w:type="dxa"/>
          </w:tcPr>
          <w:p w14:paraId="78D95884" w14:textId="77777777" w:rsidR="00F137DE" w:rsidRPr="007F47D5" w:rsidRDefault="00F137DE" w:rsidP="00F137DE">
            <w:pPr>
              <w:pStyle w:val="TableBodyText"/>
              <w:rPr>
                <w:rStyle w:val="Characterbold"/>
              </w:rPr>
            </w:pPr>
          </w:p>
        </w:tc>
        <w:tc>
          <w:tcPr>
            <w:tcW w:w="5670" w:type="dxa"/>
            <w:gridSpan w:val="2"/>
          </w:tcPr>
          <w:p w14:paraId="4525BAFC" w14:textId="77777777" w:rsidR="00F137DE" w:rsidRPr="007F47D5" w:rsidRDefault="00F137DE" w:rsidP="00F137DE">
            <w:pPr>
              <w:pStyle w:val="TableBodyText"/>
            </w:pPr>
            <w:r w:rsidRPr="007F47D5">
              <w:t>Statement of changes in equity</w:t>
            </w:r>
          </w:p>
        </w:tc>
        <w:tc>
          <w:tcPr>
            <w:tcW w:w="284" w:type="dxa"/>
          </w:tcPr>
          <w:p w14:paraId="53833947" w14:textId="77777777" w:rsidR="00F137DE" w:rsidRDefault="00F137DE" w:rsidP="00F137DE">
            <w:pPr>
              <w:pStyle w:val="TableBodyText"/>
            </w:pPr>
          </w:p>
        </w:tc>
        <w:tc>
          <w:tcPr>
            <w:tcW w:w="805" w:type="dxa"/>
            <w:shd w:val="clear" w:color="auto" w:fill="auto"/>
          </w:tcPr>
          <w:p w14:paraId="6C392990" w14:textId="2C1EA6CA" w:rsidR="00F137DE" w:rsidRDefault="00F137DE" w:rsidP="00F137DE">
            <w:pPr>
              <w:pStyle w:val="TableBodyTextrightalign"/>
            </w:pPr>
            <w:r>
              <w:rPr>
                <w:lang w:eastAsia="en-US"/>
              </w:rPr>
              <w:fldChar w:fldCharType="begin"/>
            </w:r>
            <w:r>
              <w:rPr>
                <w:lang w:eastAsia="en-US"/>
              </w:rPr>
              <w:instrText xml:space="preserve"> PAGEREF _Ref120787943 \h </w:instrText>
            </w:r>
            <w:r>
              <w:rPr>
                <w:lang w:eastAsia="en-US"/>
              </w:rPr>
            </w:r>
            <w:r>
              <w:rPr>
                <w:lang w:eastAsia="en-US"/>
              </w:rPr>
              <w:fldChar w:fldCharType="separate"/>
            </w:r>
            <w:r w:rsidR="003E7988">
              <w:rPr>
                <w:noProof/>
                <w:lang w:eastAsia="en-US"/>
              </w:rPr>
              <w:t>71</w:t>
            </w:r>
            <w:r>
              <w:rPr>
                <w:lang w:eastAsia="en-US"/>
              </w:rPr>
              <w:fldChar w:fldCharType="end"/>
            </w:r>
          </w:p>
        </w:tc>
      </w:tr>
      <w:tr w:rsidR="0058789F" w14:paraId="723ED9E7" w14:textId="77777777" w:rsidTr="00F137DE">
        <w:tc>
          <w:tcPr>
            <w:tcW w:w="1985" w:type="dxa"/>
          </w:tcPr>
          <w:p w14:paraId="5AB4DB5F" w14:textId="77777777" w:rsidR="0058789F" w:rsidRPr="007F47D5" w:rsidRDefault="0058789F" w:rsidP="00AD1066">
            <w:pPr>
              <w:pStyle w:val="TableBodyText"/>
              <w:rPr>
                <w:rStyle w:val="Characterbold"/>
              </w:rPr>
            </w:pPr>
          </w:p>
        </w:tc>
        <w:tc>
          <w:tcPr>
            <w:tcW w:w="283" w:type="dxa"/>
          </w:tcPr>
          <w:p w14:paraId="6750C019" w14:textId="77777777" w:rsidR="0058789F" w:rsidRPr="007F47D5" w:rsidRDefault="0058789F" w:rsidP="00AD1066">
            <w:pPr>
              <w:pStyle w:val="TableBodyText"/>
              <w:rPr>
                <w:rStyle w:val="Characterbold"/>
              </w:rPr>
            </w:pPr>
          </w:p>
        </w:tc>
        <w:tc>
          <w:tcPr>
            <w:tcW w:w="5670" w:type="dxa"/>
            <w:gridSpan w:val="2"/>
          </w:tcPr>
          <w:p w14:paraId="1FE67133" w14:textId="77777777" w:rsidR="0058789F" w:rsidRPr="007F47D5" w:rsidRDefault="0058789F" w:rsidP="00AD1066">
            <w:pPr>
              <w:pStyle w:val="TableBodyText"/>
            </w:pPr>
          </w:p>
        </w:tc>
        <w:tc>
          <w:tcPr>
            <w:tcW w:w="284" w:type="dxa"/>
          </w:tcPr>
          <w:p w14:paraId="66917D81" w14:textId="77777777" w:rsidR="0058789F" w:rsidRDefault="0058789F" w:rsidP="00AD1066">
            <w:pPr>
              <w:pStyle w:val="TableBodyText"/>
            </w:pPr>
          </w:p>
        </w:tc>
        <w:tc>
          <w:tcPr>
            <w:tcW w:w="805" w:type="dxa"/>
            <w:shd w:val="clear" w:color="auto" w:fill="auto"/>
          </w:tcPr>
          <w:p w14:paraId="76889EBE" w14:textId="77777777" w:rsidR="0058789F" w:rsidRDefault="0058789F" w:rsidP="00AD1066">
            <w:pPr>
              <w:pStyle w:val="TableBodyTextrightalign"/>
            </w:pPr>
          </w:p>
        </w:tc>
      </w:tr>
      <w:tr w:rsidR="00F137DE" w14:paraId="61365BAE" w14:textId="77777777" w:rsidTr="00F137DE">
        <w:tc>
          <w:tcPr>
            <w:tcW w:w="1985" w:type="dxa"/>
            <w:vMerge w:val="restart"/>
          </w:tcPr>
          <w:p w14:paraId="703A6EEC" w14:textId="77777777" w:rsidR="00F137DE" w:rsidRPr="007F47D5" w:rsidRDefault="00F137DE" w:rsidP="00F137DE">
            <w:pPr>
              <w:pStyle w:val="TableBodyText"/>
              <w:rPr>
                <w:rStyle w:val="Characterbold"/>
              </w:rPr>
            </w:pPr>
            <w:r w:rsidRPr="007F47D5">
              <w:rPr>
                <w:rStyle w:val="Characterbold"/>
              </w:rPr>
              <w:t>Notes to the financial statements</w:t>
            </w:r>
          </w:p>
        </w:tc>
        <w:tc>
          <w:tcPr>
            <w:tcW w:w="283" w:type="dxa"/>
          </w:tcPr>
          <w:p w14:paraId="0CBE4541" w14:textId="77777777" w:rsidR="00F137DE" w:rsidRPr="007F47D5" w:rsidRDefault="00F137DE" w:rsidP="00F137DE">
            <w:pPr>
              <w:pStyle w:val="TableBodyText"/>
              <w:rPr>
                <w:rStyle w:val="Characterbold"/>
              </w:rPr>
            </w:pPr>
          </w:p>
        </w:tc>
        <w:tc>
          <w:tcPr>
            <w:tcW w:w="426" w:type="dxa"/>
          </w:tcPr>
          <w:p w14:paraId="7A738947" w14:textId="77777777" w:rsidR="00F137DE" w:rsidRPr="007F47D5" w:rsidRDefault="00F137DE" w:rsidP="00F137DE">
            <w:pPr>
              <w:pStyle w:val="TableBodyText"/>
            </w:pPr>
            <w:r>
              <w:fldChar w:fldCharType="begin"/>
            </w:r>
            <w:r>
              <w:instrText xml:space="preserve"> REF _Ref120788147 \w \h  \* MERGEFORMAT </w:instrText>
            </w:r>
            <w:r>
              <w:fldChar w:fldCharType="separate"/>
            </w:r>
            <w:r>
              <w:t>1</w:t>
            </w:r>
            <w:r>
              <w:fldChar w:fldCharType="end"/>
            </w:r>
            <w:r>
              <w:t xml:space="preserve">  </w:t>
            </w:r>
          </w:p>
        </w:tc>
        <w:tc>
          <w:tcPr>
            <w:tcW w:w="5244" w:type="dxa"/>
          </w:tcPr>
          <w:p w14:paraId="3D66719D" w14:textId="77777777" w:rsidR="00F137DE" w:rsidRPr="007F47D5" w:rsidRDefault="00F137DE" w:rsidP="00F137DE">
            <w:pPr>
              <w:pStyle w:val="TableBodyText"/>
            </w:pPr>
            <w:r>
              <w:fldChar w:fldCharType="begin"/>
            </w:r>
            <w:r>
              <w:instrText xml:space="preserve"> REF _Ref120788147 \h  \* MERGEFORMAT </w:instrText>
            </w:r>
            <w:r>
              <w:fldChar w:fldCharType="separate"/>
            </w:r>
            <w:r>
              <w:t>About this report</w:t>
            </w:r>
            <w:r>
              <w:fldChar w:fldCharType="end"/>
            </w:r>
          </w:p>
        </w:tc>
        <w:tc>
          <w:tcPr>
            <w:tcW w:w="284" w:type="dxa"/>
          </w:tcPr>
          <w:p w14:paraId="1E216197" w14:textId="77777777" w:rsidR="00F137DE" w:rsidRDefault="00F137DE" w:rsidP="00F137DE">
            <w:pPr>
              <w:pStyle w:val="TableBodyText"/>
            </w:pPr>
          </w:p>
        </w:tc>
        <w:tc>
          <w:tcPr>
            <w:tcW w:w="805" w:type="dxa"/>
            <w:shd w:val="clear" w:color="auto" w:fill="auto"/>
          </w:tcPr>
          <w:p w14:paraId="01A99143" w14:textId="10E6DA11" w:rsidR="00F137DE" w:rsidRDefault="00F137DE" w:rsidP="00F137DE">
            <w:pPr>
              <w:pStyle w:val="TableBodyTextrightalign"/>
            </w:pPr>
            <w:r>
              <w:rPr>
                <w:lang w:eastAsia="en-US"/>
              </w:rPr>
              <w:fldChar w:fldCharType="begin"/>
            </w:r>
            <w:r>
              <w:rPr>
                <w:lang w:eastAsia="en-US"/>
              </w:rPr>
              <w:instrText xml:space="preserve"> PAGEREF _Ref120788147 \h </w:instrText>
            </w:r>
            <w:r>
              <w:rPr>
                <w:lang w:eastAsia="en-US"/>
              </w:rPr>
            </w:r>
            <w:r>
              <w:rPr>
                <w:lang w:eastAsia="en-US"/>
              </w:rPr>
              <w:fldChar w:fldCharType="separate"/>
            </w:r>
            <w:r w:rsidR="003E7988">
              <w:rPr>
                <w:noProof/>
                <w:lang w:eastAsia="en-US"/>
              </w:rPr>
              <w:t>72</w:t>
            </w:r>
            <w:r>
              <w:rPr>
                <w:lang w:eastAsia="en-US"/>
              </w:rPr>
              <w:fldChar w:fldCharType="end"/>
            </w:r>
          </w:p>
        </w:tc>
      </w:tr>
      <w:tr w:rsidR="00F137DE" w14:paraId="6729CD8C" w14:textId="77777777" w:rsidTr="00F137DE">
        <w:tc>
          <w:tcPr>
            <w:tcW w:w="1985" w:type="dxa"/>
            <w:vMerge/>
          </w:tcPr>
          <w:p w14:paraId="7D67FFB8" w14:textId="77777777" w:rsidR="00F137DE" w:rsidRPr="007F47D5" w:rsidRDefault="00F137DE" w:rsidP="00F137DE">
            <w:pPr>
              <w:pStyle w:val="TableBodyText"/>
              <w:rPr>
                <w:rStyle w:val="Characterbold"/>
              </w:rPr>
            </w:pPr>
          </w:p>
        </w:tc>
        <w:tc>
          <w:tcPr>
            <w:tcW w:w="283" w:type="dxa"/>
          </w:tcPr>
          <w:p w14:paraId="19CA3586" w14:textId="77777777" w:rsidR="00F137DE" w:rsidRPr="007F47D5" w:rsidRDefault="00F137DE" w:rsidP="00F137DE">
            <w:pPr>
              <w:pStyle w:val="TableBodyText"/>
              <w:rPr>
                <w:rStyle w:val="Characterbold"/>
              </w:rPr>
            </w:pPr>
          </w:p>
        </w:tc>
        <w:tc>
          <w:tcPr>
            <w:tcW w:w="426" w:type="dxa"/>
          </w:tcPr>
          <w:p w14:paraId="7D741CEF" w14:textId="77777777" w:rsidR="00F137DE" w:rsidRPr="007F47D5" w:rsidRDefault="00F137DE" w:rsidP="00F137DE">
            <w:pPr>
              <w:pStyle w:val="TableBodyText"/>
            </w:pPr>
            <w:r>
              <w:t xml:space="preserve">2  </w:t>
            </w:r>
          </w:p>
        </w:tc>
        <w:tc>
          <w:tcPr>
            <w:tcW w:w="5244" w:type="dxa"/>
          </w:tcPr>
          <w:p w14:paraId="6A86F30F" w14:textId="77777777" w:rsidR="00F137DE" w:rsidRPr="007F47D5" w:rsidRDefault="00F137DE" w:rsidP="00F137DE">
            <w:pPr>
              <w:pStyle w:val="TableBodyText"/>
            </w:pPr>
            <w:r w:rsidRPr="00F575C8">
              <w:t>Funding delivery for our services</w:t>
            </w:r>
            <w:r>
              <w:fldChar w:fldCharType="begin"/>
            </w:r>
            <w:r>
              <w:instrText xml:space="preserve"> REF _Ref82091474 \h  \* MERGEFORMAT </w:instrText>
            </w:r>
            <w:r w:rsidR="00F31239">
              <w:fldChar w:fldCharType="separate"/>
            </w:r>
            <w:r>
              <w:fldChar w:fldCharType="end"/>
            </w:r>
          </w:p>
        </w:tc>
        <w:tc>
          <w:tcPr>
            <w:tcW w:w="284" w:type="dxa"/>
          </w:tcPr>
          <w:p w14:paraId="56277890" w14:textId="77777777" w:rsidR="00F137DE" w:rsidRDefault="00F137DE" w:rsidP="00F137DE">
            <w:pPr>
              <w:pStyle w:val="TableBodyText"/>
            </w:pPr>
          </w:p>
        </w:tc>
        <w:tc>
          <w:tcPr>
            <w:tcW w:w="805" w:type="dxa"/>
            <w:shd w:val="clear" w:color="auto" w:fill="auto"/>
          </w:tcPr>
          <w:p w14:paraId="43491EA7" w14:textId="3D449A86" w:rsidR="00F137DE" w:rsidRDefault="00F137DE" w:rsidP="00F137DE">
            <w:pPr>
              <w:pStyle w:val="TableBodyTextrightalign"/>
            </w:pPr>
            <w:r>
              <w:rPr>
                <w:lang w:eastAsia="en-US"/>
              </w:rPr>
              <w:fldChar w:fldCharType="begin"/>
            </w:r>
            <w:r>
              <w:rPr>
                <w:lang w:eastAsia="en-US"/>
              </w:rPr>
              <w:instrText xml:space="preserve"> PAGEREF _Ref82091474 \h </w:instrText>
            </w:r>
            <w:r>
              <w:rPr>
                <w:lang w:eastAsia="en-US"/>
              </w:rPr>
            </w:r>
            <w:r>
              <w:rPr>
                <w:lang w:eastAsia="en-US"/>
              </w:rPr>
              <w:fldChar w:fldCharType="separate"/>
            </w:r>
            <w:r w:rsidR="003E7988">
              <w:rPr>
                <w:noProof/>
                <w:lang w:eastAsia="en-US"/>
              </w:rPr>
              <w:t>74</w:t>
            </w:r>
            <w:r>
              <w:rPr>
                <w:lang w:eastAsia="en-US"/>
              </w:rPr>
              <w:fldChar w:fldCharType="end"/>
            </w:r>
          </w:p>
        </w:tc>
      </w:tr>
      <w:tr w:rsidR="00F137DE" w14:paraId="576112D7" w14:textId="77777777" w:rsidTr="00F137DE">
        <w:tc>
          <w:tcPr>
            <w:tcW w:w="1985" w:type="dxa"/>
            <w:vMerge/>
          </w:tcPr>
          <w:p w14:paraId="49BF6EBE" w14:textId="77777777" w:rsidR="00F137DE" w:rsidRPr="007F47D5" w:rsidRDefault="00F137DE" w:rsidP="00F137DE">
            <w:pPr>
              <w:pStyle w:val="TableBodyText"/>
              <w:rPr>
                <w:rStyle w:val="Characterbold"/>
              </w:rPr>
            </w:pPr>
          </w:p>
        </w:tc>
        <w:tc>
          <w:tcPr>
            <w:tcW w:w="283" w:type="dxa"/>
          </w:tcPr>
          <w:p w14:paraId="500844AA" w14:textId="77777777" w:rsidR="00F137DE" w:rsidRPr="007F47D5" w:rsidRDefault="00F137DE" w:rsidP="00F137DE">
            <w:pPr>
              <w:pStyle w:val="TableBodyText"/>
              <w:rPr>
                <w:rStyle w:val="Characterbold"/>
              </w:rPr>
            </w:pPr>
          </w:p>
        </w:tc>
        <w:tc>
          <w:tcPr>
            <w:tcW w:w="426" w:type="dxa"/>
          </w:tcPr>
          <w:p w14:paraId="683F1F32" w14:textId="77777777" w:rsidR="00F137DE" w:rsidRPr="007F47D5" w:rsidRDefault="00F137DE" w:rsidP="00F137DE">
            <w:pPr>
              <w:pStyle w:val="TableBodyText"/>
            </w:pPr>
            <w:r>
              <w:t xml:space="preserve">3  </w:t>
            </w:r>
          </w:p>
        </w:tc>
        <w:tc>
          <w:tcPr>
            <w:tcW w:w="5244" w:type="dxa"/>
          </w:tcPr>
          <w:p w14:paraId="589CC184" w14:textId="77777777" w:rsidR="00F137DE" w:rsidRPr="007F47D5" w:rsidRDefault="00F137DE" w:rsidP="00F137DE">
            <w:pPr>
              <w:pStyle w:val="TableBodyText"/>
            </w:pPr>
            <w:r>
              <w:fldChar w:fldCharType="begin"/>
            </w:r>
            <w:r>
              <w:instrText xml:space="preserve"> REF _Ref120788257 \h  \* MERGEFORMAT </w:instrText>
            </w:r>
            <w:r>
              <w:fldChar w:fldCharType="separate"/>
            </w:r>
            <w:r>
              <w:t>The cost of delivering services</w:t>
            </w:r>
            <w:r>
              <w:fldChar w:fldCharType="end"/>
            </w:r>
          </w:p>
        </w:tc>
        <w:tc>
          <w:tcPr>
            <w:tcW w:w="284" w:type="dxa"/>
          </w:tcPr>
          <w:p w14:paraId="10B8C491" w14:textId="77777777" w:rsidR="00F137DE" w:rsidRDefault="00F137DE" w:rsidP="00F137DE">
            <w:pPr>
              <w:pStyle w:val="TableBodyText"/>
            </w:pPr>
          </w:p>
        </w:tc>
        <w:tc>
          <w:tcPr>
            <w:tcW w:w="805" w:type="dxa"/>
            <w:shd w:val="clear" w:color="auto" w:fill="auto"/>
          </w:tcPr>
          <w:p w14:paraId="1B599976" w14:textId="24EAEC39" w:rsidR="00F137DE" w:rsidRDefault="00F137DE" w:rsidP="00F137DE">
            <w:pPr>
              <w:pStyle w:val="TableBodyTextrightalign"/>
            </w:pPr>
            <w:r>
              <w:rPr>
                <w:lang w:eastAsia="en-US"/>
              </w:rPr>
              <w:fldChar w:fldCharType="begin"/>
            </w:r>
            <w:r>
              <w:rPr>
                <w:lang w:eastAsia="en-US"/>
              </w:rPr>
              <w:instrText xml:space="preserve"> PAGEREF _Ref120788257 \h </w:instrText>
            </w:r>
            <w:r>
              <w:rPr>
                <w:lang w:eastAsia="en-US"/>
              </w:rPr>
            </w:r>
            <w:r>
              <w:rPr>
                <w:lang w:eastAsia="en-US"/>
              </w:rPr>
              <w:fldChar w:fldCharType="separate"/>
            </w:r>
            <w:r w:rsidR="003E7988">
              <w:rPr>
                <w:noProof/>
                <w:lang w:eastAsia="en-US"/>
              </w:rPr>
              <w:t>74</w:t>
            </w:r>
            <w:r>
              <w:rPr>
                <w:lang w:eastAsia="en-US"/>
              </w:rPr>
              <w:fldChar w:fldCharType="end"/>
            </w:r>
          </w:p>
        </w:tc>
      </w:tr>
      <w:tr w:rsidR="00F137DE" w14:paraId="50B18667" w14:textId="77777777" w:rsidTr="00F137DE">
        <w:tc>
          <w:tcPr>
            <w:tcW w:w="1985" w:type="dxa"/>
            <w:vMerge/>
          </w:tcPr>
          <w:p w14:paraId="421CAD2E" w14:textId="77777777" w:rsidR="00F137DE" w:rsidRPr="007F47D5" w:rsidRDefault="00F137DE" w:rsidP="00F137DE">
            <w:pPr>
              <w:pStyle w:val="TableBodyText"/>
              <w:rPr>
                <w:rStyle w:val="Characterbold"/>
              </w:rPr>
            </w:pPr>
          </w:p>
        </w:tc>
        <w:tc>
          <w:tcPr>
            <w:tcW w:w="283" w:type="dxa"/>
          </w:tcPr>
          <w:p w14:paraId="612C86D7" w14:textId="77777777" w:rsidR="00F137DE" w:rsidRPr="007F47D5" w:rsidRDefault="00F137DE" w:rsidP="00F137DE">
            <w:pPr>
              <w:pStyle w:val="TableBodyText"/>
              <w:rPr>
                <w:rStyle w:val="Characterbold"/>
              </w:rPr>
            </w:pPr>
          </w:p>
        </w:tc>
        <w:tc>
          <w:tcPr>
            <w:tcW w:w="426" w:type="dxa"/>
          </w:tcPr>
          <w:p w14:paraId="043DCABD" w14:textId="77777777" w:rsidR="00F137DE" w:rsidRPr="007F47D5" w:rsidRDefault="00F137DE" w:rsidP="00F137DE">
            <w:pPr>
              <w:pStyle w:val="TableBodyText"/>
            </w:pPr>
            <w:r>
              <w:fldChar w:fldCharType="begin"/>
            </w:r>
            <w:r>
              <w:instrText xml:space="preserve"> REF _Ref120788283 \r \h  \* MERGEFORMAT </w:instrText>
            </w:r>
            <w:r>
              <w:fldChar w:fldCharType="separate"/>
            </w:r>
            <w:r>
              <w:t>4</w:t>
            </w:r>
            <w:r>
              <w:fldChar w:fldCharType="end"/>
            </w:r>
            <w:r>
              <w:t xml:space="preserve">  </w:t>
            </w:r>
          </w:p>
        </w:tc>
        <w:tc>
          <w:tcPr>
            <w:tcW w:w="5244" w:type="dxa"/>
          </w:tcPr>
          <w:p w14:paraId="519765F6" w14:textId="77777777" w:rsidR="00F137DE" w:rsidRPr="007F47D5" w:rsidRDefault="00F137DE" w:rsidP="00F137DE">
            <w:pPr>
              <w:pStyle w:val="TableBodyText"/>
            </w:pPr>
            <w:r>
              <w:fldChar w:fldCharType="begin"/>
            </w:r>
            <w:r>
              <w:instrText xml:space="preserve"> REF _Ref120788283 \h  \* MERGEFORMAT </w:instrText>
            </w:r>
            <w:r>
              <w:fldChar w:fldCharType="separate"/>
            </w:r>
            <w:r w:rsidRPr="00962026">
              <w:t>Key assets available to support output delivery</w:t>
            </w:r>
            <w:r>
              <w:fldChar w:fldCharType="end"/>
            </w:r>
          </w:p>
        </w:tc>
        <w:tc>
          <w:tcPr>
            <w:tcW w:w="284" w:type="dxa"/>
          </w:tcPr>
          <w:p w14:paraId="382F7C23" w14:textId="77777777" w:rsidR="00F137DE" w:rsidRDefault="00F137DE" w:rsidP="00F137DE">
            <w:pPr>
              <w:pStyle w:val="TableBodyText"/>
            </w:pPr>
          </w:p>
        </w:tc>
        <w:tc>
          <w:tcPr>
            <w:tcW w:w="805" w:type="dxa"/>
            <w:shd w:val="clear" w:color="auto" w:fill="auto"/>
          </w:tcPr>
          <w:p w14:paraId="10BA2887" w14:textId="5B804B64" w:rsidR="00F137DE" w:rsidRDefault="00F137DE" w:rsidP="00F137DE">
            <w:pPr>
              <w:pStyle w:val="TableBodyTextrightalign"/>
            </w:pPr>
            <w:r>
              <w:rPr>
                <w:lang w:eastAsia="en-US"/>
              </w:rPr>
              <w:fldChar w:fldCharType="begin"/>
            </w:r>
            <w:r>
              <w:rPr>
                <w:lang w:eastAsia="en-US"/>
              </w:rPr>
              <w:instrText xml:space="preserve"> PAGEREF _Ref120788283 \h </w:instrText>
            </w:r>
            <w:r>
              <w:rPr>
                <w:lang w:eastAsia="en-US"/>
              </w:rPr>
            </w:r>
            <w:r>
              <w:rPr>
                <w:lang w:eastAsia="en-US"/>
              </w:rPr>
              <w:fldChar w:fldCharType="separate"/>
            </w:r>
            <w:r w:rsidR="003E7988">
              <w:rPr>
                <w:noProof/>
                <w:lang w:eastAsia="en-US"/>
              </w:rPr>
              <w:t>79</w:t>
            </w:r>
            <w:r>
              <w:rPr>
                <w:lang w:eastAsia="en-US"/>
              </w:rPr>
              <w:fldChar w:fldCharType="end"/>
            </w:r>
          </w:p>
        </w:tc>
      </w:tr>
      <w:tr w:rsidR="00F137DE" w14:paraId="7492E4C1" w14:textId="77777777" w:rsidTr="00F137DE">
        <w:tc>
          <w:tcPr>
            <w:tcW w:w="1985" w:type="dxa"/>
            <w:vMerge/>
          </w:tcPr>
          <w:p w14:paraId="457E0292" w14:textId="77777777" w:rsidR="00F137DE" w:rsidRPr="007F47D5" w:rsidRDefault="00F137DE" w:rsidP="00F137DE">
            <w:pPr>
              <w:pStyle w:val="TableBodyText"/>
              <w:rPr>
                <w:rStyle w:val="Characterbold"/>
              </w:rPr>
            </w:pPr>
          </w:p>
        </w:tc>
        <w:tc>
          <w:tcPr>
            <w:tcW w:w="283" w:type="dxa"/>
          </w:tcPr>
          <w:p w14:paraId="0E357D20" w14:textId="77777777" w:rsidR="00F137DE" w:rsidRPr="007F47D5" w:rsidRDefault="00F137DE" w:rsidP="00F137DE">
            <w:pPr>
              <w:pStyle w:val="TableBodyText"/>
              <w:rPr>
                <w:rStyle w:val="Characterbold"/>
              </w:rPr>
            </w:pPr>
          </w:p>
        </w:tc>
        <w:tc>
          <w:tcPr>
            <w:tcW w:w="426" w:type="dxa"/>
          </w:tcPr>
          <w:p w14:paraId="350DDF2F" w14:textId="77777777" w:rsidR="00F137DE" w:rsidRPr="007F47D5" w:rsidRDefault="00F137DE" w:rsidP="00F137DE">
            <w:pPr>
              <w:pStyle w:val="TableBodyText"/>
            </w:pPr>
            <w:r>
              <w:fldChar w:fldCharType="begin"/>
            </w:r>
            <w:r>
              <w:instrText xml:space="preserve"> REF _Ref120788296 \r \h  \* MERGEFORMAT </w:instrText>
            </w:r>
            <w:r>
              <w:fldChar w:fldCharType="separate"/>
            </w:r>
            <w:r>
              <w:t>5</w:t>
            </w:r>
            <w:r>
              <w:fldChar w:fldCharType="end"/>
            </w:r>
            <w:r>
              <w:t xml:space="preserve">  </w:t>
            </w:r>
          </w:p>
        </w:tc>
        <w:tc>
          <w:tcPr>
            <w:tcW w:w="5244" w:type="dxa"/>
          </w:tcPr>
          <w:p w14:paraId="7037EE81" w14:textId="77777777" w:rsidR="00F137DE" w:rsidRPr="007F47D5" w:rsidRDefault="00F137DE" w:rsidP="00F137DE">
            <w:pPr>
              <w:pStyle w:val="TableBodyText"/>
            </w:pPr>
            <w:r>
              <w:fldChar w:fldCharType="begin"/>
            </w:r>
            <w:r>
              <w:instrText xml:space="preserve"> REF _Ref120788296 \h  \* MERGEFORMAT </w:instrText>
            </w:r>
            <w:r>
              <w:fldChar w:fldCharType="separate"/>
            </w:r>
            <w:r>
              <w:t>Other assets and liabilities</w:t>
            </w:r>
            <w:r>
              <w:fldChar w:fldCharType="end"/>
            </w:r>
          </w:p>
        </w:tc>
        <w:tc>
          <w:tcPr>
            <w:tcW w:w="284" w:type="dxa"/>
          </w:tcPr>
          <w:p w14:paraId="2CC5C24D" w14:textId="77777777" w:rsidR="00F137DE" w:rsidRDefault="00F137DE" w:rsidP="00F137DE">
            <w:pPr>
              <w:pStyle w:val="TableBodyText"/>
            </w:pPr>
          </w:p>
        </w:tc>
        <w:tc>
          <w:tcPr>
            <w:tcW w:w="805" w:type="dxa"/>
            <w:shd w:val="clear" w:color="auto" w:fill="auto"/>
          </w:tcPr>
          <w:p w14:paraId="39BBCC21" w14:textId="73DF8E88" w:rsidR="00F137DE" w:rsidRDefault="00F137DE" w:rsidP="00F137DE">
            <w:pPr>
              <w:pStyle w:val="TableBodyTextrightalign"/>
            </w:pPr>
            <w:r>
              <w:rPr>
                <w:lang w:eastAsia="en-US"/>
              </w:rPr>
              <w:fldChar w:fldCharType="begin"/>
            </w:r>
            <w:r>
              <w:rPr>
                <w:lang w:eastAsia="en-US"/>
              </w:rPr>
              <w:instrText xml:space="preserve"> PAGEREF _Ref120788296 \h </w:instrText>
            </w:r>
            <w:r>
              <w:rPr>
                <w:lang w:eastAsia="en-US"/>
              </w:rPr>
            </w:r>
            <w:r>
              <w:rPr>
                <w:lang w:eastAsia="en-US"/>
              </w:rPr>
              <w:fldChar w:fldCharType="separate"/>
            </w:r>
            <w:r w:rsidR="003E7988">
              <w:rPr>
                <w:noProof/>
                <w:lang w:eastAsia="en-US"/>
              </w:rPr>
              <w:t>86</w:t>
            </w:r>
            <w:r>
              <w:rPr>
                <w:lang w:eastAsia="en-US"/>
              </w:rPr>
              <w:fldChar w:fldCharType="end"/>
            </w:r>
          </w:p>
        </w:tc>
      </w:tr>
      <w:tr w:rsidR="00F137DE" w14:paraId="606B2EEE" w14:textId="77777777" w:rsidTr="00F137DE">
        <w:tc>
          <w:tcPr>
            <w:tcW w:w="1985" w:type="dxa"/>
            <w:vMerge/>
          </w:tcPr>
          <w:p w14:paraId="425EA6FD" w14:textId="77777777" w:rsidR="00F137DE" w:rsidRPr="007F47D5" w:rsidRDefault="00F137DE" w:rsidP="00F137DE">
            <w:pPr>
              <w:pStyle w:val="TableBodyText"/>
              <w:rPr>
                <w:rStyle w:val="Characterbold"/>
              </w:rPr>
            </w:pPr>
          </w:p>
        </w:tc>
        <w:tc>
          <w:tcPr>
            <w:tcW w:w="283" w:type="dxa"/>
          </w:tcPr>
          <w:p w14:paraId="443920E2" w14:textId="77777777" w:rsidR="00F137DE" w:rsidRPr="007F47D5" w:rsidRDefault="00F137DE" w:rsidP="00F137DE">
            <w:pPr>
              <w:pStyle w:val="TableBodyText"/>
              <w:rPr>
                <w:rStyle w:val="Characterbold"/>
              </w:rPr>
            </w:pPr>
          </w:p>
        </w:tc>
        <w:tc>
          <w:tcPr>
            <w:tcW w:w="426" w:type="dxa"/>
          </w:tcPr>
          <w:p w14:paraId="5EAF6A4C" w14:textId="77777777" w:rsidR="00F137DE" w:rsidRPr="007F47D5" w:rsidRDefault="00F137DE" w:rsidP="00F137DE">
            <w:pPr>
              <w:pStyle w:val="TableBodyText"/>
            </w:pPr>
            <w:r>
              <w:fldChar w:fldCharType="begin"/>
            </w:r>
            <w:r>
              <w:instrText xml:space="preserve"> REF _Ref120788315 \r \h  \* MERGEFORMAT </w:instrText>
            </w:r>
            <w:r>
              <w:fldChar w:fldCharType="separate"/>
            </w:r>
            <w:r>
              <w:t>6</w:t>
            </w:r>
            <w:r>
              <w:fldChar w:fldCharType="end"/>
            </w:r>
            <w:r>
              <w:t xml:space="preserve">  </w:t>
            </w:r>
          </w:p>
        </w:tc>
        <w:tc>
          <w:tcPr>
            <w:tcW w:w="5244" w:type="dxa"/>
          </w:tcPr>
          <w:p w14:paraId="0A8DCA8B" w14:textId="77777777" w:rsidR="00F137DE" w:rsidRPr="007F47D5" w:rsidRDefault="00F137DE" w:rsidP="00F137DE">
            <w:pPr>
              <w:pStyle w:val="TableBodyText"/>
            </w:pPr>
            <w:r>
              <w:t>Financing our operations</w:t>
            </w:r>
          </w:p>
        </w:tc>
        <w:tc>
          <w:tcPr>
            <w:tcW w:w="284" w:type="dxa"/>
          </w:tcPr>
          <w:p w14:paraId="7C9FDD4E" w14:textId="77777777" w:rsidR="00F137DE" w:rsidRDefault="00F137DE" w:rsidP="00F137DE">
            <w:pPr>
              <w:pStyle w:val="TableBodyText"/>
            </w:pPr>
          </w:p>
        </w:tc>
        <w:tc>
          <w:tcPr>
            <w:tcW w:w="805" w:type="dxa"/>
            <w:shd w:val="clear" w:color="auto" w:fill="auto"/>
          </w:tcPr>
          <w:p w14:paraId="1BF9FCFD" w14:textId="039CBE7A" w:rsidR="00F137DE" w:rsidRDefault="00F137DE" w:rsidP="00F137DE">
            <w:pPr>
              <w:pStyle w:val="TableBodyTextrightalign"/>
            </w:pPr>
            <w:r>
              <w:rPr>
                <w:lang w:eastAsia="en-US"/>
              </w:rPr>
              <w:fldChar w:fldCharType="begin"/>
            </w:r>
            <w:r>
              <w:rPr>
                <w:lang w:eastAsia="en-US"/>
              </w:rPr>
              <w:instrText xml:space="preserve"> PAGEREF _Ref120788315 \h </w:instrText>
            </w:r>
            <w:r>
              <w:rPr>
                <w:lang w:eastAsia="en-US"/>
              </w:rPr>
            </w:r>
            <w:r>
              <w:rPr>
                <w:lang w:eastAsia="en-US"/>
              </w:rPr>
              <w:fldChar w:fldCharType="separate"/>
            </w:r>
            <w:r w:rsidR="003E7988">
              <w:rPr>
                <w:noProof/>
                <w:lang w:eastAsia="en-US"/>
              </w:rPr>
              <w:t>89</w:t>
            </w:r>
            <w:r>
              <w:rPr>
                <w:lang w:eastAsia="en-US"/>
              </w:rPr>
              <w:fldChar w:fldCharType="end"/>
            </w:r>
          </w:p>
        </w:tc>
      </w:tr>
      <w:tr w:rsidR="00F137DE" w14:paraId="13881BD7" w14:textId="77777777" w:rsidTr="00F137DE">
        <w:tc>
          <w:tcPr>
            <w:tcW w:w="1985" w:type="dxa"/>
            <w:vMerge/>
          </w:tcPr>
          <w:p w14:paraId="0AF44312" w14:textId="77777777" w:rsidR="00F137DE" w:rsidRPr="007F47D5" w:rsidRDefault="00F137DE" w:rsidP="00F137DE">
            <w:pPr>
              <w:pStyle w:val="TableBodyText"/>
              <w:rPr>
                <w:rStyle w:val="Characterbold"/>
              </w:rPr>
            </w:pPr>
          </w:p>
        </w:tc>
        <w:tc>
          <w:tcPr>
            <w:tcW w:w="283" w:type="dxa"/>
          </w:tcPr>
          <w:p w14:paraId="57BDBE83" w14:textId="77777777" w:rsidR="00F137DE" w:rsidRPr="007F47D5" w:rsidRDefault="00F137DE" w:rsidP="00F137DE">
            <w:pPr>
              <w:pStyle w:val="TableBodyText"/>
              <w:rPr>
                <w:rStyle w:val="Characterbold"/>
              </w:rPr>
            </w:pPr>
          </w:p>
        </w:tc>
        <w:tc>
          <w:tcPr>
            <w:tcW w:w="426" w:type="dxa"/>
          </w:tcPr>
          <w:p w14:paraId="2542918A" w14:textId="77777777" w:rsidR="00F137DE" w:rsidRPr="007F47D5" w:rsidRDefault="00F137DE" w:rsidP="00F137DE">
            <w:pPr>
              <w:pStyle w:val="TableBodyText"/>
            </w:pPr>
            <w:r>
              <w:fldChar w:fldCharType="begin"/>
            </w:r>
            <w:r>
              <w:instrText xml:space="preserve"> REF _Ref120788330 \r \h  \* MERGEFORMAT </w:instrText>
            </w:r>
            <w:r>
              <w:fldChar w:fldCharType="separate"/>
            </w:r>
            <w:r>
              <w:t>7</w:t>
            </w:r>
            <w:r>
              <w:fldChar w:fldCharType="end"/>
            </w:r>
            <w:r>
              <w:t xml:space="preserve">  </w:t>
            </w:r>
          </w:p>
        </w:tc>
        <w:tc>
          <w:tcPr>
            <w:tcW w:w="5244" w:type="dxa"/>
          </w:tcPr>
          <w:p w14:paraId="05D62ED5" w14:textId="77777777" w:rsidR="00F137DE" w:rsidRPr="007F47D5" w:rsidRDefault="00F137DE" w:rsidP="00F137DE">
            <w:pPr>
              <w:pStyle w:val="TableBodyText"/>
            </w:pPr>
            <w:r>
              <w:fldChar w:fldCharType="begin"/>
            </w:r>
            <w:r>
              <w:instrText xml:space="preserve"> REF _Ref120788330 \h  \* MERGEFORMAT </w:instrText>
            </w:r>
            <w:r>
              <w:fldChar w:fldCharType="separate"/>
            </w:r>
            <w:r>
              <w:t>R</w:t>
            </w:r>
            <w:r w:rsidRPr="00022AD1">
              <w:t>isks, contingencies and valuation judg</w:t>
            </w:r>
            <w:r>
              <w:t>e</w:t>
            </w:r>
            <w:r w:rsidRPr="00022AD1">
              <w:t>ments</w:t>
            </w:r>
            <w:r>
              <w:fldChar w:fldCharType="end"/>
            </w:r>
          </w:p>
        </w:tc>
        <w:tc>
          <w:tcPr>
            <w:tcW w:w="284" w:type="dxa"/>
          </w:tcPr>
          <w:p w14:paraId="04CF50BD" w14:textId="77777777" w:rsidR="00F137DE" w:rsidRDefault="00F137DE" w:rsidP="00F137DE">
            <w:pPr>
              <w:pStyle w:val="TableBodyText"/>
            </w:pPr>
          </w:p>
        </w:tc>
        <w:tc>
          <w:tcPr>
            <w:tcW w:w="805" w:type="dxa"/>
            <w:shd w:val="clear" w:color="auto" w:fill="auto"/>
          </w:tcPr>
          <w:p w14:paraId="20590E58" w14:textId="296ABD06" w:rsidR="00F137DE" w:rsidRDefault="00F137DE" w:rsidP="00F137DE">
            <w:pPr>
              <w:pStyle w:val="TableBodyTextrightalign"/>
            </w:pPr>
            <w:r>
              <w:rPr>
                <w:lang w:eastAsia="en-US"/>
              </w:rPr>
              <w:fldChar w:fldCharType="begin"/>
            </w:r>
            <w:r>
              <w:rPr>
                <w:lang w:eastAsia="en-US"/>
              </w:rPr>
              <w:instrText xml:space="preserve"> PAGEREF _Ref120788330 \h </w:instrText>
            </w:r>
            <w:r>
              <w:rPr>
                <w:lang w:eastAsia="en-US"/>
              </w:rPr>
            </w:r>
            <w:r>
              <w:rPr>
                <w:lang w:eastAsia="en-US"/>
              </w:rPr>
              <w:fldChar w:fldCharType="separate"/>
            </w:r>
            <w:r w:rsidR="003E7988">
              <w:rPr>
                <w:noProof/>
                <w:lang w:eastAsia="en-US"/>
              </w:rPr>
              <w:t>94</w:t>
            </w:r>
            <w:r>
              <w:rPr>
                <w:lang w:eastAsia="en-US"/>
              </w:rPr>
              <w:fldChar w:fldCharType="end"/>
            </w:r>
          </w:p>
        </w:tc>
      </w:tr>
      <w:tr w:rsidR="00F137DE" w14:paraId="7A2CDD75" w14:textId="77777777" w:rsidTr="00F137DE">
        <w:tc>
          <w:tcPr>
            <w:tcW w:w="1985" w:type="dxa"/>
            <w:vMerge/>
          </w:tcPr>
          <w:p w14:paraId="67A0C0B9" w14:textId="77777777" w:rsidR="00F137DE" w:rsidRPr="007F47D5" w:rsidRDefault="00F137DE" w:rsidP="00F137DE">
            <w:pPr>
              <w:pStyle w:val="TableBodyText"/>
              <w:rPr>
                <w:rStyle w:val="Characterbold"/>
              </w:rPr>
            </w:pPr>
          </w:p>
        </w:tc>
        <w:tc>
          <w:tcPr>
            <w:tcW w:w="283" w:type="dxa"/>
          </w:tcPr>
          <w:p w14:paraId="1D0E6D33" w14:textId="77777777" w:rsidR="00F137DE" w:rsidRPr="007F47D5" w:rsidRDefault="00F137DE" w:rsidP="00F137DE">
            <w:pPr>
              <w:pStyle w:val="TableBodyText"/>
              <w:rPr>
                <w:rStyle w:val="Characterbold"/>
              </w:rPr>
            </w:pPr>
          </w:p>
        </w:tc>
        <w:tc>
          <w:tcPr>
            <w:tcW w:w="426" w:type="dxa"/>
          </w:tcPr>
          <w:p w14:paraId="4D7FF7E5" w14:textId="77777777" w:rsidR="00F137DE" w:rsidRPr="007F47D5" w:rsidRDefault="00F137DE" w:rsidP="00F137DE">
            <w:pPr>
              <w:pStyle w:val="TableBodyText"/>
            </w:pPr>
            <w:r>
              <w:fldChar w:fldCharType="begin"/>
            </w:r>
            <w:r>
              <w:instrText xml:space="preserve"> REF _Ref120788347 \r \h  \* MERGEFORMAT </w:instrText>
            </w:r>
            <w:r>
              <w:fldChar w:fldCharType="separate"/>
            </w:r>
            <w:r>
              <w:t>8</w:t>
            </w:r>
            <w:r>
              <w:fldChar w:fldCharType="end"/>
            </w:r>
            <w:r>
              <w:t xml:space="preserve">  </w:t>
            </w:r>
          </w:p>
        </w:tc>
        <w:tc>
          <w:tcPr>
            <w:tcW w:w="5244" w:type="dxa"/>
          </w:tcPr>
          <w:p w14:paraId="4155F923" w14:textId="77777777" w:rsidR="00F137DE" w:rsidRPr="007F47D5" w:rsidRDefault="00F137DE" w:rsidP="00F137DE">
            <w:pPr>
              <w:pStyle w:val="TableBodyText"/>
            </w:pPr>
            <w:r>
              <w:fldChar w:fldCharType="begin"/>
            </w:r>
            <w:r>
              <w:instrText xml:space="preserve"> REF _Ref120788347 \h  \* MERGEFORMAT </w:instrText>
            </w:r>
            <w:r>
              <w:fldChar w:fldCharType="separate"/>
            </w:r>
            <w:r>
              <w:t>Other disclosures</w:t>
            </w:r>
            <w:r>
              <w:fldChar w:fldCharType="end"/>
            </w:r>
          </w:p>
        </w:tc>
        <w:tc>
          <w:tcPr>
            <w:tcW w:w="284" w:type="dxa"/>
          </w:tcPr>
          <w:p w14:paraId="1A43919A" w14:textId="77777777" w:rsidR="00F137DE" w:rsidRDefault="00F137DE" w:rsidP="00F137DE">
            <w:pPr>
              <w:pStyle w:val="TableBodyText"/>
            </w:pPr>
          </w:p>
        </w:tc>
        <w:tc>
          <w:tcPr>
            <w:tcW w:w="805" w:type="dxa"/>
            <w:shd w:val="clear" w:color="auto" w:fill="auto"/>
          </w:tcPr>
          <w:p w14:paraId="2D358B47" w14:textId="12C2AB78" w:rsidR="00F137DE" w:rsidRDefault="00F137DE" w:rsidP="00F137DE">
            <w:pPr>
              <w:pStyle w:val="TableBodyTextrightalign"/>
            </w:pPr>
            <w:r>
              <w:rPr>
                <w:lang w:eastAsia="en-US"/>
              </w:rPr>
              <w:fldChar w:fldCharType="begin"/>
            </w:r>
            <w:r>
              <w:rPr>
                <w:lang w:eastAsia="en-US"/>
              </w:rPr>
              <w:instrText xml:space="preserve"> PAGEREF _Ref120788347 \h </w:instrText>
            </w:r>
            <w:r>
              <w:rPr>
                <w:lang w:eastAsia="en-US"/>
              </w:rPr>
            </w:r>
            <w:r>
              <w:rPr>
                <w:lang w:eastAsia="en-US"/>
              </w:rPr>
              <w:fldChar w:fldCharType="separate"/>
            </w:r>
            <w:r w:rsidR="003E7988">
              <w:rPr>
                <w:noProof/>
                <w:lang w:eastAsia="en-US"/>
              </w:rPr>
              <w:t>101</w:t>
            </w:r>
            <w:r>
              <w:rPr>
                <w:lang w:eastAsia="en-US"/>
              </w:rPr>
              <w:fldChar w:fldCharType="end"/>
            </w:r>
          </w:p>
        </w:tc>
      </w:tr>
      <w:tr w:rsidR="00F137DE" w14:paraId="22830AE8" w14:textId="77777777" w:rsidTr="00F137DE">
        <w:tc>
          <w:tcPr>
            <w:tcW w:w="1985" w:type="dxa"/>
            <w:vMerge/>
          </w:tcPr>
          <w:p w14:paraId="2638DA53" w14:textId="77777777" w:rsidR="00F137DE" w:rsidRPr="007F47D5" w:rsidRDefault="00F137DE" w:rsidP="00F137DE">
            <w:pPr>
              <w:pStyle w:val="TableBodyText"/>
              <w:rPr>
                <w:rStyle w:val="Characterbold"/>
              </w:rPr>
            </w:pPr>
          </w:p>
        </w:tc>
        <w:tc>
          <w:tcPr>
            <w:tcW w:w="283" w:type="dxa"/>
          </w:tcPr>
          <w:p w14:paraId="6E1C6FB3" w14:textId="77777777" w:rsidR="00F137DE" w:rsidRPr="007F47D5" w:rsidRDefault="00F137DE" w:rsidP="00F137DE">
            <w:pPr>
              <w:pStyle w:val="TableBodyText"/>
              <w:rPr>
                <w:rStyle w:val="Characterbold"/>
              </w:rPr>
            </w:pPr>
          </w:p>
        </w:tc>
        <w:tc>
          <w:tcPr>
            <w:tcW w:w="426" w:type="dxa"/>
          </w:tcPr>
          <w:p w14:paraId="53F62627" w14:textId="77777777" w:rsidR="00F137DE" w:rsidRPr="007F47D5" w:rsidRDefault="00F137DE" w:rsidP="00F137DE">
            <w:pPr>
              <w:pStyle w:val="TableBodyText"/>
            </w:pPr>
            <w:r>
              <w:fldChar w:fldCharType="begin"/>
            </w:r>
            <w:r>
              <w:instrText xml:space="preserve"> REF _Ref120788376 \r \h  \* MERGEFORMAT </w:instrText>
            </w:r>
            <w:r>
              <w:fldChar w:fldCharType="separate"/>
            </w:r>
            <w:r>
              <w:t>9</w:t>
            </w:r>
            <w:r>
              <w:fldChar w:fldCharType="end"/>
            </w:r>
            <w:r>
              <w:t xml:space="preserve">  </w:t>
            </w:r>
          </w:p>
        </w:tc>
        <w:tc>
          <w:tcPr>
            <w:tcW w:w="5244" w:type="dxa"/>
          </w:tcPr>
          <w:p w14:paraId="25229763" w14:textId="77777777" w:rsidR="00F137DE" w:rsidRPr="007F47D5" w:rsidRDefault="00F137DE" w:rsidP="00F137DE">
            <w:pPr>
              <w:pStyle w:val="TableBodyText"/>
            </w:pPr>
            <w:r>
              <w:fldChar w:fldCharType="begin"/>
            </w:r>
            <w:r>
              <w:instrText xml:space="preserve"> REF _Ref120788376 \h  \* MERGEFORMAT </w:instrText>
            </w:r>
            <w:r>
              <w:fldChar w:fldCharType="separate"/>
            </w:r>
            <w:r w:rsidRPr="00961EBF">
              <w:t>Glossary of technical terms</w:t>
            </w:r>
            <w:r>
              <w:fldChar w:fldCharType="end"/>
            </w:r>
          </w:p>
        </w:tc>
        <w:tc>
          <w:tcPr>
            <w:tcW w:w="284" w:type="dxa"/>
          </w:tcPr>
          <w:p w14:paraId="3B16760D" w14:textId="77777777" w:rsidR="00F137DE" w:rsidRDefault="00F137DE" w:rsidP="00F137DE">
            <w:pPr>
              <w:pStyle w:val="TableBodyText"/>
            </w:pPr>
          </w:p>
        </w:tc>
        <w:tc>
          <w:tcPr>
            <w:tcW w:w="805" w:type="dxa"/>
            <w:shd w:val="clear" w:color="auto" w:fill="auto"/>
          </w:tcPr>
          <w:p w14:paraId="67BB9654" w14:textId="47E228DD" w:rsidR="00F137DE" w:rsidRDefault="00F137DE" w:rsidP="00F137DE">
            <w:pPr>
              <w:pStyle w:val="TableBodyTextrightalign"/>
            </w:pPr>
            <w:r>
              <w:rPr>
                <w:lang w:eastAsia="en-US"/>
              </w:rPr>
              <w:fldChar w:fldCharType="begin"/>
            </w:r>
            <w:r>
              <w:rPr>
                <w:lang w:eastAsia="en-US"/>
              </w:rPr>
              <w:instrText xml:space="preserve"> PAGEREF _Ref120788376 \h </w:instrText>
            </w:r>
            <w:r>
              <w:rPr>
                <w:lang w:eastAsia="en-US"/>
              </w:rPr>
            </w:r>
            <w:r>
              <w:rPr>
                <w:lang w:eastAsia="en-US"/>
              </w:rPr>
              <w:fldChar w:fldCharType="separate"/>
            </w:r>
            <w:r w:rsidR="003E7988">
              <w:rPr>
                <w:noProof/>
                <w:lang w:eastAsia="en-US"/>
              </w:rPr>
              <w:t>108</w:t>
            </w:r>
            <w:r>
              <w:rPr>
                <w:lang w:eastAsia="en-US"/>
              </w:rPr>
              <w:fldChar w:fldCharType="end"/>
            </w:r>
          </w:p>
        </w:tc>
      </w:tr>
      <w:tr w:rsidR="00F137DE" w14:paraId="0D102B94" w14:textId="77777777" w:rsidTr="00F137DE">
        <w:tc>
          <w:tcPr>
            <w:tcW w:w="1985" w:type="dxa"/>
            <w:vMerge/>
          </w:tcPr>
          <w:p w14:paraId="18461976" w14:textId="77777777" w:rsidR="00F137DE" w:rsidRPr="007F47D5" w:rsidRDefault="00F137DE" w:rsidP="00F137DE">
            <w:pPr>
              <w:pStyle w:val="TableBodyText"/>
              <w:rPr>
                <w:rStyle w:val="Characterbold"/>
              </w:rPr>
            </w:pPr>
          </w:p>
        </w:tc>
        <w:tc>
          <w:tcPr>
            <w:tcW w:w="283" w:type="dxa"/>
          </w:tcPr>
          <w:p w14:paraId="544B79AA" w14:textId="77777777" w:rsidR="00F137DE" w:rsidRPr="007F47D5" w:rsidRDefault="00F137DE" w:rsidP="00F137DE">
            <w:pPr>
              <w:pStyle w:val="TableBodyText"/>
              <w:rPr>
                <w:rStyle w:val="Characterbold"/>
              </w:rPr>
            </w:pPr>
          </w:p>
        </w:tc>
        <w:tc>
          <w:tcPr>
            <w:tcW w:w="426" w:type="dxa"/>
          </w:tcPr>
          <w:p w14:paraId="6E8758A1" w14:textId="77777777" w:rsidR="00F137DE" w:rsidRPr="007F47D5" w:rsidRDefault="00F137DE" w:rsidP="00F137DE">
            <w:pPr>
              <w:pStyle w:val="TableBodyText"/>
            </w:pPr>
            <w:r>
              <w:fldChar w:fldCharType="begin"/>
            </w:r>
            <w:r>
              <w:instrText xml:space="preserve"> REF _Ref120788391 \r \h  \* MERGEFORMAT </w:instrText>
            </w:r>
            <w:r>
              <w:fldChar w:fldCharType="separate"/>
            </w:r>
            <w:r>
              <w:t>10</w:t>
            </w:r>
            <w:r>
              <w:fldChar w:fldCharType="end"/>
            </w:r>
            <w:r>
              <w:t xml:space="preserve">  </w:t>
            </w:r>
          </w:p>
        </w:tc>
        <w:tc>
          <w:tcPr>
            <w:tcW w:w="5244" w:type="dxa"/>
          </w:tcPr>
          <w:p w14:paraId="59600B94" w14:textId="77777777" w:rsidR="00F137DE" w:rsidRPr="007F47D5" w:rsidRDefault="00F137DE" w:rsidP="00F137DE">
            <w:pPr>
              <w:pStyle w:val="TableBodyText"/>
            </w:pPr>
            <w:r>
              <w:fldChar w:fldCharType="begin"/>
            </w:r>
            <w:r>
              <w:instrText xml:space="preserve"> REF _Ref120788391 \h  \* MERGEFORMAT </w:instrText>
            </w:r>
            <w:r>
              <w:fldChar w:fldCharType="separate"/>
            </w:r>
            <w:r w:rsidRPr="0063008B">
              <w:t>Style conventions</w:t>
            </w:r>
            <w:r>
              <w:fldChar w:fldCharType="end"/>
            </w:r>
          </w:p>
        </w:tc>
        <w:tc>
          <w:tcPr>
            <w:tcW w:w="284" w:type="dxa"/>
          </w:tcPr>
          <w:p w14:paraId="54A9069B" w14:textId="77777777" w:rsidR="00F137DE" w:rsidRDefault="00F137DE" w:rsidP="00F137DE">
            <w:pPr>
              <w:pStyle w:val="TableBodyText"/>
            </w:pPr>
          </w:p>
        </w:tc>
        <w:tc>
          <w:tcPr>
            <w:tcW w:w="805" w:type="dxa"/>
            <w:shd w:val="clear" w:color="auto" w:fill="auto"/>
          </w:tcPr>
          <w:p w14:paraId="736F39FA" w14:textId="58C3A42E" w:rsidR="00F137DE" w:rsidRDefault="00F137DE" w:rsidP="00F137DE">
            <w:pPr>
              <w:pStyle w:val="TableBodyTextrightalign"/>
            </w:pPr>
            <w:r>
              <w:rPr>
                <w:lang w:eastAsia="en-US"/>
              </w:rPr>
              <w:fldChar w:fldCharType="begin"/>
            </w:r>
            <w:r>
              <w:rPr>
                <w:lang w:eastAsia="en-US"/>
              </w:rPr>
              <w:instrText xml:space="preserve"> PAGEREF _Ref120788391 \h </w:instrText>
            </w:r>
            <w:r>
              <w:rPr>
                <w:lang w:eastAsia="en-US"/>
              </w:rPr>
            </w:r>
            <w:r>
              <w:rPr>
                <w:lang w:eastAsia="en-US"/>
              </w:rPr>
              <w:fldChar w:fldCharType="separate"/>
            </w:r>
            <w:r w:rsidR="003E7988">
              <w:rPr>
                <w:noProof/>
                <w:lang w:eastAsia="en-US"/>
              </w:rPr>
              <w:t>110</w:t>
            </w:r>
            <w:r>
              <w:rPr>
                <w:lang w:eastAsia="en-US"/>
              </w:rPr>
              <w:fldChar w:fldCharType="end"/>
            </w:r>
          </w:p>
        </w:tc>
      </w:tr>
    </w:tbl>
    <w:p w14:paraId="406474B4" w14:textId="77777777" w:rsidR="0058789F" w:rsidRDefault="0058789F" w:rsidP="0058789F">
      <w:pPr>
        <w:pStyle w:val="BodyText"/>
      </w:pPr>
      <w:r>
        <w:br w:type="page"/>
      </w:r>
    </w:p>
    <w:p w14:paraId="68DDF01C" w14:textId="77777777" w:rsidR="0058789F" w:rsidRDefault="0058789F" w:rsidP="0058789F">
      <w:pPr>
        <w:pStyle w:val="Caption"/>
      </w:pPr>
      <w:bookmarkStart w:id="156" w:name="_Ref120787915"/>
      <w:r w:rsidRPr="00796128">
        <w:t>Comprehensive operating statement for the financial year ended 30 June 202</w:t>
      </w:r>
      <w:r>
        <w:t>3</w:t>
      </w:r>
      <w:r w:rsidRPr="00DE7357">
        <w:rPr>
          <w:rStyle w:val="Charactersuperscript"/>
        </w:rPr>
        <w:t>(a)</w:t>
      </w:r>
      <w:bookmarkEnd w:id="156"/>
    </w:p>
    <w:tbl>
      <w:tblPr>
        <w:tblStyle w:val="CustomTabledetailed"/>
        <w:tblW w:w="5000" w:type="pct"/>
        <w:tblLook w:val="0660" w:firstRow="1" w:lastRow="1" w:firstColumn="0" w:lastColumn="0" w:noHBand="1" w:noVBand="1"/>
      </w:tblPr>
      <w:tblGrid>
        <w:gridCol w:w="4715"/>
        <w:gridCol w:w="1632"/>
        <w:gridCol w:w="1340"/>
        <w:gridCol w:w="1340"/>
      </w:tblGrid>
      <w:tr w:rsidR="0058789F" w:rsidRPr="00C914FE" w14:paraId="291F7E8D" w14:textId="77777777" w:rsidTr="00AD1066">
        <w:trPr>
          <w:cnfStyle w:val="100000000000" w:firstRow="1" w:lastRow="0" w:firstColumn="0" w:lastColumn="0" w:oddVBand="0" w:evenVBand="0" w:oddHBand="0" w:evenHBand="0" w:firstRowFirstColumn="0" w:firstRowLastColumn="0" w:lastRowFirstColumn="0" w:lastRowLastColumn="0"/>
          <w:trHeight w:val="300"/>
        </w:trPr>
        <w:tc>
          <w:tcPr>
            <w:tcW w:w="0" w:type="pct"/>
            <w:noWrap/>
            <w:hideMark/>
          </w:tcPr>
          <w:p w14:paraId="25515065" w14:textId="77777777" w:rsidR="0058789F" w:rsidRPr="00C914FE" w:rsidRDefault="0058789F" w:rsidP="00AD1066">
            <w:pPr>
              <w:pStyle w:val="TableHeading1"/>
            </w:pPr>
          </w:p>
        </w:tc>
        <w:tc>
          <w:tcPr>
            <w:tcW w:w="0" w:type="pct"/>
            <w:noWrap/>
            <w:hideMark/>
          </w:tcPr>
          <w:p w14:paraId="3B85ED96" w14:textId="77777777" w:rsidR="0058789F" w:rsidRPr="00C914FE" w:rsidRDefault="0058789F" w:rsidP="00AD1066">
            <w:pPr>
              <w:pStyle w:val="TableHeading1"/>
            </w:pPr>
            <w:r w:rsidRPr="00C914FE">
              <w:t>Note</w:t>
            </w:r>
            <w:r>
              <w:t>s</w:t>
            </w:r>
          </w:p>
        </w:tc>
        <w:tc>
          <w:tcPr>
            <w:tcW w:w="0" w:type="pct"/>
            <w:noWrap/>
            <w:hideMark/>
          </w:tcPr>
          <w:p w14:paraId="1BF8647E" w14:textId="77777777" w:rsidR="0058789F" w:rsidRDefault="0058789F" w:rsidP="00AD1066">
            <w:pPr>
              <w:pStyle w:val="TableHeading3rightalign"/>
            </w:pPr>
            <w:r w:rsidRPr="00C914FE">
              <w:t>202</w:t>
            </w:r>
            <w:r>
              <w:t>3</w:t>
            </w:r>
          </w:p>
          <w:p w14:paraId="2333F6D0" w14:textId="77777777" w:rsidR="0058789F" w:rsidRPr="00C914FE" w:rsidRDefault="0058789F" w:rsidP="00AD1066">
            <w:pPr>
              <w:pStyle w:val="TableHeading3rightalign"/>
            </w:pPr>
            <w:r>
              <w:t>(</w:t>
            </w:r>
            <w:r w:rsidRPr="009A2E1F">
              <w:t>$’000</w:t>
            </w:r>
            <w:r>
              <w:t>)</w:t>
            </w:r>
          </w:p>
        </w:tc>
        <w:tc>
          <w:tcPr>
            <w:tcW w:w="0" w:type="pct"/>
            <w:noWrap/>
            <w:hideMark/>
          </w:tcPr>
          <w:p w14:paraId="1B905684" w14:textId="77777777" w:rsidR="0058789F" w:rsidRDefault="0058789F" w:rsidP="00AD1066">
            <w:pPr>
              <w:pStyle w:val="TableHeading3rightalign"/>
            </w:pPr>
            <w:r w:rsidRPr="00C914FE">
              <w:t>202</w:t>
            </w:r>
            <w:r>
              <w:t>2</w:t>
            </w:r>
          </w:p>
          <w:p w14:paraId="0B53CE56" w14:textId="77777777" w:rsidR="0058789F" w:rsidRPr="00C914FE" w:rsidRDefault="0058789F" w:rsidP="00AD1066">
            <w:pPr>
              <w:pStyle w:val="TableHeading3rightalign"/>
            </w:pPr>
            <w:r>
              <w:t>(</w:t>
            </w:r>
            <w:r w:rsidRPr="009A2E1F">
              <w:t>$’000</w:t>
            </w:r>
            <w:r>
              <w:t>)</w:t>
            </w:r>
          </w:p>
        </w:tc>
      </w:tr>
      <w:tr w:rsidR="0058789F" w:rsidRPr="009A2E1F" w14:paraId="0D833353" w14:textId="77777777" w:rsidTr="00AD1066">
        <w:trPr>
          <w:trHeight w:val="300"/>
        </w:trPr>
        <w:tc>
          <w:tcPr>
            <w:tcW w:w="0" w:type="pct"/>
            <w:gridSpan w:val="4"/>
            <w:noWrap/>
          </w:tcPr>
          <w:p w14:paraId="3846C1BD" w14:textId="77777777" w:rsidR="0058789F" w:rsidRPr="009A2E1F" w:rsidRDefault="0058789F" w:rsidP="00AD1066">
            <w:pPr>
              <w:pStyle w:val="TableBodyTextsmall"/>
            </w:pPr>
          </w:p>
        </w:tc>
      </w:tr>
      <w:tr w:rsidR="0058789F" w:rsidRPr="009A2E1F" w14:paraId="344252BD" w14:textId="77777777" w:rsidTr="00AD1066">
        <w:trPr>
          <w:trHeight w:val="300"/>
        </w:trPr>
        <w:tc>
          <w:tcPr>
            <w:tcW w:w="0" w:type="pct"/>
            <w:gridSpan w:val="4"/>
            <w:noWrap/>
            <w:hideMark/>
          </w:tcPr>
          <w:p w14:paraId="7D54AB73" w14:textId="77777777" w:rsidR="0058789F" w:rsidRPr="009A2E1F" w:rsidRDefault="0058789F" w:rsidP="00AD1066">
            <w:pPr>
              <w:pStyle w:val="TableHeading1"/>
            </w:pPr>
            <w:r w:rsidRPr="009A2E1F">
              <w:t>Income from transactions</w:t>
            </w:r>
          </w:p>
        </w:tc>
      </w:tr>
      <w:tr w:rsidR="0058789F" w:rsidRPr="009A2E1F" w14:paraId="75E49B2F" w14:textId="77777777" w:rsidTr="00AD1066">
        <w:trPr>
          <w:trHeight w:val="300"/>
        </w:trPr>
        <w:tc>
          <w:tcPr>
            <w:tcW w:w="0" w:type="pct"/>
            <w:noWrap/>
          </w:tcPr>
          <w:p w14:paraId="6F6CEF27" w14:textId="77777777" w:rsidR="0058789F" w:rsidRPr="008D3CF9" w:rsidRDefault="0058789F" w:rsidP="00AD1066">
            <w:pPr>
              <w:pStyle w:val="TableBodyText"/>
            </w:pPr>
            <w:r w:rsidRPr="008D3CF9">
              <w:t>Output appropriation</w:t>
            </w:r>
          </w:p>
        </w:tc>
        <w:tc>
          <w:tcPr>
            <w:tcW w:w="0" w:type="pct"/>
            <w:noWrap/>
          </w:tcPr>
          <w:p w14:paraId="411FAAD9" w14:textId="77777777" w:rsidR="0058789F" w:rsidRPr="009A2E1F" w:rsidRDefault="0058789F" w:rsidP="00AD1066">
            <w:pPr>
              <w:pStyle w:val="TableBodyText"/>
            </w:pPr>
            <w:r>
              <w:fldChar w:fldCharType="begin"/>
            </w:r>
            <w:r>
              <w:instrText xml:space="preserve"> REF _Ref82070584 \r \h  \* MERGEFORMAT </w:instrText>
            </w:r>
            <w:r>
              <w:fldChar w:fldCharType="separate"/>
            </w:r>
            <w:r>
              <w:t>2.1</w:t>
            </w:r>
            <w:r>
              <w:fldChar w:fldCharType="end"/>
            </w:r>
          </w:p>
        </w:tc>
        <w:tc>
          <w:tcPr>
            <w:tcW w:w="0" w:type="pct"/>
            <w:shd w:val="clear" w:color="auto" w:fill="F2F2F2" w:themeFill="background1" w:themeFillShade="F2"/>
            <w:noWrap/>
          </w:tcPr>
          <w:p w14:paraId="76EA0E16" w14:textId="77777777" w:rsidR="0058789F" w:rsidRPr="00B14E81" w:rsidRDefault="0058789F" w:rsidP="00AD1066">
            <w:pPr>
              <w:pStyle w:val="TableBodyTextrightalign"/>
            </w:pPr>
            <w:r>
              <w:t>59,027</w:t>
            </w:r>
          </w:p>
        </w:tc>
        <w:tc>
          <w:tcPr>
            <w:tcW w:w="0" w:type="pct"/>
            <w:noWrap/>
          </w:tcPr>
          <w:p w14:paraId="0C2B583C" w14:textId="77777777" w:rsidR="0058789F" w:rsidRPr="00B14E81" w:rsidRDefault="0058789F" w:rsidP="00AD1066">
            <w:pPr>
              <w:pStyle w:val="TableBodyTextrightalign"/>
            </w:pPr>
            <w:r w:rsidRPr="00B14E81">
              <w:t>53,598</w:t>
            </w:r>
          </w:p>
        </w:tc>
      </w:tr>
      <w:tr w:rsidR="0058789F" w:rsidRPr="00A3465C" w14:paraId="1D6F90CE" w14:textId="77777777" w:rsidTr="00AD1066">
        <w:trPr>
          <w:trHeight w:val="300"/>
        </w:trPr>
        <w:tc>
          <w:tcPr>
            <w:tcW w:w="0" w:type="pct"/>
            <w:tcBorders>
              <w:top w:val="dotted" w:sz="4" w:space="0" w:color="auto"/>
              <w:bottom w:val="single" w:sz="4" w:space="0" w:color="auto"/>
            </w:tcBorders>
            <w:noWrap/>
            <w:hideMark/>
          </w:tcPr>
          <w:p w14:paraId="5E224C6A" w14:textId="77777777" w:rsidR="0058789F" w:rsidRPr="0024620F" w:rsidRDefault="0058789F" w:rsidP="00AD1066">
            <w:pPr>
              <w:pStyle w:val="TableBodyText"/>
              <w:rPr>
                <w:rStyle w:val="Characterbold"/>
              </w:rPr>
            </w:pPr>
            <w:r w:rsidRPr="0024620F">
              <w:rPr>
                <w:rStyle w:val="Characterbold"/>
              </w:rPr>
              <w:t>Total income from transactions</w:t>
            </w:r>
          </w:p>
        </w:tc>
        <w:tc>
          <w:tcPr>
            <w:tcW w:w="0" w:type="pct"/>
            <w:tcBorders>
              <w:top w:val="dotted" w:sz="4" w:space="0" w:color="auto"/>
              <w:bottom w:val="single" w:sz="4" w:space="0" w:color="auto"/>
            </w:tcBorders>
            <w:noWrap/>
            <w:hideMark/>
          </w:tcPr>
          <w:p w14:paraId="64DA5F8A" w14:textId="77777777" w:rsidR="0058789F" w:rsidRPr="0024620F" w:rsidRDefault="0058789F" w:rsidP="00AD1066">
            <w:pPr>
              <w:pStyle w:val="TableBodyTextrightalign"/>
              <w:rPr>
                <w:rStyle w:val="Characterbold"/>
              </w:rPr>
            </w:pPr>
          </w:p>
        </w:tc>
        <w:tc>
          <w:tcPr>
            <w:tcW w:w="0" w:type="pct"/>
            <w:tcBorders>
              <w:top w:val="dotted" w:sz="4" w:space="0" w:color="auto"/>
              <w:bottom w:val="single" w:sz="4" w:space="0" w:color="auto"/>
            </w:tcBorders>
            <w:shd w:val="clear" w:color="auto" w:fill="F2F2F2" w:themeFill="background1" w:themeFillShade="F2"/>
            <w:noWrap/>
          </w:tcPr>
          <w:p w14:paraId="28901397" w14:textId="77777777" w:rsidR="0058789F" w:rsidRPr="00AD5B69" w:rsidRDefault="0058789F" w:rsidP="00AD1066">
            <w:pPr>
              <w:pStyle w:val="TableBodyTextrightalign"/>
              <w:rPr>
                <w:rStyle w:val="Characterbold"/>
                <w:b w:val="0"/>
                <w:bCs w:val="0"/>
              </w:rPr>
            </w:pPr>
            <w:r>
              <w:rPr>
                <w:rStyle w:val="Characterbold"/>
                <w:bCs w:val="0"/>
              </w:rPr>
              <w:t>5</w:t>
            </w:r>
            <w:r>
              <w:rPr>
                <w:rStyle w:val="Characterbold"/>
              </w:rPr>
              <w:t>9,027</w:t>
            </w:r>
          </w:p>
        </w:tc>
        <w:tc>
          <w:tcPr>
            <w:tcW w:w="0" w:type="pct"/>
            <w:tcBorders>
              <w:top w:val="dotted" w:sz="4" w:space="0" w:color="auto"/>
              <w:bottom w:val="single" w:sz="4" w:space="0" w:color="auto"/>
            </w:tcBorders>
            <w:noWrap/>
            <w:hideMark/>
          </w:tcPr>
          <w:p w14:paraId="3A4C5542" w14:textId="77777777" w:rsidR="0058789F" w:rsidRPr="0024620F" w:rsidRDefault="0058789F" w:rsidP="00AD1066">
            <w:pPr>
              <w:pStyle w:val="TableBodyTextrightalign"/>
              <w:rPr>
                <w:rStyle w:val="Characterbold"/>
              </w:rPr>
            </w:pPr>
            <w:r>
              <w:rPr>
                <w:rStyle w:val="Characterbold"/>
              </w:rPr>
              <w:t>53,598</w:t>
            </w:r>
          </w:p>
        </w:tc>
      </w:tr>
      <w:tr w:rsidR="0058789F" w:rsidRPr="009A2E1F" w14:paraId="6038326A" w14:textId="77777777" w:rsidTr="00AD1066">
        <w:trPr>
          <w:trHeight w:val="300"/>
        </w:trPr>
        <w:tc>
          <w:tcPr>
            <w:tcW w:w="0" w:type="pct"/>
            <w:gridSpan w:val="4"/>
            <w:tcBorders>
              <w:top w:val="single" w:sz="4" w:space="0" w:color="auto"/>
            </w:tcBorders>
            <w:noWrap/>
            <w:hideMark/>
          </w:tcPr>
          <w:p w14:paraId="5C1301C8" w14:textId="77777777" w:rsidR="0058789F" w:rsidRPr="009A2E1F" w:rsidRDefault="0058789F" w:rsidP="00AD1066">
            <w:pPr>
              <w:pStyle w:val="TableBodyTextsmall"/>
            </w:pPr>
          </w:p>
        </w:tc>
      </w:tr>
      <w:tr w:rsidR="0058789F" w:rsidRPr="009A2E1F" w14:paraId="147DBC54" w14:textId="77777777" w:rsidTr="00AD1066">
        <w:trPr>
          <w:trHeight w:val="300"/>
        </w:trPr>
        <w:tc>
          <w:tcPr>
            <w:tcW w:w="0" w:type="pct"/>
            <w:gridSpan w:val="4"/>
            <w:noWrap/>
            <w:hideMark/>
          </w:tcPr>
          <w:p w14:paraId="66F307C3" w14:textId="77777777" w:rsidR="0058789F" w:rsidRPr="004D6620" w:rsidRDefault="0058789F" w:rsidP="00AD1066">
            <w:pPr>
              <w:pStyle w:val="TableHeading1"/>
            </w:pPr>
            <w:bookmarkStart w:id="157" w:name="_Hlk78972218"/>
            <w:r w:rsidRPr="004D6620">
              <w:t>Expenses from transactions</w:t>
            </w:r>
          </w:p>
        </w:tc>
      </w:tr>
      <w:bookmarkEnd w:id="157"/>
      <w:tr w:rsidR="0058789F" w:rsidRPr="009A2E1F" w14:paraId="1B179BD4" w14:textId="77777777" w:rsidTr="00AD1066">
        <w:trPr>
          <w:trHeight w:val="300"/>
        </w:trPr>
        <w:tc>
          <w:tcPr>
            <w:tcW w:w="0" w:type="pct"/>
            <w:noWrap/>
            <w:hideMark/>
          </w:tcPr>
          <w:p w14:paraId="36AE98FD" w14:textId="77777777" w:rsidR="0058789F" w:rsidRPr="009A2E1F" w:rsidRDefault="0058789F" w:rsidP="00AD1066">
            <w:pPr>
              <w:pStyle w:val="TableBodyText"/>
            </w:pPr>
            <w:r w:rsidRPr="009A2E1F">
              <w:t>Employee expenses</w:t>
            </w:r>
          </w:p>
        </w:tc>
        <w:tc>
          <w:tcPr>
            <w:tcW w:w="0" w:type="pct"/>
            <w:noWrap/>
            <w:hideMark/>
          </w:tcPr>
          <w:p w14:paraId="632FFDC5" w14:textId="77777777" w:rsidR="0058789F" w:rsidRPr="009A2E1F" w:rsidRDefault="0058789F" w:rsidP="00AD1066">
            <w:pPr>
              <w:pStyle w:val="TableBodyText"/>
            </w:pPr>
            <w:r>
              <w:fldChar w:fldCharType="begin"/>
            </w:r>
            <w:r>
              <w:instrText xml:space="preserve"> REF _Ref82070610 \r \h  \* MERGEFORMAT </w:instrText>
            </w:r>
            <w:r>
              <w:fldChar w:fldCharType="separate"/>
            </w:r>
            <w:r>
              <w:t>3.1</w:t>
            </w:r>
            <w:r>
              <w:fldChar w:fldCharType="end"/>
            </w:r>
            <w:r>
              <w:t>.1</w:t>
            </w:r>
          </w:p>
        </w:tc>
        <w:tc>
          <w:tcPr>
            <w:tcW w:w="0" w:type="pct"/>
            <w:shd w:val="clear" w:color="auto" w:fill="F2F2F2" w:themeFill="background1" w:themeFillShade="F2"/>
            <w:noWrap/>
          </w:tcPr>
          <w:p w14:paraId="432762EE" w14:textId="77777777" w:rsidR="0058789F" w:rsidRPr="00CD40B2" w:rsidRDefault="0058789F" w:rsidP="00AD1066">
            <w:pPr>
              <w:pStyle w:val="TableBodyTextrightalign"/>
              <w:rPr>
                <w:rStyle w:val="Characterbold"/>
                <w:bCs w:val="0"/>
              </w:rPr>
            </w:pPr>
            <w:r w:rsidRPr="00CD40B2">
              <w:rPr>
                <w:bCs w:val="0"/>
              </w:rPr>
              <w:t>38,837</w:t>
            </w:r>
          </w:p>
        </w:tc>
        <w:tc>
          <w:tcPr>
            <w:tcW w:w="0" w:type="pct"/>
            <w:noWrap/>
            <w:hideMark/>
          </w:tcPr>
          <w:p w14:paraId="590B21AC" w14:textId="77777777" w:rsidR="0058789F" w:rsidRPr="00B14E81" w:rsidRDefault="0058789F" w:rsidP="00AD1066">
            <w:pPr>
              <w:pStyle w:val="TableBodyTextrightalign"/>
            </w:pPr>
            <w:r w:rsidRPr="00B14E81">
              <w:t>35,762</w:t>
            </w:r>
          </w:p>
        </w:tc>
      </w:tr>
      <w:tr w:rsidR="0058789F" w:rsidRPr="009A2E1F" w14:paraId="11779E7B" w14:textId="77777777" w:rsidTr="00AD1066">
        <w:trPr>
          <w:trHeight w:val="300"/>
        </w:trPr>
        <w:tc>
          <w:tcPr>
            <w:tcW w:w="0" w:type="pct"/>
            <w:noWrap/>
            <w:hideMark/>
          </w:tcPr>
          <w:p w14:paraId="73C1CD68" w14:textId="77777777" w:rsidR="0058789F" w:rsidRPr="009A2E1F" w:rsidRDefault="0058789F" w:rsidP="00AD1066">
            <w:pPr>
              <w:pStyle w:val="TableBodyText"/>
            </w:pPr>
            <w:r w:rsidRPr="009A2E1F">
              <w:t>Depreciation and amortisation</w:t>
            </w:r>
          </w:p>
        </w:tc>
        <w:tc>
          <w:tcPr>
            <w:tcW w:w="0" w:type="pct"/>
            <w:noWrap/>
            <w:hideMark/>
          </w:tcPr>
          <w:p w14:paraId="6CF2143A" w14:textId="77777777" w:rsidR="0058789F" w:rsidRPr="009A2E1F" w:rsidRDefault="0058789F" w:rsidP="00AD1066">
            <w:pPr>
              <w:pStyle w:val="TableBodyText"/>
            </w:pPr>
            <w:r>
              <w:t>4.1.2</w:t>
            </w:r>
          </w:p>
        </w:tc>
        <w:tc>
          <w:tcPr>
            <w:tcW w:w="0" w:type="pct"/>
            <w:shd w:val="clear" w:color="auto" w:fill="F2F2F2" w:themeFill="background1" w:themeFillShade="F2"/>
            <w:noWrap/>
          </w:tcPr>
          <w:p w14:paraId="1DFEE23E" w14:textId="77777777" w:rsidR="0058789F" w:rsidRPr="00CD40B2" w:rsidRDefault="0058789F" w:rsidP="00AD1066">
            <w:pPr>
              <w:pStyle w:val="TableBodyTextrightalign"/>
              <w:rPr>
                <w:rStyle w:val="Characterbold"/>
                <w:bCs w:val="0"/>
              </w:rPr>
            </w:pPr>
            <w:r w:rsidRPr="00CD40B2">
              <w:rPr>
                <w:bCs w:val="0"/>
              </w:rPr>
              <w:t>5,087</w:t>
            </w:r>
          </w:p>
        </w:tc>
        <w:tc>
          <w:tcPr>
            <w:tcW w:w="0" w:type="pct"/>
            <w:noWrap/>
            <w:hideMark/>
          </w:tcPr>
          <w:p w14:paraId="563A3106" w14:textId="77777777" w:rsidR="0058789F" w:rsidRPr="00B14E81" w:rsidRDefault="0058789F" w:rsidP="00AD1066">
            <w:pPr>
              <w:pStyle w:val="TableBodyTextrightalign"/>
            </w:pPr>
            <w:r w:rsidRPr="00B14E81">
              <w:t>5,286</w:t>
            </w:r>
          </w:p>
        </w:tc>
      </w:tr>
      <w:tr w:rsidR="0058789F" w:rsidRPr="009A2E1F" w14:paraId="5814F3B4" w14:textId="77777777" w:rsidTr="00AD1066">
        <w:trPr>
          <w:trHeight w:val="300"/>
        </w:trPr>
        <w:tc>
          <w:tcPr>
            <w:tcW w:w="0" w:type="pct"/>
            <w:noWrap/>
            <w:hideMark/>
          </w:tcPr>
          <w:p w14:paraId="35078C5B" w14:textId="77777777" w:rsidR="0058789F" w:rsidRPr="009A2E1F" w:rsidRDefault="0058789F" w:rsidP="00AD1066">
            <w:pPr>
              <w:pStyle w:val="TableBodyText"/>
            </w:pPr>
            <w:r w:rsidRPr="009A2E1F">
              <w:t>Interest expense</w:t>
            </w:r>
          </w:p>
        </w:tc>
        <w:tc>
          <w:tcPr>
            <w:tcW w:w="0" w:type="pct"/>
            <w:noWrap/>
            <w:hideMark/>
          </w:tcPr>
          <w:p w14:paraId="7DA05752" w14:textId="77777777" w:rsidR="0058789F" w:rsidRPr="009A2E1F" w:rsidRDefault="0058789F" w:rsidP="00AD1066">
            <w:pPr>
              <w:pStyle w:val="TableBodyText"/>
            </w:pPr>
            <w:r>
              <w:fldChar w:fldCharType="begin"/>
            </w:r>
            <w:r>
              <w:instrText xml:space="preserve"> REF _Ref82070639 \r \h  \* MERGEFORMAT </w:instrText>
            </w:r>
            <w:r>
              <w:fldChar w:fldCharType="separate"/>
            </w:r>
            <w:r>
              <w:t>6.1.3</w:t>
            </w:r>
            <w:r>
              <w:fldChar w:fldCharType="end"/>
            </w:r>
            <w:r w:rsidRPr="009A2E1F">
              <w:t xml:space="preserve">, </w:t>
            </w:r>
            <w:r>
              <w:fldChar w:fldCharType="begin"/>
            </w:r>
            <w:r>
              <w:instrText xml:space="preserve"> REF _Ref82070654 \r \h  \* MERGEFORMAT </w:instrText>
            </w:r>
            <w:r>
              <w:fldChar w:fldCharType="separate"/>
            </w:r>
            <w:r>
              <w:t>7.1.1</w:t>
            </w:r>
            <w:r>
              <w:fldChar w:fldCharType="end"/>
            </w:r>
          </w:p>
        </w:tc>
        <w:tc>
          <w:tcPr>
            <w:tcW w:w="0" w:type="pct"/>
            <w:shd w:val="clear" w:color="auto" w:fill="F2F2F2" w:themeFill="background1" w:themeFillShade="F2"/>
            <w:noWrap/>
          </w:tcPr>
          <w:p w14:paraId="0B42E3F2" w14:textId="77777777" w:rsidR="0058789F" w:rsidRPr="00CD40B2" w:rsidRDefault="0058789F" w:rsidP="00AD1066">
            <w:pPr>
              <w:pStyle w:val="TableBodyTextrightalign"/>
              <w:rPr>
                <w:rStyle w:val="Characterbold"/>
                <w:bCs w:val="0"/>
              </w:rPr>
            </w:pPr>
            <w:r w:rsidRPr="00CD40B2">
              <w:rPr>
                <w:bCs w:val="0"/>
              </w:rPr>
              <w:t>349</w:t>
            </w:r>
          </w:p>
        </w:tc>
        <w:tc>
          <w:tcPr>
            <w:tcW w:w="0" w:type="pct"/>
            <w:noWrap/>
            <w:hideMark/>
          </w:tcPr>
          <w:p w14:paraId="202F77D5" w14:textId="77777777" w:rsidR="0058789F" w:rsidRPr="00B14E81" w:rsidRDefault="0058789F" w:rsidP="00AD1066">
            <w:pPr>
              <w:pStyle w:val="TableBodyTextrightalign"/>
            </w:pPr>
            <w:r w:rsidRPr="00B14E81">
              <w:t>537</w:t>
            </w:r>
          </w:p>
        </w:tc>
      </w:tr>
      <w:tr w:rsidR="0058789F" w:rsidRPr="009A2E1F" w14:paraId="7850A378" w14:textId="77777777" w:rsidTr="00AD1066">
        <w:trPr>
          <w:trHeight w:val="300"/>
        </w:trPr>
        <w:tc>
          <w:tcPr>
            <w:tcW w:w="0" w:type="pct"/>
            <w:tcBorders>
              <w:bottom w:val="dotted" w:sz="4" w:space="0" w:color="auto"/>
            </w:tcBorders>
            <w:noWrap/>
            <w:hideMark/>
          </w:tcPr>
          <w:p w14:paraId="36D62B9D" w14:textId="77777777" w:rsidR="0058789F" w:rsidRPr="009A2E1F" w:rsidRDefault="0058789F" w:rsidP="00AD1066">
            <w:pPr>
              <w:pStyle w:val="TableBodyText"/>
            </w:pPr>
            <w:r w:rsidRPr="009A2E1F">
              <w:t>Other operating expenses</w:t>
            </w:r>
          </w:p>
        </w:tc>
        <w:tc>
          <w:tcPr>
            <w:tcW w:w="0" w:type="pct"/>
            <w:tcBorders>
              <w:bottom w:val="dotted" w:sz="4" w:space="0" w:color="auto"/>
            </w:tcBorders>
            <w:noWrap/>
            <w:hideMark/>
          </w:tcPr>
          <w:p w14:paraId="5153FD1A" w14:textId="77777777" w:rsidR="0058789F" w:rsidRPr="009A2E1F" w:rsidRDefault="0058789F" w:rsidP="00AD1066">
            <w:pPr>
              <w:pStyle w:val="TableBodyText"/>
            </w:pPr>
            <w:r>
              <w:fldChar w:fldCharType="begin"/>
            </w:r>
            <w:r>
              <w:instrText xml:space="preserve"> REF _Ref82070688 \r \h  \* MERGEFORMAT </w:instrText>
            </w:r>
            <w:r>
              <w:fldChar w:fldCharType="separate"/>
            </w:r>
            <w:r>
              <w:t>3.2</w:t>
            </w:r>
            <w:r>
              <w:fldChar w:fldCharType="end"/>
            </w:r>
          </w:p>
        </w:tc>
        <w:tc>
          <w:tcPr>
            <w:tcW w:w="0" w:type="pct"/>
            <w:tcBorders>
              <w:bottom w:val="dotted" w:sz="4" w:space="0" w:color="auto"/>
            </w:tcBorders>
            <w:shd w:val="clear" w:color="auto" w:fill="F2F2F2" w:themeFill="background1" w:themeFillShade="F2"/>
            <w:noWrap/>
          </w:tcPr>
          <w:p w14:paraId="1E21AAD6" w14:textId="77777777" w:rsidR="0058789F" w:rsidRPr="00CD40B2" w:rsidRDefault="0058789F" w:rsidP="00AD1066">
            <w:pPr>
              <w:pStyle w:val="TableBodyTextrightalign"/>
              <w:rPr>
                <w:rStyle w:val="Characterbold"/>
                <w:bCs w:val="0"/>
              </w:rPr>
            </w:pPr>
            <w:r w:rsidRPr="00CD40B2">
              <w:rPr>
                <w:bCs w:val="0"/>
              </w:rPr>
              <w:t>14,754</w:t>
            </w:r>
          </w:p>
        </w:tc>
        <w:tc>
          <w:tcPr>
            <w:tcW w:w="0" w:type="pct"/>
            <w:tcBorders>
              <w:bottom w:val="dotted" w:sz="4" w:space="0" w:color="auto"/>
            </w:tcBorders>
            <w:noWrap/>
            <w:hideMark/>
          </w:tcPr>
          <w:p w14:paraId="0CA385CC" w14:textId="77777777" w:rsidR="0058789F" w:rsidRPr="00B14E81" w:rsidRDefault="0058789F" w:rsidP="00AD1066">
            <w:pPr>
              <w:pStyle w:val="TableBodyTextrightalign"/>
            </w:pPr>
            <w:r w:rsidRPr="00B14E81">
              <w:t>15,470</w:t>
            </w:r>
          </w:p>
        </w:tc>
      </w:tr>
      <w:tr w:rsidR="0058789F" w:rsidRPr="00A3465C" w14:paraId="09CF1A31" w14:textId="77777777" w:rsidTr="00AD1066">
        <w:trPr>
          <w:trHeight w:val="300"/>
        </w:trPr>
        <w:tc>
          <w:tcPr>
            <w:tcW w:w="0" w:type="pct"/>
            <w:tcBorders>
              <w:top w:val="dotted" w:sz="4" w:space="0" w:color="auto"/>
              <w:bottom w:val="single" w:sz="4" w:space="0" w:color="auto"/>
            </w:tcBorders>
            <w:noWrap/>
            <w:hideMark/>
          </w:tcPr>
          <w:p w14:paraId="489C33EB" w14:textId="77777777" w:rsidR="0058789F" w:rsidRPr="0024620F" w:rsidRDefault="0058789F" w:rsidP="00AD1066">
            <w:pPr>
              <w:pStyle w:val="TableBodyText"/>
              <w:rPr>
                <w:rStyle w:val="Characterbold"/>
              </w:rPr>
            </w:pPr>
            <w:r w:rsidRPr="0024620F">
              <w:rPr>
                <w:rStyle w:val="Characterbold"/>
              </w:rPr>
              <w:t>Total expenses from transactions</w:t>
            </w:r>
          </w:p>
        </w:tc>
        <w:tc>
          <w:tcPr>
            <w:tcW w:w="0" w:type="pct"/>
            <w:tcBorders>
              <w:top w:val="dotted" w:sz="4" w:space="0" w:color="auto"/>
              <w:bottom w:val="single" w:sz="4" w:space="0" w:color="auto"/>
            </w:tcBorders>
            <w:noWrap/>
            <w:hideMark/>
          </w:tcPr>
          <w:p w14:paraId="2B80ABFE" w14:textId="77777777" w:rsidR="0058789F" w:rsidRPr="0024620F" w:rsidRDefault="0058789F" w:rsidP="00AD1066">
            <w:pPr>
              <w:pStyle w:val="TableBodyText"/>
              <w:rPr>
                <w:rStyle w:val="Characterbold"/>
              </w:rPr>
            </w:pPr>
          </w:p>
        </w:tc>
        <w:tc>
          <w:tcPr>
            <w:tcW w:w="0" w:type="pct"/>
            <w:tcBorders>
              <w:top w:val="dotted" w:sz="4" w:space="0" w:color="auto"/>
              <w:bottom w:val="single" w:sz="4" w:space="0" w:color="auto"/>
            </w:tcBorders>
            <w:shd w:val="clear" w:color="auto" w:fill="F2F2F2" w:themeFill="background1" w:themeFillShade="F2"/>
            <w:noWrap/>
          </w:tcPr>
          <w:p w14:paraId="0252FF27" w14:textId="77777777" w:rsidR="0058789F" w:rsidRPr="007E78B5" w:rsidRDefault="0058789F" w:rsidP="007E78B5">
            <w:pPr>
              <w:pStyle w:val="TableBodyTextrightalign"/>
              <w:rPr>
                <w:rStyle w:val="Characterbold"/>
              </w:rPr>
            </w:pPr>
            <w:r w:rsidRPr="007E78B5">
              <w:rPr>
                <w:rStyle w:val="Characterbold"/>
              </w:rPr>
              <w:t>59,027</w:t>
            </w:r>
          </w:p>
        </w:tc>
        <w:tc>
          <w:tcPr>
            <w:tcW w:w="0" w:type="pct"/>
            <w:tcBorders>
              <w:top w:val="dotted" w:sz="4" w:space="0" w:color="auto"/>
              <w:bottom w:val="single" w:sz="4" w:space="0" w:color="auto"/>
            </w:tcBorders>
            <w:noWrap/>
            <w:hideMark/>
          </w:tcPr>
          <w:p w14:paraId="45132068" w14:textId="77777777" w:rsidR="0058789F" w:rsidRPr="0024620F" w:rsidRDefault="0058789F" w:rsidP="00AD1066">
            <w:pPr>
              <w:pStyle w:val="TableBodyTextrightalign"/>
              <w:rPr>
                <w:rStyle w:val="Characterbold"/>
              </w:rPr>
            </w:pPr>
            <w:r>
              <w:rPr>
                <w:rStyle w:val="Characterbold"/>
              </w:rPr>
              <w:t>57,056</w:t>
            </w:r>
          </w:p>
        </w:tc>
      </w:tr>
      <w:tr w:rsidR="0058789F" w:rsidRPr="00A3465C" w14:paraId="51CD4F4B" w14:textId="77777777" w:rsidTr="00AD1066">
        <w:trPr>
          <w:trHeight w:val="315"/>
        </w:trPr>
        <w:tc>
          <w:tcPr>
            <w:tcW w:w="0" w:type="pct"/>
            <w:tcBorders>
              <w:top w:val="single" w:sz="4" w:space="0" w:color="auto"/>
              <w:bottom w:val="single" w:sz="4" w:space="0" w:color="auto"/>
            </w:tcBorders>
            <w:noWrap/>
            <w:hideMark/>
          </w:tcPr>
          <w:p w14:paraId="692C7D33" w14:textId="77777777" w:rsidR="0058789F" w:rsidRPr="0024620F" w:rsidRDefault="0058789F" w:rsidP="00AD1066">
            <w:pPr>
              <w:pStyle w:val="TableBodyText"/>
              <w:rPr>
                <w:rStyle w:val="Characterbold"/>
              </w:rPr>
            </w:pPr>
            <w:r w:rsidRPr="0024620F">
              <w:rPr>
                <w:rStyle w:val="Characterbold"/>
              </w:rPr>
              <w:t>Net result from transactions (net operating balance)</w:t>
            </w:r>
          </w:p>
        </w:tc>
        <w:tc>
          <w:tcPr>
            <w:tcW w:w="0" w:type="pct"/>
            <w:tcBorders>
              <w:top w:val="single" w:sz="4" w:space="0" w:color="auto"/>
              <w:bottom w:val="single" w:sz="4" w:space="0" w:color="auto"/>
            </w:tcBorders>
            <w:noWrap/>
            <w:hideMark/>
          </w:tcPr>
          <w:p w14:paraId="6ACBFE98" w14:textId="77777777" w:rsidR="0058789F" w:rsidRPr="0024620F" w:rsidRDefault="0058789F" w:rsidP="00AD1066">
            <w:pPr>
              <w:pStyle w:val="TableBodyTextrightalign"/>
              <w:rPr>
                <w:rStyle w:val="Characterbold"/>
              </w:rPr>
            </w:pPr>
          </w:p>
        </w:tc>
        <w:tc>
          <w:tcPr>
            <w:tcW w:w="0" w:type="pct"/>
            <w:tcBorders>
              <w:top w:val="single" w:sz="4" w:space="0" w:color="auto"/>
              <w:bottom w:val="single" w:sz="4" w:space="0" w:color="auto"/>
            </w:tcBorders>
            <w:shd w:val="clear" w:color="auto" w:fill="F2F2F2" w:themeFill="background1" w:themeFillShade="F2"/>
            <w:noWrap/>
          </w:tcPr>
          <w:p w14:paraId="2EF2EABB" w14:textId="77777777" w:rsidR="0058789F" w:rsidRPr="007E78B5" w:rsidRDefault="0058789F" w:rsidP="007E78B5">
            <w:pPr>
              <w:pStyle w:val="TableBodyTextrightalign"/>
              <w:rPr>
                <w:rStyle w:val="Characterbold"/>
              </w:rPr>
            </w:pPr>
            <w:r w:rsidRPr="007E78B5">
              <w:rPr>
                <w:rStyle w:val="Characterbold"/>
              </w:rPr>
              <w:t>–</w:t>
            </w:r>
          </w:p>
        </w:tc>
        <w:tc>
          <w:tcPr>
            <w:tcW w:w="0" w:type="pct"/>
            <w:tcBorders>
              <w:top w:val="single" w:sz="4" w:space="0" w:color="auto"/>
              <w:bottom w:val="single" w:sz="4" w:space="0" w:color="auto"/>
            </w:tcBorders>
            <w:noWrap/>
            <w:hideMark/>
          </w:tcPr>
          <w:p w14:paraId="3823D5C9" w14:textId="77777777" w:rsidR="0058789F" w:rsidRPr="0024620F" w:rsidRDefault="0058789F" w:rsidP="00AD1066">
            <w:pPr>
              <w:pStyle w:val="TableBodyTextrightalign"/>
              <w:rPr>
                <w:rStyle w:val="Characterbold"/>
              </w:rPr>
            </w:pPr>
            <w:r>
              <w:rPr>
                <w:rStyle w:val="Characterbold"/>
              </w:rPr>
              <w:t>(3,458)</w:t>
            </w:r>
          </w:p>
        </w:tc>
      </w:tr>
      <w:tr w:rsidR="0058789F" w:rsidRPr="009A2E1F" w14:paraId="45C33406" w14:textId="77777777" w:rsidTr="00AD1066">
        <w:trPr>
          <w:trHeight w:val="300"/>
        </w:trPr>
        <w:tc>
          <w:tcPr>
            <w:tcW w:w="0" w:type="pct"/>
            <w:gridSpan w:val="4"/>
            <w:tcBorders>
              <w:top w:val="single" w:sz="4" w:space="0" w:color="auto"/>
            </w:tcBorders>
            <w:noWrap/>
            <w:hideMark/>
          </w:tcPr>
          <w:p w14:paraId="4C67D0D4" w14:textId="77777777" w:rsidR="0058789F" w:rsidRPr="009A2E1F" w:rsidRDefault="0058789F" w:rsidP="00AD1066">
            <w:pPr>
              <w:pStyle w:val="TableBodyTextsmall"/>
            </w:pPr>
          </w:p>
        </w:tc>
      </w:tr>
      <w:tr w:rsidR="0058789F" w:rsidRPr="009A2E1F" w14:paraId="2B0B9048" w14:textId="77777777" w:rsidTr="00AD1066">
        <w:trPr>
          <w:trHeight w:val="300"/>
        </w:trPr>
        <w:tc>
          <w:tcPr>
            <w:tcW w:w="0" w:type="pct"/>
            <w:gridSpan w:val="4"/>
            <w:noWrap/>
            <w:hideMark/>
          </w:tcPr>
          <w:p w14:paraId="6CAFB04E" w14:textId="77777777" w:rsidR="0058789F" w:rsidRPr="004D6620" w:rsidRDefault="0058789F" w:rsidP="00AD1066">
            <w:pPr>
              <w:pStyle w:val="TableHeading1"/>
            </w:pPr>
            <w:r w:rsidRPr="004D6620">
              <w:t>Other economic flows included in net result</w:t>
            </w:r>
          </w:p>
        </w:tc>
      </w:tr>
      <w:tr w:rsidR="0058789F" w:rsidRPr="000F78B2" w14:paraId="73F0B895" w14:textId="77777777" w:rsidTr="00AD1066">
        <w:trPr>
          <w:trHeight w:val="300"/>
        </w:trPr>
        <w:tc>
          <w:tcPr>
            <w:tcW w:w="0" w:type="pct"/>
            <w:tcBorders>
              <w:bottom w:val="dotted" w:sz="4" w:space="0" w:color="auto"/>
            </w:tcBorders>
            <w:noWrap/>
            <w:hideMark/>
          </w:tcPr>
          <w:p w14:paraId="75AADC04" w14:textId="77777777" w:rsidR="0058789F" w:rsidRPr="009A2E1F" w:rsidRDefault="0058789F" w:rsidP="00AD1066">
            <w:pPr>
              <w:pStyle w:val="TableBodyText"/>
            </w:pPr>
            <w:r w:rsidRPr="009A2E1F">
              <w:t>Other gains/(losses) from other economic flows</w:t>
            </w:r>
          </w:p>
        </w:tc>
        <w:tc>
          <w:tcPr>
            <w:tcW w:w="0" w:type="pct"/>
            <w:tcBorders>
              <w:bottom w:val="dotted" w:sz="4" w:space="0" w:color="auto"/>
            </w:tcBorders>
            <w:noWrap/>
            <w:hideMark/>
          </w:tcPr>
          <w:p w14:paraId="36C778B2" w14:textId="77777777" w:rsidR="0058789F" w:rsidRPr="0024620F" w:rsidRDefault="0058789F" w:rsidP="00AD1066">
            <w:pPr>
              <w:pStyle w:val="TableBodyText"/>
            </w:pPr>
            <w:r>
              <w:fldChar w:fldCharType="begin"/>
            </w:r>
            <w:r>
              <w:instrText xml:space="preserve"> REF _Ref145061363 \n \h </w:instrText>
            </w:r>
            <w:r>
              <w:fldChar w:fldCharType="separate"/>
            </w:r>
            <w:r>
              <w:t>8.2</w:t>
            </w:r>
            <w:r>
              <w:fldChar w:fldCharType="end"/>
            </w:r>
          </w:p>
        </w:tc>
        <w:tc>
          <w:tcPr>
            <w:tcW w:w="0" w:type="pct"/>
            <w:tcBorders>
              <w:bottom w:val="dotted" w:sz="4" w:space="0" w:color="auto"/>
            </w:tcBorders>
            <w:shd w:val="clear" w:color="auto" w:fill="F2F2F2" w:themeFill="background1" w:themeFillShade="F2"/>
            <w:noWrap/>
          </w:tcPr>
          <w:p w14:paraId="1D6E063B" w14:textId="77777777" w:rsidR="0058789F" w:rsidRPr="00FC3226" w:rsidRDefault="0058789F" w:rsidP="00AD1066">
            <w:pPr>
              <w:pStyle w:val="TableBodyTextrightalign"/>
              <w:rPr>
                <w:rStyle w:val="Characterbold"/>
                <w:bCs w:val="0"/>
              </w:rPr>
            </w:pPr>
            <w:r w:rsidRPr="00CD40B2">
              <w:rPr>
                <w:bCs w:val="0"/>
              </w:rPr>
              <w:t>(176)</w:t>
            </w:r>
          </w:p>
        </w:tc>
        <w:tc>
          <w:tcPr>
            <w:tcW w:w="0" w:type="pct"/>
            <w:tcBorders>
              <w:bottom w:val="dotted" w:sz="4" w:space="0" w:color="auto"/>
            </w:tcBorders>
            <w:noWrap/>
            <w:hideMark/>
          </w:tcPr>
          <w:p w14:paraId="20F1B670" w14:textId="77777777" w:rsidR="0058789F" w:rsidRPr="000F78B2" w:rsidRDefault="0058789F" w:rsidP="00AD1066">
            <w:pPr>
              <w:pStyle w:val="TableBodyTextrightalign"/>
            </w:pPr>
            <w:r w:rsidRPr="008274BC">
              <w:t>371</w:t>
            </w:r>
          </w:p>
        </w:tc>
      </w:tr>
      <w:tr w:rsidR="0058789F" w:rsidRPr="00A3465C" w14:paraId="17520BCC" w14:textId="77777777" w:rsidTr="00AD1066">
        <w:trPr>
          <w:trHeight w:val="300"/>
        </w:trPr>
        <w:tc>
          <w:tcPr>
            <w:tcW w:w="0" w:type="pct"/>
            <w:tcBorders>
              <w:top w:val="dotted" w:sz="4" w:space="0" w:color="auto"/>
              <w:bottom w:val="single" w:sz="4" w:space="0" w:color="auto"/>
            </w:tcBorders>
            <w:noWrap/>
            <w:hideMark/>
          </w:tcPr>
          <w:p w14:paraId="74E61A6C" w14:textId="77777777" w:rsidR="0058789F" w:rsidRPr="00990F1E" w:rsidRDefault="0058789F" w:rsidP="00AD1066">
            <w:pPr>
              <w:pStyle w:val="TableBodyText"/>
              <w:rPr>
                <w:rStyle w:val="Characterbold"/>
              </w:rPr>
            </w:pPr>
            <w:r w:rsidRPr="00990F1E">
              <w:rPr>
                <w:rStyle w:val="Characterbold"/>
              </w:rPr>
              <w:t>Total other economic flows included in net result</w:t>
            </w:r>
          </w:p>
        </w:tc>
        <w:tc>
          <w:tcPr>
            <w:tcW w:w="0" w:type="pct"/>
            <w:tcBorders>
              <w:top w:val="dotted" w:sz="4" w:space="0" w:color="auto"/>
              <w:bottom w:val="single" w:sz="4" w:space="0" w:color="auto"/>
            </w:tcBorders>
            <w:noWrap/>
            <w:hideMark/>
          </w:tcPr>
          <w:p w14:paraId="3A908976" w14:textId="77777777" w:rsidR="0058789F" w:rsidRPr="00990F1E" w:rsidRDefault="0058789F" w:rsidP="00AD1066">
            <w:pPr>
              <w:pStyle w:val="TableBodyTextrightalign"/>
              <w:rPr>
                <w:rStyle w:val="Characterbold"/>
              </w:rPr>
            </w:pPr>
            <w:r w:rsidRPr="00990F1E">
              <w:rPr>
                <w:rStyle w:val="Characterbold"/>
              </w:rPr>
              <w:t> </w:t>
            </w:r>
          </w:p>
        </w:tc>
        <w:tc>
          <w:tcPr>
            <w:tcW w:w="0" w:type="pct"/>
            <w:tcBorders>
              <w:top w:val="dotted" w:sz="4" w:space="0" w:color="auto"/>
              <w:bottom w:val="single" w:sz="4" w:space="0" w:color="auto"/>
            </w:tcBorders>
            <w:shd w:val="clear" w:color="auto" w:fill="F2F2F2" w:themeFill="background1" w:themeFillShade="F2"/>
            <w:noWrap/>
          </w:tcPr>
          <w:p w14:paraId="55F640D1" w14:textId="77777777" w:rsidR="0058789F" w:rsidRPr="007E78B5" w:rsidRDefault="0058789F" w:rsidP="007E78B5">
            <w:pPr>
              <w:pStyle w:val="TableBodyTextrightalign"/>
              <w:rPr>
                <w:rStyle w:val="Characterbold"/>
              </w:rPr>
            </w:pPr>
            <w:r w:rsidRPr="007E78B5">
              <w:rPr>
                <w:rStyle w:val="Characterbold"/>
              </w:rPr>
              <w:t>(176)</w:t>
            </w:r>
          </w:p>
        </w:tc>
        <w:tc>
          <w:tcPr>
            <w:tcW w:w="0" w:type="pct"/>
            <w:tcBorders>
              <w:top w:val="dotted" w:sz="4" w:space="0" w:color="auto"/>
              <w:bottom w:val="single" w:sz="4" w:space="0" w:color="auto"/>
            </w:tcBorders>
            <w:noWrap/>
            <w:hideMark/>
          </w:tcPr>
          <w:p w14:paraId="632180AB" w14:textId="77777777" w:rsidR="0058789F" w:rsidRPr="00990F1E" w:rsidRDefault="0058789F" w:rsidP="00AD1066">
            <w:pPr>
              <w:pStyle w:val="TableBodyTextrightalign"/>
              <w:rPr>
                <w:rStyle w:val="Characterbold"/>
              </w:rPr>
            </w:pPr>
            <w:r>
              <w:rPr>
                <w:rStyle w:val="Characterbold"/>
              </w:rPr>
              <w:t>371</w:t>
            </w:r>
          </w:p>
        </w:tc>
      </w:tr>
      <w:tr w:rsidR="0058789F" w:rsidRPr="00A3465C" w14:paraId="521CF94C" w14:textId="77777777" w:rsidTr="00AD1066">
        <w:trPr>
          <w:trHeight w:val="315"/>
        </w:trPr>
        <w:tc>
          <w:tcPr>
            <w:tcW w:w="0" w:type="pct"/>
            <w:tcBorders>
              <w:top w:val="single" w:sz="4" w:space="0" w:color="auto"/>
              <w:bottom w:val="single" w:sz="4" w:space="0" w:color="auto"/>
            </w:tcBorders>
            <w:noWrap/>
            <w:hideMark/>
          </w:tcPr>
          <w:p w14:paraId="419B4542" w14:textId="77777777" w:rsidR="0058789F" w:rsidRPr="00990F1E" w:rsidRDefault="0058789F" w:rsidP="00AD1066">
            <w:pPr>
              <w:pStyle w:val="TableBodyText"/>
              <w:rPr>
                <w:rStyle w:val="Characterbold"/>
              </w:rPr>
            </w:pPr>
            <w:r w:rsidRPr="00990F1E">
              <w:rPr>
                <w:rStyle w:val="Characterbold"/>
              </w:rPr>
              <w:t>Net result</w:t>
            </w:r>
          </w:p>
        </w:tc>
        <w:tc>
          <w:tcPr>
            <w:tcW w:w="0" w:type="pct"/>
            <w:tcBorders>
              <w:top w:val="single" w:sz="4" w:space="0" w:color="auto"/>
              <w:bottom w:val="single" w:sz="4" w:space="0" w:color="auto"/>
            </w:tcBorders>
            <w:noWrap/>
            <w:hideMark/>
          </w:tcPr>
          <w:p w14:paraId="7CBCDEFF" w14:textId="77777777" w:rsidR="0058789F" w:rsidRPr="00990F1E" w:rsidRDefault="0058789F" w:rsidP="00AD1066">
            <w:pPr>
              <w:pStyle w:val="TableBodyTextrightalign"/>
              <w:rPr>
                <w:rStyle w:val="Characterbold"/>
              </w:rPr>
            </w:pPr>
            <w:r w:rsidRPr="00990F1E">
              <w:rPr>
                <w:rStyle w:val="Characterbold"/>
              </w:rPr>
              <w:t> </w:t>
            </w:r>
          </w:p>
        </w:tc>
        <w:tc>
          <w:tcPr>
            <w:tcW w:w="0" w:type="pct"/>
            <w:tcBorders>
              <w:top w:val="single" w:sz="4" w:space="0" w:color="auto"/>
              <w:bottom w:val="single" w:sz="4" w:space="0" w:color="auto"/>
            </w:tcBorders>
            <w:shd w:val="clear" w:color="auto" w:fill="F2F2F2" w:themeFill="background1" w:themeFillShade="F2"/>
            <w:noWrap/>
          </w:tcPr>
          <w:p w14:paraId="74C3DDA9" w14:textId="77777777" w:rsidR="0058789F" w:rsidRPr="007E78B5" w:rsidRDefault="0058789F" w:rsidP="007E78B5">
            <w:pPr>
              <w:pStyle w:val="TableBodyTextrightalign"/>
              <w:rPr>
                <w:rStyle w:val="Characterbold"/>
              </w:rPr>
            </w:pPr>
            <w:r w:rsidRPr="007E78B5">
              <w:rPr>
                <w:rStyle w:val="Characterbold"/>
              </w:rPr>
              <w:t>(176)</w:t>
            </w:r>
          </w:p>
        </w:tc>
        <w:tc>
          <w:tcPr>
            <w:tcW w:w="0" w:type="pct"/>
            <w:tcBorders>
              <w:top w:val="single" w:sz="4" w:space="0" w:color="auto"/>
              <w:bottom w:val="single" w:sz="4" w:space="0" w:color="auto"/>
            </w:tcBorders>
            <w:noWrap/>
            <w:hideMark/>
          </w:tcPr>
          <w:p w14:paraId="191B9482" w14:textId="77777777" w:rsidR="0058789F" w:rsidRPr="00990F1E" w:rsidRDefault="0058789F" w:rsidP="00AD1066">
            <w:pPr>
              <w:pStyle w:val="TableBodyTextrightalign"/>
              <w:rPr>
                <w:rStyle w:val="Characterbold"/>
              </w:rPr>
            </w:pPr>
            <w:r>
              <w:rPr>
                <w:rStyle w:val="Characterbold"/>
              </w:rPr>
              <w:t>(3,086)</w:t>
            </w:r>
          </w:p>
        </w:tc>
      </w:tr>
      <w:tr w:rsidR="0058789F" w:rsidRPr="00A3465C" w14:paraId="31E3D56A" w14:textId="77777777" w:rsidTr="00AD1066">
        <w:trPr>
          <w:cnfStyle w:val="010000000000" w:firstRow="0" w:lastRow="1" w:firstColumn="0" w:lastColumn="0" w:oddVBand="0" w:evenVBand="0" w:oddHBand="0" w:evenHBand="0" w:firstRowFirstColumn="0" w:firstRowLastColumn="0" w:lastRowFirstColumn="0" w:lastRowLastColumn="0"/>
          <w:trHeight w:val="315"/>
        </w:trPr>
        <w:tc>
          <w:tcPr>
            <w:tcW w:w="0" w:type="pct"/>
            <w:tcBorders>
              <w:top w:val="single" w:sz="4" w:space="0" w:color="auto"/>
            </w:tcBorders>
            <w:noWrap/>
            <w:hideMark/>
          </w:tcPr>
          <w:p w14:paraId="3C94A9AF" w14:textId="77777777" w:rsidR="0058789F" w:rsidRPr="006C6BD4" w:rsidRDefault="0058789F" w:rsidP="00AD1066">
            <w:pPr>
              <w:pStyle w:val="TableBodyText"/>
            </w:pPr>
            <w:r w:rsidRPr="006C6BD4">
              <w:t>Comprehensive result</w:t>
            </w:r>
          </w:p>
        </w:tc>
        <w:tc>
          <w:tcPr>
            <w:tcW w:w="0" w:type="pct"/>
            <w:tcBorders>
              <w:top w:val="single" w:sz="4" w:space="0" w:color="auto"/>
            </w:tcBorders>
            <w:noWrap/>
            <w:hideMark/>
          </w:tcPr>
          <w:p w14:paraId="2E3E6695" w14:textId="77777777" w:rsidR="0058789F" w:rsidRPr="006C6BD4" w:rsidRDefault="0058789F" w:rsidP="00AD1066">
            <w:pPr>
              <w:pStyle w:val="TableBodyText"/>
            </w:pPr>
            <w:r w:rsidRPr="006C6BD4">
              <w:t> </w:t>
            </w:r>
          </w:p>
        </w:tc>
        <w:tc>
          <w:tcPr>
            <w:tcW w:w="0" w:type="pct"/>
            <w:tcBorders>
              <w:top w:val="single" w:sz="4" w:space="0" w:color="auto"/>
            </w:tcBorders>
            <w:shd w:val="clear" w:color="auto" w:fill="F2F2F2" w:themeFill="background1" w:themeFillShade="F2"/>
            <w:noWrap/>
          </w:tcPr>
          <w:p w14:paraId="2AF22AF6" w14:textId="77777777" w:rsidR="0058789F" w:rsidRPr="007B2314" w:rsidRDefault="0058789F" w:rsidP="00AD1066">
            <w:pPr>
              <w:pStyle w:val="TableBodyTextrightalign"/>
            </w:pPr>
            <w:r w:rsidRPr="007B2314">
              <w:t>(176)</w:t>
            </w:r>
          </w:p>
        </w:tc>
        <w:tc>
          <w:tcPr>
            <w:tcW w:w="0" w:type="pct"/>
            <w:tcBorders>
              <w:top w:val="single" w:sz="4" w:space="0" w:color="auto"/>
            </w:tcBorders>
            <w:noWrap/>
            <w:hideMark/>
          </w:tcPr>
          <w:p w14:paraId="2766E820" w14:textId="77777777" w:rsidR="0058789F" w:rsidRPr="006C6BD4" w:rsidRDefault="0058789F" w:rsidP="00AD1066">
            <w:pPr>
              <w:pStyle w:val="TableBodyTextrightalign"/>
            </w:pPr>
            <w:r>
              <w:t>(3,086)</w:t>
            </w:r>
          </w:p>
        </w:tc>
      </w:tr>
    </w:tbl>
    <w:p w14:paraId="0C7F096B" w14:textId="77777777" w:rsidR="0058789F" w:rsidRPr="005C634F" w:rsidRDefault="0058789F" w:rsidP="0058789F">
      <w:pPr>
        <w:pStyle w:val="TableNote"/>
      </w:pPr>
      <w:r w:rsidRPr="00A3465C">
        <w:t>The accompanying notes form part of these financial statements.</w:t>
      </w:r>
    </w:p>
    <w:p w14:paraId="00991369" w14:textId="148AE948" w:rsidR="0058789F" w:rsidRPr="00DE7357" w:rsidRDefault="00465B9C" w:rsidP="0058789F">
      <w:pPr>
        <w:pStyle w:val="TableNote"/>
      </w:pPr>
      <w:r>
        <w:t>Notes</w:t>
      </w:r>
    </w:p>
    <w:p w14:paraId="0B8A45D7" w14:textId="77777777" w:rsidR="0058789F" w:rsidRDefault="0058789F" w:rsidP="00ED79A2">
      <w:pPr>
        <w:pStyle w:val="TableNote"/>
      </w:pPr>
      <w:r w:rsidRPr="00DE7357">
        <w:rPr>
          <w:rStyle w:val="Charactersuperscript"/>
        </w:rPr>
        <w:t>(a)</w:t>
      </w:r>
      <w:r>
        <w:t xml:space="preserve"> </w:t>
      </w:r>
      <w:r w:rsidRPr="00DE7357">
        <w:t>Th</w:t>
      </w:r>
      <w:r>
        <w:t xml:space="preserve">e </w:t>
      </w:r>
      <w:r w:rsidRPr="00DE7357">
        <w:t xml:space="preserve">format of this statement is aligned to </w:t>
      </w:r>
      <w:r w:rsidRPr="007E3C19">
        <w:t>AASB 1049</w:t>
      </w:r>
      <w:r w:rsidRPr="00DE7357">
        <w:rPr>
          <w:rStyle w:val="Characteritalic"/>
        </w:rPr>
        <w:t xml:space="preserve"> Whole of Government and General Government Sector Financial Reporting</w:t>
      </w:r>
      <w:r w:rsidRPr="00DE7357">
        <w:t xml:space="preserve"> (AASB 1049).</w:t>
      </w:r>
    </w:p>
    <w:p w14:paraId="52A60067" w14:textId="77777777" w:rsidR="0058789F" w:rsidRPr="005C634F" w:rsidRDefault="0058789F" w:rsidP="005C634F">
      <w:pPr>
        <w:pStyle w:val="TableNote"/>
      </w:pPr>
      <w:r>
        <w:br w:type="page"/>
      </w:r>
    </w:p>
    <w:p w14:paraId="456A56B5" w14:textId="4FB981BD" w:rsidR="0058789F" w:rsidRDefault="0058789F" w:rsidP="0058789F">
      <w:pPr>
        <w:pStyle w:val="Caption"/>
      </w:pPr>
      <w:bookmarkStart w:id="158" w:name="_Ref120787931"/>
      <w:r w:rsidRPr="0084458C">
        <w:t>Balance sheet at 30 June 202</w:t>
      </w:r>
      <w:r>
        <w:t>3</w:t>
      </w:r>
      <w:r w:rsidRPr="00DE7357">
        <w:rPr>
          <w:rStyle w:val="Charactersuperscript"/>
        </w:rPr>
        <w:t>(a)</w:t>
      </w:r>
      <w:bookmarkEnd w:id="158"/>
    </w:p>
    <w:tbl>
      <w:tblPr>
        <w:tblStyle w:val="CustomTabledetailed"/>
        <w:tblW w:w="5000" w:type="pct"/>
        <w:tblLook w:val="0660" w:firstRow="1" w:lastRow="1" w:firstColumn="0" w:lastColumn="0" w:noHBand="1" w:noVBand="1"/>
      </w:tblPr>
      <w:tblGrid>
        <w:gridCol w:w="5498"/>
        <w:gridCol w:w="1121"/>
        <w:gridCol w:w="1204"/>
        <w:gridCol w:w="1204"/>
      </w:tblGrid>
      <w:tr w:rsidR="0058789F" w:rsidRPr="009A37E5" w14:paraId="1894F75C" w14:textId="77777777" w:rsidTr="00AD1066">
        <w:trPr>
          <w:cnfStyle w:val="100000000000" w:firstRow="1" w:lastRow="0" w:firstColumn="0" w:lastColumn="0" w:oddVBand="0" w:evenVBand="0" w:oddHBand="0" w:evenHBand="0" w:firstRowFirstColumn="0" w:firstRowLastColumn="0" w:lastRowFirstColumn="0" w:lastRowLastColumn="0"/>
          <w:trHeight w:val="300"/>
        </w:trPr>
        <w:tc>
          <w:tcPr>
            <w:tcW w:w="0" w:type="pct"/>
            <w:noWrap/>
            <w:hideMark/>
          </w:tcPr>
          <w:p w14:paraId="1B8D3379" w14:textId="77777777" w:rsidR="0058789F" w:rsidRPr="009A37E5" w:rsidRDefault="0058789F" w:rsidP="00AD1066">
            <w:pPr>
              <w:pStyle w:val="TableHeading1"/>
            </w:pPr>
            <w:r w:rsidRPr="009A37E5">
              <w:t> </w:t>
            </w:r>
          </w:p>
        </w:tc>
        <w:tc>
          <w:tcPr>
            <w:tcW w:w="0" w:type="pct"/>
            <w:noWrap/>
            <w:hideMark/>
          </w:tcPr>
          <w:p w14:paraId="12FC7B02" w14:textId="77777777" w:rsidR="0058789F" w:rsidRPr="009A37E5" w:rsidRDefault="0058789F" w:rsidP="00AD1066">
            <w:pPr>
              <w:pStyle w:val="TableHeading1"/>
            </w:pPr>
            <w:r w:rsidRPr="009A37E5">
              <w:t>Note</w:t>
            </w:r>
            <w:r>
              <w:t>s</w:t>
            </w:r>
          </w:p>
        </w:tc>
        <w:tc>
          <w:tcPr>
            <w:tcW w:w="0" w:type="pct"/>
            <w:noWrap/>
            <w:hideMark/>
          </w:tcPr>
          <w:p w14:paraId="7B07AB3A" w14:textId="77777777" w:rsidR="0058789F" w:rsidRDefault="0058789F" w:rsidP="00AD1066">
            <w:pPr>
              <w:pStyle w:val="TableHeading3rightalign"/>
            </w:pPr>
            <w:r w:rsidRPr="009A37E5">
              <w:t>202</w:t>
            </w:r>
            <w:r>
              <w:t>3</w:t>
            </w:r>
          </w:p>
          <w:p w14:paraId="7040D66A" w14:textId="77777777" w:rsidR="0058789F" w:rsidRPr="009A37E5" w:rsidRDefault="0058789F" w:rsidP="00AD1066">
            <w:pPr>
              <w:pStyle w:val="TableHeading3rightalign"/>
            </w:pPr>
            <w:r>
              <w:t>(</w:t>
            </w:r>
            <w:r w:rsidRPr="009A2E1F">
              <w:t>$’000</w:t>
            </w:r>
            <w:r>
              <w:t>)</w:t>
            </w:r>
          </w:p>
        </w:tc>
        <w:tc>
          <w:tcPr>
            <w:tcW w:w="0" w:type="pct"/>
            <w:noWrap/>
            <w:hideMark/>
          </w:tcPr>
          <w:p w14:paraId="026E9493" w14:textId="77777777" w:rsidR="0058789F" w:rsidRDefault="0058789F" w:rsidP="00AD1066">
            <w:pPr>
              <w:pStyle w:val="TableHeading3rightalign"/>
            </w:pPr>
            <w:r w:rsidRPr="009A37E5">
              <w:t>202</w:t>
            </w:r>
            <w:r>
              <w:t>2</w:t>
            </w:r>
          </w:p>
          <w:p w14:paraId="67468CD0" w14:textId="77777777" w:rsidR="0058789F" w:rsidRPr="009A37E5" w:rsidRDefault="0058789F" w:rsidP="00AD1066">
            <w:pPr>
              <w:pStyle w:val="TableHeading3rightalign"/>
            </w:pPr>
            <w:r>
              <w:t>(</w:t>
            </w:r>
            <w:r w:rsidRPr="009A2E1F">
              <w:t>$’000</w:t>
            </w:r>
            <w:r>
              <w:t>)</w:t>
            </w:r>
          </w:p>
        </w:tc>
      </w:tr>
      <w:tr w:rsidR="0058789F" w:rsidRPr="009A37E5" w14:paraId="76053C01" w14:textId="77777777" w:rsidTr="00AD1066">
        <w:trPr>
          <w:trHeight w:val="300"/>
        </w:trPr>
        <w:tc>
          <w:tcPr>
            <w:tcW w:w="0" w:type="pct"/>
            <w:gridSpan w:val="4"/>
            <w:noWrap/>
          </w:tcPr>
          <w:p w14:paraId="25E24F34" w14:textId="77777777" w:rsidR="0058789F" w:rsidRPr="009A37E5" w:rsidRDefault="0058789F" w:rsidP="00AD1066">
            <w:pPr>
              <w:pStyle w:val="TableBodyTextsmall"/>
            </w:pPr>
          </w:p>
        </w:tc>
      </w:tr>
      <w:tr w:rsidR="0058789F" w:rsidRPr="009A37E5" w14:paraId="2B8B7227" w14:textId="77777777" w:rsidTr="00AD1066">
        <w:trPr>
          <w:trHeight w:val="300"/>
        </w:trPr>
        <w:tc>
          <w:tcPr>
            <w:tcW w:w="0" w:type="pct"/>
            <w:gridSpan w:val="4"/>
            <w:shd w:val="clear" w:color="auto" w:fill="D9D9D9" w:themeFill="background1" w:themeFillShade="D9"/>
            <w:noWrap/>
            <w:hideMark/>
          </w:tcPr>
          <w:p w14:paraId="41DBE275" w14:textId="77777777" w:rsidR="0058789F" w:rsidRPr="009A37E5" w:rsidRDefault="0058789F" w:rsidP="00AD1066">
            <w:pPr>
              <w:pStyle w:val="TableHeading1"/>
            </w:pPr>
            <w:r w:rsidRPr="009A37E5">
              <w:t>Assets  </w:t>
            </w:r>
          </w:p>
        </w:tc>
      </w:tr>
      <w:tr w:rsidR="0058789F" w:rsidRPr="009A37E5" w14:paraId="024B2734" w14:textId="77777777" w:rsidTr="00AD1066">
        <w:trPr>
          <w:trHeight w:val="300"/>
        </w:trPr>
        <w:tc>
          <w:tcPr>
            <w:tcW w:w="0" w:type="pct"/>
            <w:noWrap/>
            <w:hideMark/>
          </w:tcPr>
          <w:p w14:paraId="1FA71F3B" w14:textId="77777777" w:rsidR="0058789F" w:rsidRPr="00CC6B3B" w:rsidRDefault="0058789F" w:rsidP="00AD1066">
            <w:pPr>
              <w:pStyle w:val="TableHeading1"/>
              <w:tabs>
                <w:tab w:val="right" w:pos="4816"/>
              </w:tabs>
            </w:pPr>
            <w:r w:rsidRPr="00CC6B3B">
              <w:t>Financial assets</w:t>
            </w:r>
            <w:r>
              <w:tab/>
            </w:r>
          </w:p>
        </w:tc>
        <w:tc>
          <w:tcPr>
            <w:tcW w:w="0" w:type="pct"/>
            <w:noWrap/>
            <w:hideMark/>
          </w:tcPr>
          <w:p w14:paraId="6965E4D6" w14:textId="77777777" w:rsidR="0058789F" w:rsidRPr="00CC6B3B" w:rsidRDefault="0058789F" w:rsidP="00AD1066">
            <w:pPr>
              <w:pStyle w:val="TableBodyTextrightalign"/>
              <w:rPr>
                <w:rStyle w:val="Characterbold"/>
                <w:b w:val="0"/>
              </w:rPr>
            </w:pPr>
            <w:r w:rsidRPr="00CC6B3B">
              <w:rPr>
                <w:rStyle w:val="Characterbold"/>
              </w:rPr>
              <w:t xml:space="preserve"> </w:t>
            </w:r>
          </w:p>
        </w:tc>
        <w:tc>
          <w:tcPr>
            <w:tcW w:w="0" w:type="pct"/>
            <w:noWrap/>
            <w:hideMark/>
          </w:tcPr>
          <w:p w14:paraId="0508CDBF" w14:textId="77777777" w:rsidR="0058789F" w:rsidRPr="00CC6B3B" w:rsidRDefault="0058789F" w:rsidP="00AD1066">
            <w:pPr>
              <w:pStyle w:val="TableBodyTextrightalign"/>
              <w:rPr>
                <w:rStyle w:val="Characterbold"/>
                <w:b w:val="0"/>
                <w:bCs w:val="0"/>
              </w:rPr>
            </w:pPr>
            <w:r w:rsidRPr="00CC6B3B">
              <w:rPr>
                <w:rStyle w:val="Characterbold"/>
              </w:rPr>
              <w:t> </w:t>
            </w:r>
          </w:p>
        </w:tc>
        <w:tc>
          <w:tcPr>
            <w:tcW w:w="0" w:type="pct"/>
            <w:noWrap/>
            <w:hideMark/>
          </w:tcPr>
          <w:p w14:paraId="3DC9D05C" w14:textId="77777777" w:rsidR="0058789F" w:rsidRPr="00CC6B3B" w:rsidRDefault="0058789F" w:rsidP="00AD1066">
            <w:pPr>
              <w:pStyle w:val="TableBodyTextrightalign"/>
              <w:rPr>
                <w:rStyle w:val="Characterbold"/>
                <w:b w:val="0"/>
                <w:bCs w:val="0"/>
              </w:rPr>
            </w:pPr>
            <w:r w:rsidRPr="00CC6B3B">
              <w:rPr>
                <w:rStyle w:val="Characterbold"/>
              </w:rPr>
              <w:t> </w:t>
            </w:r>
          </w:p>
        </w:tc>
      </w:tr>
      <w:tr w:rsidR="0058789F" w:rsidRPr="000F78B2" w14:paraId="474A869A" w14:textId="77777777" w:rsidTr="00AD1066">
        <w:trPr>
          <w:trHeight w:val="300"/>
        </w:trPr>
        <w:tc>
          <w:tcPr>
            <w:tcW w:w="0" w:type="pct"/>
            <w:noWrap/>
            <w:hideMark/>
          </w:tcPr>
          <w:p w14:paraId="182B97D6" w14:textId="77777777" w:rsidR="0058789F" w:rsidRPr="009A37E5" w:rsidRDefault="0058789F" w:rsidP="00AD1066">
            <w:pPr>
              <w:pStyle w:val="TableBodyText"/>
            </w:pPr>
            <w:r w:rsidRPr="009A37E5">
              <w:t xml:space="preserve">Cash and cash equivalents </w:t>
            </w:r>
          </w:p>
        </w:tc>
        <w:tc>
          <w:tcPr>
            <w:tcW w:w="0" w:type="pct"/>
            <w:noWrap/>
            <w:hideMark/>
          </w:tcPr>
          <w:p w14:paraId="5B6CAB15" w14:textId="77777777" w:rsidR="0058789F" w:rsidRPr="00CC6B3B" w:rsidRDefault="0058789F" w:rsidP="00AD1066">
            <w:pPr>
              <w:pStyle w:val="TableBodyText"/>
            </w:pPr>
            <w:r>
              <w:fldChar w:fldCharType="begin"/>
            </w:r>
            <w:r>
              <w:instrText xml:space="preserve"> REF _Ref82072460 \r \h  \* MERGEFORMAT </w:instrText>
            </w:r>
            <w:r>
              <w:fldChar w:fldCharType="separate"/>
            </w:r>
            <w:r>
              <w:t>6.2</w:t>
            </w:r>
            <w:r>
              <w:fldChar w:fldCharType="end"/>
            </w:r>
          </w:p>
        </w:tc>
        <w:tc>
          <w:tcPr>
            <w:tcW w:w="0" w:type="pct"/>
            <w:shd w:val="clear" w:color="auto" w:fill="F2F2F2" w:themeFill="background1" w:themeFillShade="F2"/>
            <w:noWrap/>
          </w:tcPr>
          <w:p w14:paraId="72EC3A43" w14:textId="77777777" w:rsidR="0058789F" w:rsidRPr="00CD40B2" w:rsidRDefault="0058789F" w:rsidP="00AD1066">
            <w:pPr>
              <w:pStyle w:val="TableBodyTextrightalign"/>
              <w:rPr>
                <w:rStyle w:val="Characterbold"/>
                <w:bCs w:val="0"/>
              </w:rPr>
            </w:pPr>
            <w:r w:rsidRPr="00CD40B2">
              <w:rPr>
                <w:bCs w:val="0"/>
              </w:rPr>
              <w:t>316</w:t>
            </w:r>
          </w:p>
        </w:tc>
        <w:tc>
          <w:tcPr>
            <w:tcW w:w="0" w:type="pct"/>
            <w:noWrap/>
            <w:hideMark/>
          </w:tcPr>
          <w:p w14:paraId="6B842349" w14:textId="77777777" w:rsidR="0058789F" w:rsidRPr="00B14E81" w:rsidRDefault="0058789F" w:rsidP="00AD1066">
            <w:pPr>
              <w:pStyle w:val="TableBodyTextrightalign"/>
            </w:pPr>
            <w:r w:rsidRPr="00B14E81">
              <w:t>48</w:t>
            </w:r>
          </w:p>
        </w:tc>
      </w:tr>
      <w:tr w:rsidR="0058789F" w:rsidRPr="000F78B2" w14:paraId="2F7469FF" w14:textId="77777777" w:rsidTr="00AD1066">
        <w:trPr>
          <w:trHeight w:val="300"/>
        </w:trPr>
        <w:tc>
          <w:tcPr>
            <w:tcW w:w="0" w:type="pct"/>
            <w:tcBorders>
              <w:bottom w:val="dotted" w:sz="4" w:space="0" w:color="auto"/>
            </w:tcBorders>
            <w:noWrap/>
            <w:hideMark/>
          </w:tcPr>
          <w:p w14:paraId="111AAF1E" w14:textId="77777777" w:rsidR="0058789F" w:rsidRPr="009A37E5" w:rsidRDefault="0058789F" w:rsidP="00AD1066">
            <w:pPr>
              <w:pStyle w:val="TableBodyText"/>
            </w:pPr>
            <w:r w:rsidRPr="009A37E5">
              <w:t>Receivables</w:t>
            </w:r>
          </w:p>
        </w:tc>
        <w:tc>
          <w:tcPr>
            <w:tcW w:w="0" w:type="pct"/>
            <w:tcBorders>
              <w:bottom w:val="dotted" w:sz="4" w:space="0" w:color="auto"/>
            </w:tcBorders>
            <w:noWrap/>
            <w:hideMark/>
          </w:tcPr>
          <w:p w14:paraId="47BCDE53" w14:textId="77777777" w:rsidR="0058789F" w:rsidRPr="00CC6B3B" w:rsidRDefault="0058789F" w:rsidP="00AD1066">
            <w:pPr>
              <w:pStyle w:val="TableBodyText"/>
            </w:pPr>
            <w:r>
              <w:fldChar w:fldCharType="begin"/>
            </w:r>
            <w:r>
              <w:instrText xml:space="preserve"> REF _Ref82072502 \r \h  \* MERGEFORMAT </w:instrText>
            </w:r>
            <w:r>
              <w:fldChar w:fldCharType="separate"/>
            </w:r>
            <w:r>
              <w:t>5.1</w:t>
            </w:r>
            <w:r>
              <w:fldChar w:fldCharType="end"/>
            </w:r>
          </w:p>
        </w:tc>
        <w:tc>
          <w:tcPr>
            <w:tcW w:w="0" w:type="pct"/>
            <w:tcBorders>
              <w:bottom w:val="dotted" w:sz="4" w:space="0" w:color="auto"/>
            </w:tcBorders>
            <w:shd w:val="clear" w:color="auto" w:fill="F2F2F2" w:themeFill="background1" w:themeFillShade="F2"/>
            <w:noWrap/>
          </w:tcPr>
          <w:p w14:paraId="33A9FA7B" w14:textId="77777777" w:rsidR="0058789F" w:rsidRPr="00CD40B2" w:rsidRDefault="0058789F" w:rsidP="00AD1066">
            <w:pPr>
              <w:pStyle w:val="TableBodyTextrightalign"/>
              <w:rPr>
                <w:rStyle w:val="Characterbold"/>
                <w:bCs w:val="0"/>
              </w:rPr>
            </w:pPr>
            <w:r w:rsidRPr="00CD40B2">
              <w:rPr>
                <w:bCs w:val="0"/>
              </w:rPr>
              <w:t>18,969</w:t>
            </w:r>
          </w:p>
        </w:tc>
        <w:tc>
          <w:tcPr>
            <w:tcW w:w="0" w:type="pct"/>
            <w:tcBorders>
              <w:bottom w:val="dotted" w:sz="4" w:space="0" w:color="auto"/>
            </w:tcBorders>
            <w:noWrap/>
            <w:hideMark/>
          </w:tcPr>
          <w:p w14:paraId="1AFB22D8" w14:textId="77777777" w:rsidR="0058789F" w:rsidRPr="00B14E81" w:rsidRDefault="0058789F" w:rsidP="00AD1066">
            <w:pPr>
              <w:pStyle w:val="TableBodyTextrightalign"/>
            </w:pPr>
            <w:r w:rsidRPr="00B14E81">
              <w:t>18,830</w:t>
            </w:r>
          </w:p>
        </w:tc>
      </w:tr>
      <w:tr w:rsidR="0058789F" w:rsidRPr="008D3CF9" w14:paraId="4182D07A" w14:textId="77777777" w:rsidTr="00AD1066">
        <w:trPr>
          <w:trHeight w:val="300"/>
        </w:trPr>
        <w:tc>
          <w:tcPr>
            <w:tcW w:w="0" w:type="pct"/>
            <w:tcBorders>
              <w:top w:val="dotted" w:sz="4" w:space="0" w:color="auto"/>
              <w:bottom w:val="single" w:sz="4" w:space="0" w:color="auto"/>
            </w:tcBorders>
            <w:noWrap/>
            <w:hideMark/>
          </w:tcPr>
          <w:p w14:paraId="201337F3" w14:textId="77777777" w:rsidR="0058789F" w:rsidRPr="00CC6B3B" w:rsidRDefault="0058789F" w:rsidP="00AD1066">
            <w:pPr>
              <w:pStyle w:val="TableBodyText"/>
              <w:rPr>
                <w:rStyle w:val="Characterbold"/>
              </w:rPr>
            </w:pPr>
            <w:r w:rsidRPr="00CC6B3B">
              <w:rPr>
                <w:rStyle w:val="Characterbold"/>
              </w:rPr>
              <w:t>Total financial assets</w:t>
            </w:r>
          </w:p>
        </w:tc>
        <w:tc>
          <w:tcPr>
            <w:tcW w:w="0" w:type="pct"/>
            <w:tcBorders>
              <w:top w:val="dotted" w:sz="4" w:space="0" w:color="auto"/>
              <w:bottom w:val="single" w:sz="4" w:space="0" w:color="auto"/>
            </w:tcBorders>
            <w:noWrap/>
            <w:hideMark/>
          </w:tcPr>
          <w:p w14:paraId="1C5636BA" w14:textId="77777777" w:rsidR="0058789F" w:rsidRPr="00CC6B3B" w:rsidRDefault="0058789F" w:rsidP="00AD1066">
            <w:pPr>
              <w:pStyle w:val="TableBodyText"/>
              <w:rPr>
                <w:rStyle w:val="Characterbold"/>
              </w:rPr>
            </w:pPr>
            <w:r w:rsidRPr="00CC6B3B">
              <w:rPr>
                <w:rStyle w:val="Characterbold"/>
              </w:rPr>
              <w:t xml:space="preserve"> </w:t>
            </w:r>
          </w:p>
        </w:tc>
        <w:tc>
          <w:tcPr>
            <w:tcW w:w="0" w:type="pct"/>
            <w:tcBorders>
              <w:top w:val="dotted" w:sz="4" w:space="0" w:color="auto"/>
              <w:bottom w:val="single" w:sz="4" w:space="0" w:color="auto"/>
            </w:tcBorders>
            <w:shd w:val="clear" w:color="auto" w:fill="F2F2F2" w:themeFill="background1" w:themeFillShade="F2"/>
            <w:noWrap/>
          </w:tcPr>
          <w:p w14:paraId="327E420E" w14:textId="77777777" w:rsidR="0058789F" w:rsidRPr="007E78B5" w:rsidRDefault="0058789F" w:rsidP="007E78B5">
            <w:pPr>
              <w:pStyle w:val="TableBodyTextrightalign"/>
              <w:rPr>
                <w:rStyle w:val="Characterbold"/>
              </w:rPr>
            </w:pPr>
            <w:r w:rsidRPr="007E78B5">
              <w:rPr>
                <w:rStyle w:val="Characterbold"/>
              </w:rPr>
              <w:t>19,285</w:t>
            </w:r>
          </w:p>
        </w:tc>
        <w:tc>
          <w:tcPr>
            <w:tcW w:w="0" w:type="pct"/>
            <w:tcBorders>
              <w:top w:val="dotted" w:sz="4" w:space="0" w:color="auto"/>
              <w:bottom w:val="single" w:sz="4" w:space="0" w:color="auto"/>
            </w:tcBorders>
            <w:noWrap/>
            <w:hideMark/>
          </w:tcPr>
          <w:p w14:paraId="30B8EDAD" w14:textId="77777777" w:rsidR="0058789F" w:rsidRPr="00CC6B3B" w:rsidRDefault="0058789F" w:rsidP="00AD1066">
            <w:pPr>
              <w:pStyle w:val="TableBodyTextrightalign"/>
              <w:rPr>
                <w:rStyle w:val="Characterbold"/>
              </w:rPr>
            </w:pPr>
            <w:r>
              <w:rPr>
                <w:rStyle w:val="Characterbold"/>
              </w:rPr>
              <w:t>18,878</w:t>
            </w:r>
          </w:p>
        </w:tc>
      </w:tr>
      <w:tr w:rsidR="0058789F" w:rsidRPr="009A37E5" w14:paraId="70533CEF" w14:textId="77777777" w:rsidTr="00AD1066">
        <w:trPr>
          <w:trHeight w:val="300"/>
        </w:trPr>
        <w:tc>
          <w:tcPr>
            <w:tcW w:w="0" w:type="pct"/>
            <w:tcBorders>
              <w:top w:val="single" w:sz="4" w:space="0" w:color="auto"/>
            </w:tcBorders>
            <w:noWrap/>
            <w:hideMark/>
          </w:tcPr>
          <w:p w14:paraId="5284AEDD" w14:textId="77777777" w:rsidR="0058789F" w:rsidRPr="009A37E5" w:rsidRDefault="0058789F" w:rsidP="00AD1066">
            <w:pPr>
              <w:pStyle w:val="TableHeading1"/>
            </w:pPr>
            <w:r w:rsidRPr="009A37E5">
              <w:t>Non-financial assets</w:t>
            </w:r>
          </w:p>
        </w:tc>
        <w:tc>
          <w:tcPr>
            <w:tcW w:w="0" w:type="pct"/>
            <w:tcBorders>
              <w:top w:val="single" w:sz="4" w:space="0" w:color="auto"/>
            </w:tcBorders>
            <w:noWrap/>
            <w:hideMark/>
          </w:tcPr>
          <w:p w14:paraId="47352642" w14:textId="77777777" w:rsidR="0058789F" w:rsidRPr="009A37E5" w:rsidRDefault="0058789F" w:rsidP="00AD1066">
            <w:pPr>
              <w:pStyle w:val="TableBodyText"/>
            </w:pPr>
            <w:r w:rsidRPr="009A37E5">
              <w:t xml:space="preserve"> </w:t>
            </w:r>
          </w:p>
        </w:tc>
        <w:tc>
          <w:tcPr>
            <w:tcW w:w="0" w:type="pct"/>
            <w:tcBorders>
              <w:top w:val="single" w:sz="4" w:space="0" w:color="auto"/>
            </w:tcBorders>
            <w:noWrap/>
          </w:tcPr>
          <w:p w14:paraId="5D0980E0" w14:textId="77777777" w:rsidR="0058789F" w:rsidRPr="009A37E5" w:rsidRDefault="0058789F" w:rsidP="00AD1066">
            <w:pPr>
              <w:pStyle w:val="TableHeading1"/>
              <w:jc w:val="right"/>
            </w:pPr>
          </w:p>
        </w:tc>
        <w:tc>
          <w:tcPr>
            <w:tcW w:w="0" w:type="pct"/>
            <w:tcBorders>
              <w:top w:val="single" w:sz="4" w:space="0" w:color="auto"/>
            </w:tcBorders>
            <w:noWrap/>
            <w:hideMark/>
          </w:tcPr>
          <w:p w14:paraId="50A1F57A" w14:textId="77777777" w:rsidR="0058789F" w:rsidRPr="009A37E5" w:rsidRDefault="0058789F" w:rsidP="00AD1066">
            <w:pPr>
              <w:pStyle w:val="TableHeading1"/>
              <w:jc w:val="right"/>
            </w:pPr>
          </w:p>
        </w:tc>
      </w:tr>
      <w:tr w:rsidR="0058789F" w:rsidRPr="009A37E5" w14:paraId="07062630" w14:textId="77777777" w:rsidTr="00AD1066">
        <w:trPr>
          <w:trHeight w:val="300"/>
        </w:trPr>
        <w:tc>
          <w:tcPr>
            <w:tcW w:w="0" w:type="pct"/>
            <w:noWrap/>
            <w:hideMark/>
          </w:tcPr>
          <w:p w14:paraId="44558114" w14:textId="77777777" w:rsidR="0058789F" w:rsidRPr="009A37E5" w:rsidRDefault="0058789F" w:rsidP="00AD1066">
            <w:pPr>
              <w:pStyle w:val="TableBodyText"/>
            </w:pPr>
            <w:r w:rsidRPr="009A37E5">
              <w:t>Non-financial physical assets held for sale</w:t>
            </w:r>
          </w:p>
        </w:tc>
        <w:tc>
          <w:tcPr>
            <w:tcW w:w="0" w:type="pct"/>
            <w:noWrap/>
            <w:hideMark/>
          </w:tcPr>
          <w:p w14:paraId="1F45B79B" w14:textId="77777777" w:rsidR="0058789F" w:rsidRPr="00CC6B3B" w:rsidRDefault="0058789F" w:rsidP="00AD1066">
            <w:pPr>
              <w:pStyle w:val="TableBodyText"/>
            </w:pPr>
            <w:r>
              <w:fldChar w:fldCharType="begin"/>
            </w:r>
            <w:r>
              <w:instrText xml:space="preserve"> REF _Ref120714818 \r \h  \* MERGEFORMAT </w:instrText>
            </w:r>
            <w:r>
              <w:fldChar w:fldCharType="separate"/>
            </w:r>
            <w:r>
              <w:t>8.7</w:t>
            </w:r>
            <w:r>
              <w:fldChar w:fldCharType="end"/>
            </w:r>
          </w:p>
        </w:tc>
        <w:tc>
          <w:tcPr>
            <w:tcW w:w="0" w:type="pct"/>
            <w:shd w:val="clear" w:color="auto" w:fill="F2F2F2" w:themeFill="background1" w:themeFillShade="F2"/>
            <w:noWrap/>
          </w:tcPr>
          <w:p w14:paraId="50A178E5" w14:textId="77777777" w:rsidR="0058789F" w:rsidRPr="00FC3226" w:rsidRDefault="0058789F" w:rsidP="00AD1066">
            <w:pPr>
              <w:pStyle w:val="TableBodyTextrightalign"/>
            </w:pPr>
            <w:r w:rsidRPr="00FC3226">
              <w:t>60</w:t>
            </w:r>
          </w:p>
        </w:tc>
        <w:tc>
          <w:tcPr>
            <w:tcW w:w="0" w:type="pct"/>
            <w:noWrap/>
            <w:hideMark/>
          </w:tcPr>
          <w:p w14:paraId="5DA7BCE3" w14:textId="77777777" w:rsidR="0058789F" w:rsidRPr="00CC6B3B" w:rsidRDefault="0058789F" w:rsidP="00AD1066">
            <w:pPr>
              <w:pStyle w:val="TableBodyTextrightalign"/>
            </w:pPr>
            <w:r>
              <w:t>17</w:t>
            </w:r>
          </w:p>
        </w:tc>
      </w:tr>
      <w:tr w:rsidR="0058789F" w:rsidRPr="000F78B2" w14:paraId="662E075C" w14:textId="77777777" w:rsidTr="00AD1066">
        <w:trPr>
          <w:trHeight w:val="315"/>
        </w:trPr>
        <w:tc>
          <w:tcPr>
            <w:tcW w:w="0" w:type="pct"/>
            <w:noWrap/>
            <w:hideMark/>
          </w:tcPr>
          <w:p w14:paraId="11F3AB20" w14:textId="77777777" w:rsidR="0058789F" w:rsidRPr="009A37E5" w:rsidRDefault="0058789F" w:rsidP="00AD1066">
            <w:pPr>
              <w:pStyle w:val="TableBodyText"/>
            </w:pPr>
            <w:r w:rsidRPr="009A37E5">
              <w:t>Property, plant and equipment</w:t>
            </w:r>
          </w:p>
        </w:tc>
        <w:tc>
          <w:tcPr>
            <w:tcW w:w="0" w:type="pct"/>
            <w:noWrap/>
            <w:hideMark/>
          </w:tcPr>
          <w:p w14:paraId="4BF89A21" w14:textId="77777777" w:rsidR="0058789F" w:rsidRPr="00CC6B3B" w:rsidRDefault="0058789F" w:rsidP="00AD1066">
            <w:pPr>
              <w:pStyle w:val="TableBodyText"/>
            </w:pPr>
            <w:r>
              <w:fldChar w:fldCharType="begin"/>
            </w:r>
            <w:r>
              <w:instrText xml:space="preserve"> REF _Ref82072536 \r \h  \* MERGEFORMAT </w:instrText>
            </w:r>
            <w:r>
              <w:fldChar w:fldCharType="separate"/>
            </w:r>
            <w:r>
              <w:t>4.1</w:t>
            </w:r>
            <w:r>
              <w:fldChar w:fldCharType="end"/>
            </w:r>
          </w:p>
        </w:tc>
        <w:tc>
          <w:tcPr>
            <w:tcW w:w="0" w:type="pct"/>
            <w:shd w:val="clear" w:color="auto" w:fill="F2F2F2" w:themeFill="background1" w:themeFillShade="F2"/>
            <w:noWrap/>
          </w:tcPr>
          <w:p w14:paraId="1B3DC3F9" w14:textId="77777777" w:rsidR="0058789F" w:rsidRPr="00ED79A2" w:rsidRDefault="0058789F" w:rsidP="00ED79A2">
            <w:pPr>
              <w:pStyle w:val="TableBodyText"/>
            </w:pPr>
            <w:r w:rsidRPr="00ED79A2">
              <w:t>12,152</w:t>
            </w:r>
          </w:p>
        </w:tc>
        <w:tc>
          <w:tcPr>
            <w:tcW w:w="0" w:type="pct"/>
            <w:noWrap/>
            <w:hideMark/>
          </w:tcPr>
          <w:p w14:paraId="2B93F516" w14:textId="77777777" w:rsidR="0058789F" w:rsidRPr="000F78B2" w:rsidRDefault="0058789F" w:rsidP="00AD1066">
            <w:pPr>
              <w:pStyle w:val="TableBodyTextrightalign"/>
              <w:rPr>
                <w:bCs w:val="0"/>
              </w:rPr>
            </w:pPr>
            <w:r w:rsidRPr="008274BC">
              <w:t>14,586</w:t>
            </w:r>
          </w:p>
        </w:tc>
      </w:tr>
      <w:tr w:rsidR="0058789F" w:rsidRPr="000F78B2" w14:paraId="0C9A8F92" w14:textId="77777777" w:rsidTr="00AD1066">
        <w:trPr>
          <w:trHeight w:val="315"/>
        </w:trPr>
        <w:tc>
          <w:tcPr>
            <w:tcW w:w="0" w:type="pct"/>
            <w:noWrap/>
            <w:hideMark/>
          </w:tcPr>
          <w:p w14:paraId="0EDD415F" w14:textId="77777777" w:rsidR="0058789F" w:rsidRPr="009A37E5" w:rsidRDefault="0058789F" w:rsidP="00AD1066">
            <w:pPr>
              <w:pStyle w:val="TableBodyText"/>
            </w:pPr>
            <w:r w:rsidRPr="009A37E5">
              <w:t>Intangible assets</w:t>
            </w:r>
          </w:p>
        </w:tc>
        <w:tc>
          <w:tcPr>
            <w:tcW w:w="0" w:type="pct"/>
            <w:noWrap/>
            <w:hideMark/>
          </w:tcPr>
          <w:p w14:paraId="59219108" w14:textId="77777777" w:rsidR="0058789F" w:rsidRPr="00CC6B3B" w:rsidRDefault="0058789F" w:rsidP="00AD1066">
            <w:pPr>
              <w:pStyle w:val="TableBodyText"/>
            </w:pPr>
            <w:r>
              <w:fldChar w:fldCharType="begin"/>
            </w:r>
            <w:r>
              <w:instrText xml:space="preserve"> REF _Ref82072544 \r \h  \* MERGEFORMAT </w:instrText>
            </w:r>
            <w:r>
              <w:fldChar w:fldCharType="separate"/>
            </w:r>
            <w:r>
              <w:t>4.2</w:t>
            </w:r>
            <w:r>
              <w:fldChar w:fldCharType="end"/>
            </w:r>
          </w:p>
        </w:tc>
        <w:tc>
          <w:tcPr>
            <w:tcW w:w="0" w:type="pct"/>
            <w:shd w:val="clear" w:color="auto" w:fill="F2F2F2" w:themeFill="background1" w:themeFillShade="F2"/>
            <w:noWrap/>
          </w:tcPr>
          <w:p w14:paraId="77C5D098" w14:textId="77777777" w:rsidR="0058789F" w:rsidRPr="00ED79A2" w:rsidRDefault="0058789F" w:rsidP="00ED79A2">
            <w:pPr>
              <w:pStyle w:val="TableBodyText"/>
            </w:pPr>
            <w:r w:rsidRPr="00ED79A2">
              <w:t>102</w:t>
            </w:r>
          </w:p>
        </w:tc>
        <w:tc>
          <w:tcPr>
            <w:tcW w:w="0" w:type="pct"/>
            <w:noWrap/>
            <w:hideMark/>
          </w:tcPr>
          <w:p w14:paraId="7AE05E9C" w14:textId="77777777" w:rsidR="0058789F" w:rsidRPr="000F78B2" w:rsidRDefault="0058789F" w:rsidP="00AD1066">
            <w:pPr>
              <w:pStyle w:val="TableBodyTextrightalign"/>
              <w:rPr>
                <w:bCs w:val="0"/>
              </w:rPr>
            </w:pPr>
            <w:r w:rsidRPr="008274BC">
              <w:t>878</w:t>
            </w:r>
          </w:p>
        </w:tc>
      </w:tr>
      <w:tr w:rsidR="0058789F" w:rsidRPr="000F78B2" w14:paraId="64AE7AE5" w14:textId="77777777" w:rsidTr="00AD1066">
        <w:trPr>
          <w:trHeight w:val="300"/>
        </w:trPr>
        <w:tc>
          <w:tcPr>
            <w:tcW w:w="0" w:type="pct"/>
            <w:tcBorders>
              <w:bottom w:val="dotted" w:sz="4" w:space="0" w:color="auto"/>
            </w:tcBorders>
            <w:noWrap/>
            <w:hideMark/>
          </w:tcPr>
          <w:p w14:paraId="2082821F" w14:textId="77777777" w:rsidR="0058789F" w:rsidRPr="009A37E5" w:rsidRDefault="0058789F" w:rsidP="00AD1066">
            <w:pPr>
              <w:pStyle w:val="TableBodyText"/>
            </w:pPr>
            <w:r w:rsidRPr="009A37E5">
              <w:t>Other non-financial assets</w:t>
            </w:r>
          </w:p>
        </w:tc>
        <w:tc>
          <w:tcPr>
            <w:tcW w:w="0" w:type="pct"/>
            <w:tcBorders>
              <w:bottom w:val="dotted" w:sz="4" w:space="0" w:color="auto"/>
            </w:tcBorders>
            <w:noWrap/>
            <w:hideMark/>
          </w:tcPr>
          <w:p w14:paraId="49C6ADF0" w14:textId="77777777" w:rsidR="0058789F" w:rsidRPr="00CC6B3B" w:rsidRDefault="0058789F" w:rsidP="00AD1066">
            <w:pPr>
              <w:pStyle w:val="TableBodyText"/>
            </w:pPr>
            <w:r>
              <w:fldChar w:fldCharType="begin"/>
            </w:r>
            <w:r>
              <w:instrText xml:space="preserve"> REF _Ref82072553 \r \h  \* MERGEFORMAT </w:instrText>
            </w:r>
            <w:r>
              <w:fldChar w:fldCharType="separate"/>
            </w:r>
            <w:r>
              <w:t>5.3</w:t>
            </w:r>
            <w:r>
              <w:fldChar w:fldCharType="end"/>
            </w:r>
          </w:p>
        </w:tc>
        <w:tc>
          <w:tcPr>
            <w:tcW w:w="0" w:type="pct"/>
            <w:tcBorders>
              <w:bottom w:val="dotted" w:sz="4" w:space="0" w:color="auto"/>
            </w:tcBorders>
            <w:shd w:val="clear" w:color="auto" w:fill="F2F2F2" w:themeFill="background1" w:themeFillShade="F2"/>
            <w:noWrap/>
          </w:tcPr>
          <w:p w14:paraId="660B9F62" w14:textId="77777777" w:rsidR="0058789F" w:rsidRPr="00ED79A2" w:rsidRDefault="0058789F" w:rsidP="00ED79A2">
            <w:pPr>
              <w:pStyle w:val="TableBodyText"/>
            </w:pPr>
            <w:r w:rsidRPr="00ED79A2">
              <w:t>2,300</w:t>
            </w:r>
          </w:p>
        </w:tc>
        <w:tc>
          <w:tcPr>
            <w:tcW w:w="0" w:type="pct"/>
            <w:tcBorders>
              <w:bottom w:val="dotted" w:sz="4" w:space="0" w:color="auto"/>
            </w:tcBorders>
            <w:noWrap/>
            <w:hideMark/>
          </w:tcPr>
          <w:p w14:paraId="66EE7294" w14:textId="77777777" w:rsidR="0058789F" w:rsidRPr="000F78B2" w:rsidRDefault="0058789F" w:rsidP="00AD1066">
            <w:pPr>
              <w:pStyle w:val="TableBodyTextrightalign"/>
              <w:rPr>
                <w:bCs w:val="0"/>
              </w:rPr>
            </w:pPr>
            <w:r w:rsidRPr="008274BC">
              <w:t>1,924</w:t>
            </w:r>
          </w:p>
        </w:tc>
      </w:tr>
      <w:tr w:rsidR="0058789F" w:rsidRPr="009A37E5" w14:paraId="522B5DE6" w14:textId="77777777" w:rsidTr="00AD1066">
        <w:trPr>
          <w:trHeight w:val="300"/>
        </w:trPr>
        <w:tc>
          <w:tcPr>
            <w:tcW w:w="0" w:type="pct"/>
            <w:tcBorders>
              <w:top w:val="dotted" w:sz="4" w:space="0" w:color="auto"/>
              <w:bottom w:val="single" w:sz="4" w:space="0" w:color="auto"/>
            </w:tcBorders>
            <w:noWrap/>
            <w:hideMark/>
          </w:tcPr>
          <w:p w14:paraId="14AD88F2" w14:textId="77777777" w:rsidR="0058789F" w:rsidRPr="00CC6B3B" w:rsidRDefault="0058789F" w:rsidP="00AD1066">
            <w:pPr>
              <w:pStyle w:val="TableBodyText"/>
              <w:rPr>
                <w:rStyle w:val="Characterbold"/>
              </w:rPr>
            </w:pPr>
            <w:r w:rsidRPr="00CC6B3B">
              <w:rPr>
                <w:rStyle w:val="Characterbold"/>
              </w:rPr>
              <w:t>Total non-financial assets</w:t>
            </w:r>
          </w:p>
        </w:tc>
        <w:tc>
          <w:tcPr>
            <w:tcW w:w="0" w:type="pct"/>
            <w:tcBorders>
              <w:top w:val="dotted" w:sz="4" w:space="0" w:color="auto"/>
              <w:bottom w:val="single" w:sz="4" w:space="0" w:color="auto"/>
            </w:tcBorders>
            <w:noWrap/>
            <w:hideMark/>
          </w:tcPr>
          <w:p w14:paraId="606B7903" w14:textId="77777777" w:rsidR="0058789F" w:rsidRPr="00CC6B3B" w:rsidRDefault="0058789F" w:rsidP="00AD1066">
            <w:pPr>
              <w:pStyle w:val="TableBodyText"/>
              <w:rPr>
                <w:rStyle w:val="Characterbold"/>
              </w:rPr>
            </w:pPr>
            <w:r w:rsidRPr="00CC6B3B">
              <w:rPr>
                <w:rStyle w:val="Characterbold"/>
              </w:rPr>
              <w:t xml:space="preserve"> </w:t>
            </w:r>
          </w:p>
        </w:tc>
        <w:tc>
          <w:tcPr>
            <w:tcW w:w="0" w:type="pct"/>
            <w:tcBorders>
              <w:top w:val="dotted" w:sz="4" w:space="0" w:color="auto"/>
              <w:bottom w:val="single" w:sz="4" w:space="0" w:color="auto"/>
            </w:tcBorders>
            <w:shd w:val="clear" w:color="auto" w:fill="F2F2F2" w:themeFill="background1" w:themeFillShade="F2"/>
            <w:noWrap/>
          </w:tcPr>
          <w:p w14:paraId="160E64C6" w14:textId="77777777" w:rsidR="0058789F" w:rsidRPr="00FC3226" w:rsidRDefault="0058789F" w:rsidP="00AD1066">
            <w:pPr>
              <w:pStyle w:val="TableBodyTextrightalign"/>
              <w:rPr>
                <w:rStyle w:val="Characterbold"/>
                <w:bCs w:val="0"/>
              </w:rPr>
            </w:pPr>
            <w:r w:rsidRPr="00FC3226">
              <w:rPr>
                <w:rStyle w:val="Characterbold"/>
                <w:bCs w:val="0"/>
              </w:rPr>
              <w:t>14,614</w:t>
            </w:r>
          </w:p>
        </w:tc>
        <w:tc>
          <w:tcPr>
            <w:tcW w:w="0" w:type="pct"/>
            <w:tcBorders>
              <w:top w:val="dotted" w:sz="4" w:space="0" w:color="auto"/>
              <w:bottom w:val="single" w:sz="4" w:space="0" w:color="auto"/>
            </w:tcBorders>
            <w:noWrap/>
            <w:hideMark/>
          </w:tcPr>
          <w:p w14:paraId="413CBCFF" w14:textId="77777777" w:rsidR="0058789F" w:rsidRPr="00CC6B3B" w:rsidRDefault="0058789F" w:rsidP="00AD1066">
            <w:pPr>
              <w:pStyle w:val="TableBodyTextrightalign"/>
              <w:rPr>
                <w:rStyle w:val="Characterbold"/>
              </w:rPr>
            </w:pPr>
            <w:r>
              <w:rPr>
                <w:rStyle w:val="Characterbold"/>
              </w:rPr>
              <w:t>17,406</w:t>
            </w:r>
          </w:p>
        </w:tc>
      </w:tr>
      <w:tr w:rsidR="0058789F" w:rsidRPr="009A37E5" w14:paraId="7BF0010A" w14:textId="77777777" w:rsidTr="00AD1066">
        <w:trPr>
          <w:trHeight w:val="300"/>
        </w:trPr>
        <w:tc>
          <w:tcPr>
            <w:tcW w:w="0" w:type="pct"/>
            <w:tcBorders>
              <w:top w:val="single" w:sz="4" w:space="0" w:color="auto"/>
              <w:bottom w:val="single" w:sz="4" w:space="0" w:color="auto"/>
            </w:tcBorders>
            <w:noWrap/>
            <w:hideMark/>
          </w:tcPr>
          <w:p w14:paraId="64BE2388" w14:textId="77777777" w:rsidR="0058789F" w:rsidRPr="00CC6B3B" w:rsidRDefault="0058789F" w:rsidP="00AD1066">
            <w:pPr>
              <w:pStyle w:val="TableBodyText"/>
              <w:rPr>
                <w:rStyle w:val="Characterbold"/>
              </w:rPr>
            </w:pPr>
            <w:r w:rsidRPr="00CC6B3B">
              <w:rPr>
                <w:rStyle w:val="Characterbold"/>
              </w:rPr>
              <w:t>Total assets</w:t>
            </w:r>
          </w:p>
        </w:tc>
        <w:tc>
          <w:tcPr>
            <w:tcW w:w="0" w:type="pct"/>
            <w:tcBorders>
              <w:top w:val="single" w:sz="4" w:space="0" w:color="auto"/>
              <w:bottom w:val="single" w:sz="4" w:space="0" w:color="auto"/>
            </w:tcBorders>
            <w:noWrap/>
            <w:hideMark/>
          </w:tcPr>
          <w:p w14:paraId="6D661695" w14:textId="77777777" w:rsidR="0058789F" w:rsidRPr="00CC6B3B" w:rsidRDefault="0058789F" w:rsidP="00AD1066">
            <w:pPr>
              <w:pStyle w:val="TableBodyText"/>
              <w:rPr>
                <w:rStyle w:val="Characterbold"/>
              </w:rPr>
            </w:pPr>
            <w:r w:rsidRPr="00CC6B3B">
              <w:rPr>
                <w:rStyle w:val="Characterbold"/>
              </w:rPr>
              <w:t xml:space="preserve"> </w:t>
            </w:r>
          </w:p>
        </w:tc>
        <w:tc>
          <w:tcPr>
            <w:tcW w:w="0" w:type="pct"/>
            <w:tcBorders>
              <w:top w:val="single" w:sz="4" w:space="0" w:color="auto"/>
              <w:bottom w:val="single" w:sz="4" w:space="0" w:color="auto"/>
            </w:tcBorders>
            <w:shd w:val="clear" w:color="auto" w:fill="F2F2F2" w:themeFill="background1" w:themeFillShade="F2"/>
            <w:noWrap/>
          </w:tcPr>
          <w:p w14:paraId="007D4DD7" w14:textId="77777777" w:rsidR="0058789F" w:rsidRPr="00CC6B3B" w:rsidRDefault="0058789F" w:rsidP="00AD1066">
            <w:pPr>
              <w:pStyle w:val="TableBodyTextrightalign"/>
              <w:rPr>
                <w:rStyle w:val="Characterbold"/>
              </w:rPr>
            </w:pPr>
            <w:r>
              <w:rPr>
                <w:rStyle w:val="Characterbold"/>
              </w:rPr>
              <w:t>33,899</w:t>
            </w:r>
          </w:p>
        </w:tc>
        <w:tc>
          <w:tcPr>
            <w:tcW w:w="0" w:type="pct"/>
            <w:tcBorders>
              <w:top w:val="single" w:sz="4" w:space="0" w:color="auto"/>
              <w:bottom w:val="single" w:sz="4" w:space="0" w:color="auto"/>
            </w:tcBorders>
            <w:noWrap/>
            <w:hideMark/>
          </w:tcPr>
          <w:p w14:paraId="621FE062" w14:textId="77777777" w:rsidR="0058789F" w:rsidRPr="00CC6B3B" w:rsidRDefault="0058789F" w:rsidP="00AD1066">
            <w:pPr>
              <w:pStyle w:val="TableBodyTextrightalign"/>
              <w:rPr>
                <w:rStyle w:val="Characterbold"/>
              </w:rPr>
            </w:pPr>
            <w:r>
              <w:rPr>
                <w:rStyle w:val="Characterbold"/>
              </w:rPr>
              <w:t>36,284</w:t>
            </w:r>
          </w:p>
        </w:tc>
      </w:tr>
      <w:tr w:rsidR="0058789F" w:rsidRPr="009A37E5" w14:paraId="57365B84" w14:textId="77777777" w:rsidTr="00AD1066">
        <w:trPr>
          <w:trHeight w:val="300"/>
        </w:trPr>
        <w:tc>
          <w:tcPr>
            <w:tcW w:w="0" w:type="pct"/>
            <w:gridSpan w:val="4"/>
            <w:tcBorders>
              <w:top w:val="single" w:sz="4" w:space="0" w:color="auto"/>
            </w:tcBorders>
            <w:noWrap/>
            <w:hideMark/>
          </w:tcPr>
          <w:p w14:paraId="4164E873" w14:textId="77777777" w:rsidR="0058789F" w:rsidRPr="009A37E5" w:rsidRDefault="0058789F" w:rsidP="00AD1066">
            <w:pPr>
              <w:pStyle w:val="TableBodyTextsmall"/>
            </w:pPr>
          </w:p>
        </w:tc>
      </w:tr>
      <w:tr w:rsidR="0058789F" w:rsidRPr="009A37E5" w14:paraId="51D01EFD" w14:textId="77777777" w:rsidTr="00AD1066">
        <w:trPr>
          <w:trHeight w:val="300"/>
        </w:trPr>
        <w:tc>
          <w:tcPr>
            <w:tcW w:w="0" w:type="pct"/>
            <w:gridSpan w:val="4"/>
            <w:shd w:val="clear" w:color="auto" w:fill="D9D9D9" w:themeFill="background1" w:themeFillShade="D9"/>
            <w:noWrap/>
            <w:hideMark/>
          </w:tcPr>
          <w:p w14:paraId="5B61CBB1" w14:textId="77777777" w:rsidR="0058789F" w:rsidRPr="009A37E5" w:rsidRDefault="0058789F" w:rsidP="00AD1066">
            <w:pPr>
              <w:pStyle w:val="TableHeading1"/>
            </w:pPr>
            <w:r w:rsidRPr="009A37E5">
              <w:t xml:space="preserve">Liabilities </w:t>
            </w:r>
          </w:p>
        </w:tc>
      </w:tr>
      <w:tr w:rsidR="0058789F" w:rsidRPr="009A37E5" w14:paraId="2F92B385" w14:textId="77777777" w:rsidTr="00AD1066">
        <w:trPr>
          <w:trHeight w:val="300"/>
        </w:trPr>
        <w:tc>
          <w:tcPr>
            <w:tcW w:w="0" w:type="pct"/>
            <w:noWrap/>
            <w:hideMark/>
          </w:tcPr>
          <w:p w14:paraId="3841BA02" w14:textId="77777777" w:rsidR="0058789F" w:rsidRPr="009A37E5" w:rsidRDefault="0058789F" w:rsidP="00AD1066">
            <w:pPr>
              <w:pStyle w:val="TableBodyText"/>
            </w:pPr>
            <w:r w:rsidRPr="009A37E5">
              <w:t>Payables</w:t>
            </w:r>
          </w:p>
        </w:tc>
        <w:tc>
          <w:tcPr>
            <w:tcW w:w="0" w:type="pct"/>
            <w:noWrap/>
            <w:hideMark/>
          </w:tcPr>
          <w:p w14:paraId="4C89C05C" w14:textId="77777777" w:rsidR="0058789F" w:rsidRPr="00CC6B3B" w:rsidRDefault="0058789F" w:rsidP="00AD1066">
            <w:pPr>
              <w:pStyle w:val="TableBodyText"/>
            </w:pPr>
            <w:r>
              <w:fldChar w:fldCharType="begin"/>
            </w:r>
            <w:r>
              <w:instrText xml:space="preserve"> REF _Ref82072561 \r \h  \* MERGEFORMAT </w:instrText>
            </w:r>
            <w:r>
              <w:fldChar w:fldCharType="separate"/>
            </w:r>
            <w:r>
              <w:t>5.2</w:t>
            </w:r>
            <w:r>
              <w:fldChar w:fldCharType="end"/>
            </w:r>
          </w:p>
        </w:tc>
        <w:tc>
          <w:tcPr>
            <w:tcW w:w="0" w:type="pct"/>
            <w:shd w:val="clear" w:color="auto" w:fill="F2F2F2" w:themeFill="background1" w:themeFillShade="F2"/>
            <w:noWrap/>
          </w:tcPr>
          <w:p w14:paraId="5BA556E5" w14:textId="77777777" w:rsidR="0058789F" w:rsidRPr="00ED79A2" w:rsidRDefault="0058789F" w:rsidP="00ED79A2">
            <w:pPr>
              <w:pStyle w:val="TableBodyText"/>
            </w:pPr>
            <w:r w:rsidRPr="00ED79A2">
              <w:t>1,778</w:t>
            </w:r>
          </w:p>
        </w:tc>
        <w:tc>
          <w:tcPr>
            <w:tcW w:w="0" w:type="pct"/>
            <w:noWrap/>
            <w:hideMark/>
          </w:tcPr>
          <w:p w14:paraId="71038859" w14:textId="77777777" w:rsidR="0058789F" w:rsidRPr="001610F6" w:rsidRDefault="0058789F" w:rsidP="00AD1066">
            <w:pPr>
              <w:pStyle w:val="TableBodyTextrightalign"/>
              <w:rPr>
                <w:b/>
              </w:rPr>
            </w:pPr>
            <w:r w:rsidRPr="008274BC">
              <w:t>2,750</w:t>
            </w:r>
          </w:p>
        </w:tc>
      </w:tr>
      <w:tr w:rsidR="0058789F" w:rsidRPr="009A37E5" w14:paraId="63888A97" w14:textId="77777777" w:rsidTr="00AD1066">
        <w:trPr>
          <w:trHeight w:val="300"/>
        </w:trPr>
        <w:tc>
          <w:tcPr>
            <w:tcW w:w="0" w:type="pct"/>
            <w:noWrap/>
            <w:hideMark/>
          </w:tcPr>
          <w:p w14:paraId="29FDD274" w14:textId="77777777" w:rsidR="0058789F" w:rsidRPr="009A37E5" w:rsidRDefault="0058789F" w:rsidP="00AD1066">
            <w:pPr>
              <w:pStyle w:val="TableBodyText"/>
            </w:pPr>
            <w:r w:rsidRPr="009A37E5">
              <w:t>Borrowings</w:t>
            </w:r>
          </w:p>
        </w:tc>
        <w:tc>
          <w:tcPr>
            <w:tcW w:w="0" w:type="pct"/>
            <w:noWrap/>
            <w:hideMark/>
          </w:tcPr>
          <w:p w14:paraId="097F7D84" w14:textId="77777777" w:rsidR="0058789F" w:rsidRPr="00CC6B3B" w:rsidRDefault="0058789F" w:rsidP="00AD1066">
            <w:pPr>
              <w:pStyle w:val="TableBodyText"/>
            </w:pPr>
            <w:r>
              <w:fldChar w:fldCharType="begin"/>
            </w:r>
            <w:r>
              <w:instrText xml:space="preserve"> REF _Ref82072568 \r \h  \* MERGEFORMAT </w:instrText>
            </w:r>
            <w:r>
              <w:fldChar w:fldCharType="separate"/>
            </w:r>
            <w:r>
              <w:t>6.1</w:t>
            </w:r>
            <w:r>
              <w:fldChar w:fldCharType="end"/>
            </w:r>
          </w:p>
        </w:tc>
        <w:tc>
          <w:tcPr>
            <w:tcW w:w="0" w:type="pct"/>
            <w:shd w:val="clear" w:color="auto" w:fill="F2F2F2" w:themeFill="background1" w:themeFillShade="F2"/>
            <w:noWrap/>
          </w:tcPr>
          <w:p w14:paraId="7AFEEE77" w14:textId="77777777" w:rsidR="0058789F" w:rsidRPr="00ED79A2" w:rsidRDefault="0058789F" w:rsidP="00ED79A2">
            <w:pPr>
              <w:pStyle w:val="TableBodyText"/>
            </w:pPr>
            <w:r w:rsidRPr="00ED79A2">
              <w:t>9,169</w:t>
            </w:r>
          </w:p>
        </w:tc>
        <w:tc>
          <w:tcPr>
            <w:tcW w:w="0" w:type="pct"/>
            <w:noWrap/>
            <w:hideMark/>
          </w:tcPr>
          <w:p w14:paraId="210F504E" w14:textId="77777777" w:rsidR="0058789F" w:rsidRPr="001610F6" w:rsidRDefault="0058789F" w:rsidP="00AD1066">
            <w:pPr>
              <w:pStyle w:val="TableBodyTextrightalign"/>
              <w:rPr>
                <w:b/>
              </w:rPr>
            </w:pPr>
            <w:r w:rsidRPr="008274BC">
              <w:t>12,235</w:t>
            </w:r>
          </w:p>
        </w:tc>
      </w:tr>
      <w:tr w:rsidR="0058789F" w:rsidRPr="009A37E5" w14:paraId="388B6021" w14:textId="77777777" w:rsidTr="00AD1066">
        <w:trPr>
          <w:trHeight w:val="300"/>
        </w:trPr>
        <w:tc>
          <w:tcPr>
            <w:tcW w:w="0" w:type="pct"/>
            <w:noWrap/>
            <w:hideMark/>
          </w:tcPr>
          <w:p w14:paraId="08399CEC" w14:textId="77777777" w:rsidR="0058789F" w:rsidRPr="009A37E5" w:rsidRDefault="0058789F" w:rsidP="00AD1066">
            <w:pPr>
              <w:pStyle w:val="TableBodyText"/>
            </w:pPr>
            <w:r w:rsidRPr="009A37E5">
              <w:t>Employee</w:t>
            </w:r>
            <w:r>
              <w:t>-</w:t>
            </w:r>
            <w:r w:rsidRPr="009A37E5">
              <w:t>related provisions</w:t>
            </w:r>
          </w:p>
        </w:tc>
        <w:tc>
          <w:tcPr>
            <w:tcW w:w="0" w:type="pct"/>
            <w:noWrap/>
            <w:hideMark/>
          </w:tcPr>
          <w:p w14:paraId="2545C9F3" w14:textId="77777777" w:rsidR="0058789F" w:rsidRPr="00CC6B3B" w:rsidRDefault="0058789F" w:rsidP="00AD1066">
            <w:pPr>
              <w:pStyle w:val="TableBodyText"/>
            </w:pPr>
            <w:r>
              <w:fldChar w:fldCharType="begin"/>
            </w:r>
            <w:r>
              <w:instrText xml:space="preserve"> REF _Ref82072579 \r \h  \* MERGEFORMAT </w:instrText>
            </w:r>
            <w:r>
              <w:fldChar w:fldCharType="separate"/>
            </w:r>
            <w:r>
              <w:t>3.1.2</w:t>
            </w:r>
            <w:r>
              <w:fldChar w:fldCharType="end"/>
            </w:r>
          </w:p>
        </w:tc>
        <w:tc>
          <w:tcPr>
            <w:tcW w:w="0" w:type="pct"/>
            <w:shd w:val="clear" w:color="auto" w:fill="F2F2F2" w:themeFill="background1" w:themeFillShade="F2"/>
            <w:noWrap/>
          </w:tcPr>
          <w:p w14:paraId="01613C4F" w14:textId="77777777" w:rsidR="0058789F" w:rsidRPr="00ED79A2" w:rsidRDefault="0058789F" w:rsidP="00ED79A2">
            <w:pPr>
              <w:pStyle w:val="TableBodyText"/>
            </w:pPr>
            <w:r w:rsidRPr="00ED79A2">
              <w:t>8,210</w:t>
            </w:r>
          </w:p>
        </w:tc>
        <w:tc>
          <w:tcPr>
            <w:tcW w:w="0" w:type="pct"/>
            <w:noWrap/>
            <w:hideMark/>
          </w:tcPr>
          <w:p w14:paraId="0A534BB0" w14:textId="77777777" w:rsidR="0058789F" w:rsidRPr="001610F6" w:rsidRDefault="0058789F" w:rsidP="00AD1066">
            <w:pPr>
              <w:pStyle w:val="TableBodyTextrightalign"/>
              <w:rPr>
                <w:b/>
              </w:rPr>
            </w:pPr>
            <w:r w:rsidRPr="008274BC">
              <w:t>7,486</w:t>
            </w:r>
          </w:p>
        </w:tc>
      </w:tr>
      <w:tr w:rsidR="0058789F" w:rsidRPr="009A37E5" w14:paraId="711D1820" w14:textId="77777777" w:rsidTr="00AD1066">
        <w:trPr>
          <w:trHeight w:val="300"/>
        </w:trPr>
        <w:tc>
          <w:tcPr>
            <w:tcW w:w="0" w:type="pct"/>
            <w:tcBorders>
              <w:bottom w:val="dotted" w:sz="4" w:space="0" w:color="auto"/>
            </w:tcBorders>
            <w:noWrap/>
            <w:hideMark/>
          </w:tcPr>
          <w:p w14:paraId="55F39203" w14:textId="77777777" w:rsidR="0058789F" w:rsidRPr="009A37E5" w:rsidRDefault="0058789F" w:rsidP="00AD1066">
            <w:pPr>
              <w:pStyle w:val="TableBodyText"/>
            </w:pPr>
            <w:r w:rsidRPr="009A37E5">
              <w:t>Other provisions</w:t>
            </w:r>
          </w:p>
        </w:tc>
        <w:tc>
          <w:tcPr>
            <w:tcW w:w="0" w:type="pct"/>
            <w:tcBorders>
              <w:bottom w:val="dotted" w:sz="4" w:space="0" w:color="auto"/>
            </w:tcBorders>
            <w:noWrap/>
            <w:hideMark/>
          </w:tcPr>
          <w:p w14:paraId="7C357246" w14:textId="77777777" w:rsidR="0058789F" w:rsidRPr="00CC6B3B" w:rsidRDefault="0058789F" w:rsidP="00AD1066">
            <w:pPr>
              <w:pStyle w:val="TableBodyText"/>
            </w:pPr>
            <w:r>
              <w:fldChar w:fldCharType="begin"/>
            </w:r>
            <w:r>
              <w:instrText xml:space="preserve"> REF _Ref82072589 \r \h  \* MERGEFORMAT </w:instrText>
            </w:r>
            <w:r>
              <w:fldChar w:fldCharType="separate"/>
            </w:r>
            <w:r>
              <w:t>5.4</w:t>
            </w:r>
            <w:r>
              <w:fldChar w:fldCharType="end"/>
            </w:r>
          </w:p>
        </w:tc>
        <w:tc>
          <w:tcPr>
            <w:tcW w:w="0" w:type="pct"/>
            <w:tcBorders>
              <w:bottom w:val="dotted" w:sz="4" w:space="0" w:color="auto"/>
            </w:tcBorders>
            <w:shd w:val="clear" w:color="auto" w:fill="F2F2F2" w:themeFill="background1" w:themeFillShade="F2"/>
            <w:noWrap/>
          </w:tcPr>
          <w:p w14:paraId="296DEAEE" w14:textId="77777777" w:rsidR="0058789F" w:rsidRPr="00ED79A2" w:rsidRDefault="0058789F" w:rsidP="00ED79A2">
            <w:pPr>
              <w:pStyle w:val="TableBodyText"/>
            </w:pPr>
            <w:r w:rsidRPr="00ED79A2">
              <w:t>121</w:t>
            </w:r>
          </w:p>
        </w:tc>
        <w:tc>
          <w:tcPr>
            <w:tcW w:w="0" w:type="pct"/>
            <w:tcBorders>
              <w:bottom w:val="dotted" w:sz="4" w:space="0" w:color="auto"/>
            </w:tcBorders>
            <w:noWrap/>
            <w:hideMark/>
          </w:tcPr>
          <w:p w14:paraId="78DA7DE8" w14:textId="77777777" w:rsidR="0058789F" w:rsidRPr="001610F6" w:rsidRDefault="0058789F" w:rsidP="00AD1066">
            <w:pPr>
              <w:pStyle w:val="TableBodyTextrightalign"/>
              <w:rPr>
                <w:b/>
              </w:rPr>
            </w:pPr>
            <w:r w:rsidRPr="008274BC">
              <w:t>121</w:t>
            </w:r>
          </w:p>
        </w:tc>
      </w:tr>
      <w:tr w:rsidR="0058789F" w:rsidRPr="009A37E5" w14:paraId="5FC3A368" w14:textId="77777777" w:rsidTr="00AD1066">
        <w:trPr>
          <w:trHeight w:val="315"/>
        </w:trPr>
        <w:tc>
          <w:tcPr>
            <w:tcW w:w="0" w:type="pct"/>
            <w:tcBorders>
              <w:top w:val="dotted" w:sz="4" w:space="0" w:color="auto"/>
              <w:bottom w:val="single" w:sz="4" w:space="0" w:color="auto"/>
            </w:tcBorders>
            <w:noWrap/>
            <w:hideMark/>
          </w:tcPr>
          <w:p w14:paraId="043384BB" w14:textId="77777777" w:rsidR="0058789F" w:rsidRPr="00CC6B3B" w:rsidRDefault="0058789F" w:rsidP="00AD1066">
            <w:pPr>
              <w:pStyle w:val="TableBodyText"/>
              <w:rPr>
                <w:rStyle w:val="Characterbold"/>
              </w:rPr>
            </w:pPr>
            <w:r w:rsidRPr="00CC6B3B">
              <w:rPr>
                <w:rStyle w:val="Characterbold"/>
              </w:rPr>
              <w:t>Total liabilities</w:t>
            </w:r>
          </w:p>
        </w:tc>
        <w:tc>
          <w:tcPr>
            <w:tcW w:w="0" w:type="pct"/>
            <w:tcBorders>
              <w:top w:val="dotted" w:sz="4" w:space="0" w:color="auto"/>
              <w:bottom w:val="single" w:sz="4" w:space="0" w:color="auto"/>
            </w:tcBorders>
            <w:noWrap/>
            <w:hideMark/>
          </w:tcPr>
          <w:p w14:paraId="4777AC36" w14:textId="77777777" w:rsidR="0058789F" w:rsidRPr="00CC6B3B" w:rsidRDefault="0058789F" w:rsidP="00AD1066">
            <w:pPr>
              <w:pStyle w:val="TableBodyTextrightalign"/>
              <w:rPr>
                <w:rStyle w:val="Characterbold"/>
              </w:rPr>
            </w:pPr>
            <w:r w:rsidRPr="00CC6B3B">
              <w:rPr>
                <w:rStyle w:val="Characterbold"/>
              </w:rPr>
              <w:t xml:space="preserve"> </w:t>
            </w:r>
          </w:p>
        </w:tc>
        <w:tc>
          <w:tcPr>
            <w:tcW w:w="0" w:type="pct"/>
            <w:tcBorders>
              <w:top w:val="dotted" w:sz="4" w:space="0" w:color="auto"/>
              <w:bottom w:val="single" w:sz="4" w:space="0" w:color="auto"/>
            </w:tcBorders>
            <w:shd w:val="clear" w:color="auto" w:fill="F2F2F2" w:themeFill="background1" w:themeFillShade="F2"/>
            <w:noWrap/>
          </w:tcPr>
          <w:p w14:paraId="551668E2" w14:textId="77777777" w:rsidR="0058789F" w:rsidRPr="00CC6B3B" w:rsidRDefault="0058789F" w:rsidP="00AD1066">
            <w:pPr>
              <w:pStyle w:val="TableBodyTextrightalign"/>
              <w:rPr>
                <w:rStyle w:val="Characterbold"/>
              </w:rPr>
            </w:pPr>
            <w:r>
              <w:rPr>
                <w:rStyle w:val="Characterbold"/>
              </w:rPr>
              <w:t>19,278</w:t>
            </w:r>
          </w:p>
        </w:tc>
        <w:tc>
          <w:tcPr>
            <w:tcW w:w="0" w:type="pct"/>
            <w:tcBorders>
              <w:top w:val="dotted" w:sz="4" w:space="0" w:color="auto"/>
              <w:bottom w:val="single" w:sz="4" w:space="0" w:color="auto"/>
            </w:tcBorders>
            <w:noWrap/>
            <w:hideMark/>
          </w:tcPr>
          <w:p w14:paraId="57C29B10" w14:textId="77777777" w:rsidR="0058789F" w:rsidRPr="00CC6B3B" w:rsidRDefault="0058789F" w:rsidP="00AD1066">
            <w:pPr>
              <w:pStyle w:val="TableBodyTextrightalign"/>
              <w:rPr>
                <w:rStyle w:val="Characterbold"/>
              </w:rPr>
            </w:pPr>
            <w:r>
              <w:rPr>
                <w:rStyle w:val="Characterbold"/>
              </w:rPr>
              <w:t>22,592</w:t>
            </w:r>
          </w:p>
        </w:tc>
      </w:tr>
      <w:tr w:rsidR="0058789F" w:rsidRPr="009A37E5" w14:paraId="31DEE2A0" w14:textId="77777777" w:rsidTr="00AD1066">
        <w:trPr>
          <w:trHeight w:val="315"/>
        </w:trPr>
        <w:tc>
          <w:tcPr>
            <w:tcW w:w="0" w:type="pct"/>
            <w:tcBorders>
              <w:top w:val="single" w:sz="4" w:space="0" w:color="auto"/>
              <w:bottom w:val="single" w:sz="4" w:space="0" w:color="auto"/>
            </w:tcBorders>
            <w:noWrap/>
            <w:hideMark/>
          </w:tcPr>
          <w:p w14:paraId="6F60AA84" w14:textId="77777777" w:rsidR="0058789F" w:rsidRPr="00CC6B3B" w:rsidRDefault="0058789F" w:rsidP="00AD1066">
            <w:pPr>
              <w:pStyle w:val="TableBodyText"/>
              <w:rPr>
                <w:rStyle w:val="Characterbold"/>
              </w:rPr>
            </w:pPr>
            <w:r w:rsidRPr="00CC6B3B">
              <w:rPr>
                <w:rStyle w:val="Characterbold"/>
              </w:rPr>
              <w:t>Net assets</w:t>
            </w:r>
          </w:p>
        </w:tc>
        <w:tc>
          <w:tcPr>
            <w:tcW w:w="0" w:type="pct"/>
            <w:tcBorders>
              <w:top w:val="single" w:sz="4" w:space="0" w:color="auto"/>
              <w:bottom w:val="single" w:sz="4" w:space="0" w:color="auto"/>
            </w:tcBorders>
            <w:noWrap/>
            <w:hideMark/>
          </w:tcPr>
          <w:p w14:paraId="6A7A6CB5" w14:textId="77777777" w:rsidR="0058789F" w:rsidRPr="00CC6B3B" w:rsidRDefault="0058789F" w:rsidP="00AD1066">
            <w:pPr>
              <w:pStyle w:val="TableBodyTextrightalign"/>
              <w:rPr>
                <w:rStyle w:val="Characterbold"/>
              </w:rPr>
            </w:pPr>
            <w:r w:rsidRPr="00CC6B3B">
              <w:rPr>
                <w:rStyle w:val="Characterbold"/>
              </w:rPr>
              <w:t xml:space="preserve"> </w:t>
            </w:r>
          </w:p>
        </w:tc>
        <w:tc>
          <w:tcPr>
            <w:tcW w:w="0" w:type="pct"/>
            <w:tcBorders>
              <w:top w:val="single" w:sz="4" w:space="0" w:color="auto"/>
              <w:bottom w:val="single" w:sz="4" w:space="0" w:color="auto"/>
            </w:tcBorders>
            <w:shd w:val="clear" w:color="auto" w:fill="F2F2F2" w:themeFill="background1" w:themeFillShade="F2"/>
            <w:noWrap/>
          </w:tcPr>
          <w:p w14:paraId="75A9452D" w14:textId="77777777" w:rsidR="0058789F" w:rsidRPr="00CC6B3B" w:rsidRDefault="0058789F" w:rsidP="00AD1066">
            <w:pPr>
              <w:pStyle w:val="TableBodyTextrightalign"/>
              <w:rPr>
                <w:rStyle w:val="Characterbold"/>
              </w:rPr>
            </w:pPr>
            <w:r>
              <w:rPr>
                <w:rStyle w:val="Characterbold"/>
              </w:rPr>
              <w:t>14,622</w:t>
            </w:r>
          </w:p>
        </w:tc>
        <w:tc>
          <w:tcPr>
            <w:tcW w:w="0" w:type="pct"/>
            <w:tcBorders>
              <w:top w:val="single" w:sz="4" w:space="0" w:color="auto"/>
              <w:bottom w:val="single" w:sz="4" w:space="0" w:color="auto"/>
            </w:tcBorders>
            <w:noWrap/>
            <w:hideMark/>
          </w:tcPr>
          <w:p w14:paraId="79CFBEFD" w14:textId="77777777" w:rsidR="0058789F" w:rsidRPr="00CC6B3B" w:rsidRDefault="0058789F" w:rsidP="00AD1066">
            <w:pPr>
              <w:pStyle w:val="TableBodyTextrightalign"/>
              <w:rPr>
                <w:rStyle w:val="Characterbold"/>
              </w:rPr>
            </w:pPr>
            <w:r>
              <w:rPr>
                <w:rStyle w:val="Characterbold"/>
              </w:rPr>
              <w:t>13,693</w:t>
            </w:r>
          </w:p>
        </w:tc>
      </w:tr>
      <w:tr w:rsidR="0058789F" w:rsidRPr="009A37E5" w14:paraId="4247E832" w14:textId="77777777" w:rsidTr="00AD1066">
        <w:trPr>
          <w:trHeight w:val="300"/>
        </w:trPr>
        <w:tc>
          <w:tcPr>
            <w:tcW w:w="0" w:type="pct"/>
            <w:gridSpan w:val="4"/>
            <w:tcBorders>
              <w:top w:val="single" w:sz="4" w:space="0" w:color="auto"/>
            </w:tcBorders>
            <w:noWrap/>
            <w:hideMark/>
          </w:tcPr>
          <w:p w14:paraId="4EA8F18F" w14:textId="77777777" w:rsidR="0058789F" w:rsidRPr="009A37E5" w:rsidRDefault="0058789F" w:rsidP="00AD1066">
            <w:pPr>
              <w:pStyle w:val="TableBodyTextsmall"/>
            </w:pPr>
          </w:p>
        </w:tc>
      </w:tr>
      <w:tr w:rsidR="0058789F" w:rsidRPr="009A37E5" w14:paraId="2E46E329" w14:textId="77777777" w:rsidTr="00AD1066">
        <w:trPr>
          <w:trHeight w:val="300"/>
        </w:trPr>
        <w:tc>
          <w:tcPr>
            <w:tcW w:w="0" w:type="pct"/>
            <w:gridSpan w:val="4"/>
            <w:shd w:val="clear" w:color="auto" w:fill="D9D9D9" w:themeFill="background1" w:themeFillShade="D9"/>
            <w:noWrap/>
            <w:hideMark/>
          </w:tcPr>
          <w:p w14:paraId="5BA3998F" w14:textId="77777777" w:rsidR="0058789F" w:rsidRPr="009A37E5" w:rsidRDefault="0058789F" w:rsidP="00AD1066">
            <w:pPr>
              <w:pStyle w:val="TableHeading1"/>
            </w:pPr>
            <w:r w:rsidRPr="009A37E5">
              <w:t xml:space="preserve">Equity </w:t>
            </w:r>
          </w:p>
        </w:tc>
      </w:tr>
      <w:tr w:rsidR="0058789F" w:rsidRPr="009A37E5" w14:paraId="00E7BED8" w14:textId="77777777" w:rsidTr="00AD1066">
        <w:trPr>
          <w:trHeight w:val="300"/>
        </w:trPr>
        <w:tc>
          <w:tcPr>
            <w:tcW w:w="0" w:type="pct"/>
            <w:noWrap/>
            <w:hideMark/>
          </w:tcPr>
          <w:p w14:paraId="7085580F" w14:textId="77777777" w:rsidR="0058789F" w:rsidRPr="009A37E5" w:rsidRDefault="0058789F" w:rsidP="00AD1066">
            <w:pPr>
              <w:pStyle w:val="TableBodyText"/>
            </w:pPr>
            <w:r w:rsidRPr="009A37E5">
              <w:t>Accumulated surplus</w:t>
            </w:r>
          </w:p>
        </w:tc>
        <w:tc>
          <w:tcPr>
            <w:tcW w:w="0" w:type="pct"/>
            <w:noWrap/>
            <w:hideMark/>
          </w:tcPr>
          <w:p w14:paraId="4690322F" w14:textId="77777777" w:rsidR="0058789F" w:rsidRPr="00CC6B3B" w:rsidRDefault="0058789F" w:rsidP="00AD1066">
            <w:pPr>
              <w:pStyle w:val="TableBodyTextrightalign"/>
            </w:pPr>
            <w:r w:rsidRPr="00CC6B3B">
              <w:t xml:space="preserve"> </w:t>
            </w:r>
          </w:p>
        </w:tc>
        <w:tc>
          <w:tcPr>
            <w:tcW w:w="0" w:type="pct"/>
            <w:shd w:val="clear" w:color="auto" w:fill="F2F2F2" w:themeFill="background1" w:themeFillShade="F2"/>
            <w:noWrap/>
          </w:tcPr>
          <w:p w14:paraId="24E1FCEF" w14:textId="77777777" w:rsidR="0058789F" w:rsidRPr="00CC6B3B" w:rsidRDefault="0058789F" w:rsidP="00AD1066">
            <w:pPr>
              <w:pStyle w:val="TableBodyTextrightalign"/>
            </w:pPr>
            <w:r>
              <w:t>8,070</w:t>
            </w:r>
          </w:p>
        </w:tc>
        <w:tc>
          <w:tcPr>
            <w:tcW w:w="0" w:type="pct"/>
            <w:noWrap/>
            <w:hideMark/>
          </w:tcPr>
          <w:p w14:paraId="0CB117B9" w14:textId="77777777" w:rsidR="0058789F" w:rsidRPr="00CC6B3B" w:rsidRDefault="0058789F" w:rsidP="00AD1066">
            <w:pPr>
              <w:pStyle w:val="TableBodyTextrightalign"/>
            </w:pPr>
            <w:r>
              <w:t>8,246</w:t>
            </w:r>
          </w:p>
        </w:tc>
      </w:tr>
      <w:tr w:rsidR="0058789F" w:rsidRPr="009A37E5" w14:paraId="1B78C855" w14:textId="77777777" w:rsidTr="00AD1066">
        <w:trPr>
          <w:trHeight w:val="300"/>
        </w:trPr>
        <w:tc>
          <w:tcPr>
            <w:tcW w:w="0" w:type="pct"/>
            <w:tcBorders>
              <w:bottom w:val="single" w:sz="4" w:space="0" w:color="auto"/>
            </w:tcBorders>
            <w:noWrap/>
            <w:hideMark/>
          </w:tcPr>
          <w:p w14:paraId="55912581" w14:textId="77777777" w:rsidR="0058789F" w:rsidRPr="009A37E5" w:rsidRDefault="0058789F" w:rsidP="00AD1066">
            <w:pPr>
              <w:pStyle w:val="TableBodyText"/>
            </w:pPr>
            <w:r w:rsidRPr="009A37E5">
              <w:t>Contributed capital</w:t>
            </w:r>
          </w:p>
        </w:tc>
        <w:tc>
          <w:tcPr>
            <w:tcW w:w="0" w:type="pct"/>
            <w:tcBorders>
              <w:bottom w:val="single" w:sz="4" w:space="0" w:color="auto"/>
            </w:tcBorders>
            <w:noWrap/>
            <w:hideMark/>
          </w:tcPr>
          <w:p w14:paraId="3C58B92E" w14:textId="77777777" w:rsidR="0058789F" w:rsidRPr="00CC6B3B" w:rsidRDefault="0058789F" w:rsidP="00AD1066">
            <w:pPr>
              <w:pStyle w:val="TableBodyTextrightalign"/>
            </w:pPr>
            <w:r w:rsidRPr="00CC6B3B">
              <w:t xml:space="preserve"> </w:t>
            </w:r>
          </w:p>
        </w:tc>
        <w:tc>
          <w:tcPr>
            <w:tcW w:w="0" w:type="pct"/>
            <w:tcBorders>
              <w:bottom w:val="single" w:sz="4" w:space="0" w:color="auto"/>
            </w:tcBorders>
            <w:shd w:val="clear" w:color="auto" w:fill="F2F2F2" w:themeFill="background1" w:themeFillShade="F2"/>
            <w:noWrap/>
          </w:tcPr>
          <w:p w14:paraId="32C4ED8F" w14:textId="77777777" w:rsidR="0058789F" w:rsidRPr="00CC6B3B" w:rsidRDefault="0058789F" w:rsidP="00AD1066">
            <w:pPr>
              <w:pStyle w:val="TableBodyTextrightalign"/>
            </w:pPr>
            <w:r>
              <w:t>6,552</w:t>
            </w:r>
          </w:p>
        </w:tc>
        <w:tc>
          <w:tcPr>
            <w:tcW w:w="0" w:type="pct"/>
            <w:tcBorders>
              <w:bottom w:val="single" w:sz="4" w:space="0" w:color="auto"/>
            </w:tcBorders>
            <w:noWrap/>
            <w:hideMark/>
          </w:tcPr>
          <w:p w14:paraId="47DA443E" w14:textId="77777777" w:rsidR="0058789F" w:rsidRPr="00CC6B3B" w:rsidRDefault="0058789F" w:rsidP="00AD1066">
            <w:pPr>
              <w:pStyle w:val="TableBodyTextrightalign"/>
            </w:pPr>
            <w:r>
              <w:t>5,447</w:t>
            </w:r>
          </w:p>
        </w:tc>
      </w:tr>
      <w:tr w:rsidR="0058789F" w:rsidRPr="008D3CF9" w14:paraId="31DAA120" w14:textId="77777777" w:rsidTr="00AD1066">
        <w:trPr>
          <w:cnfStyle w:val="010000000000" w:firstRow="0" w:lastRow="1" w:firstColumn="0" w:lastColumn="0" w:oddVBand="0" w:evenVBand="0" w:oddHBand="0" w:evenHBand="0" w:firstRowFirstColumn="0" w:firstRowLastColumn="0" w:lastRowFirstColumn="0" w:lastRowLastColumn="0"/>
          <w:trHeight w:val="315"/>
        </w:trPr>
        <w:tc>
          <w:tcPr>
            <w:tcW w:w="0" w:type="pct"/>
            <w:tcBorders>
              <w:top w:val="single" w:sz="4" w:space="0" w:color="auto"/>
            </w:tcBorders>
            <w:noWrap/>
            <w:hideMark/>
          </w:tcPr>
          <w:p w14:paraId="03AA1523" w14:textId="77777777" w:rsidR="0058789F" w:rsidRPr="00284735" w:rsidRDefault="0058789F" w:rsidP="00AD1066">
            <w:pPr>
              <w:pStyle w:val="TableBodyText"/>
            </w:pPr>
            <w:r w:rsidRPr="00284735">
              <w:t>Net worth</w:t>
            </w:r>
          </w:p>
        </w:tc>
        <w:tc>
          <w:tcPr>
            <w:tcW w:w="0" w:type="pct"/>
            <w:tcBorders>
              <w:top w:val="single" w:sz="4" w:space="0" w:color="auto"/>
            </w:tcBorders>
            <w:noWrap/>
            <w:hideMark/>
          </w:tcPr>
          <w:p w14:paraId="2EF9924B" w14:textId="77777777" w:rsidR="0058789F" w:rsidRPr="00284735" w:rsidRDefault="0058789F" w:rsidP="00AD1066">
            <w:pPr>
              <w:pStyle w:val="TableBodyTextrightalign"/>
            </w:pPr>
            <w:r w:rsidRPr="00284735">
              <w:t xml:space="preserve"> </w:t>
            </w:r>
          </w:p>
        </w:tc>
        <w:tc>
          <w:tcPr>
            <w:tcW w:w="0" w:type="pct"/>
            <w:tcBorders>
              <w:top w:val="single" w:sz="4" w:space="0" w:color="auto"/>
            </w:tcBorders>
            <w:shd w:val="clear" w:color="auto" w:fill="F2F2F2" w:themeFill="background1" w:themeFillShade="F2"/>
            <w:noWrap/>
          </w:tcPr>
          <w:p w14:paraId="376E1206" w14:textId="77777777" w:rsidR="0058789F" w:rsidRPr="00284735" w:rsidRDefault="0058789F" w:rsidP="00AD1066">
            <w:pPr>
              <w:pStyle w:val="TableBodyTextrightalign"/>
            </w:pPr>
            <w:r>
              <w:rPr>
                <w:bCs w:val="0"/>
              </w:rPr>
              <w:t>14,622</w:t>
            </w:r>
          </w:p>
        </w:tc>
        <w:tc>
          <w:tcPr>
            <w:tcW w:w="0" w:type="pct"/>
            <w:tcBorders>
              <w:top w:val="single" w:sz="4" w:space="0" w:color="auto"/>
            </w:tcBorders>
            <w:noWrap/>
            <w:hideMark/>
          </w:tcPr>
          <w:p w14:paraId="14B654A9" w14:textId="77777777" w:rsidR="0058789F" w:rsidRPr="00284735" w:rsidRDefault="0058789F" w:rsidP="00AD1066">
            <w:pPr>
              <w:pStyle w:val="TableBodyTextrightalign"/>
            </w:pPr>
            <w:r>
              <w:t>13,693</w:t>
            </w:r>
          </w:p>
        </w:tc>
      </w:tr>
    </w:tbl>
    <w:p w14:paraId="2B641846" w14:textId="77777777" w:rsidR="0058789F" w:rsidRPr="00DE7357" w:rsidRDefault="0058789F" w:rsidP="0058789F">
      <w:pPr>
        <w:pStyle w:val="TableNote"/>
      </w:pPr>
      <w:r w:rsidRPr="00DE7357">
        <w:t xml:space="preserve">The accompanying notes form part of these financial statements. </w:t>
      </w:r>
    </w:p>
    <w:p w14:paraId="3A04127E" w14:textId="75293455" w:rsidR="0058789F" w:rsidRPr="00DE7357" w:rsidRDefault="00465B9C" w:rsidP="0058789F">
      <w:pPr>
        <w:pStyle w:val="TableNote"/>
      </w:pPr>
      <w:r>
        <w:t>Notes</w:t>
      </w:r>
    </w:p>
    <w:p w14:paraId="4946362D" w14:textId="77777777" w:rsidR="0058789F" w:rsidRPr="00DE7357" w:rsidRDefault="0058789F" w:rsidP="0058789F">
      <w:pPr>
        <w:pStyle w:val="TableNote"/>
      </w:pPr>
      <w:r w:rsidRPr="00DE7357">
        <w:rPr>
          <w:rStyle w:val="Charactersuperscript"/>
        </w:rPr>
        <w:t>(a)</w:t>
      </w:r>
      <w:r>
        <w:t xml:space="preserve"> </w:t>
      </w:r>
      <w:r w:rsidRPr="00DE7357">
        <w:t>Th</w:t>
      </w:r>
      <w:r>
        <w:t xml:space="preserve">e </w:t>
      </w:r>
      <w:r w:rsidRPr="00DE7357">
        <w:t>format of this statement is aligned to AASB 1049.</w:t>
      </w:r>
    </w:p>
    <w:p w14:paraId="2599445A" w14:textId="77777777" w:rsidR="0058789F" w:rsidRPr="007211D6" w:rsidRDefault="0058789F" w:rsidP="007211D6">
      <w:pPr>
        <w:pStyle w:val="BodyText"/>
      </w:pPr>
      <w:bookmarkStart w:id="159" w:name="OLE_LINK4"/>
      <w:r>
        <w:br w:type="page"/>
      </w:r>
    </w:p>
    <w:p w14:paraId="03DFE8AC" w14:textId="77777777" w:rsidR="0058789F" w:rsidRDefault="0058789F" w:rsidP="0058789F">
      <w:pPr>
        <w:pStyle w:val="Caption"/>
      </w:pPr>
      <w:bookmarkStart w:id="160" w:name="_Ref120787936"/>
      <w:r w:rsidRPr="00D9539B">
        <w:t>Cash flow statement for the financial year ended 30 June 202</w:t>
      </w:r>
      <w:r>
        <w:t>3</w:t>
      </w:r>
      <w:r w:rsidRPr="00DE7357">
        <w:rPr>
          <w:rStyle w:val="Charactersuperscript"/>
        </w:rPr>
        <w:t>(a)</w:t>
      </w:r>
      <w:bookmarkEnd w:id="160"/>
    </w:p>
    <w:tbl>
      <w:tblPr>
        <w:tblStyle w:val="CustomTabledetailed"/>
        <w:tblW w:w="9302" w:type="dxa"/>
        <w:tblLook w:val="0620" w:firstRow="1" w:lastRow="0" w:firstColumn="0" w:lastColumn="0" w:noHBand="1" w:noVBand="1"/>
      </w:tblPr>
      <w:tblGrid>
        <w:gridCol w:w="4002"/>
        <w:gridCol w:w="1380"/>
        <w:gridCol w:w="1960"/>
        <w:gridCol w:w="1960"/>
      </w:tblGrid>
      <w:tr w:rsidR="0058789F" w14:paraId="7C640066" w14:textId="77777777" w:rsidTr="00AD1066">
        <w:trPr>
          <w:cnfStyle w:val="100000000000" w:firstRow="1" w:lastRow="0" w:firstColumn="0" w:lastColumn="0" w:oddVBand="0" w:evenVBand="0" w:oddHBand="0" w:evenHBand="0" w:firstRowFirstColumn="0" w:firstRowLastColumn="0" w:lastRowFirstColumn="0" w:lastRowLastColumn="0"/>
          <w:trHeight w:val="62"/>
        </w:trPr>
        <w:tc>
          <w:tcPr>
            <w:tcW w:w="0" w:type="dxa"/>
            <w:noWrap/>
            <w:hideMark/>
          </w:tcPr>
          <w:bookmarkEnd w:id="159"/>
          <w:p w14:paraId="3FEDB5E6" w14:textId="77777777" w:rsidR="0058789F" w:rsidRDefault="0058789F" w:rsidP="00AD1066">
            <w:pPr>
              <w:pStyle w:val="TableHeading3rightalign"/>
            </w:pPr>
            <w:r>
              <w:t xml:space="preserve"> </w:t>
            </w:r>
          </w:p>
        </w:tc>
        <w:tc>
          <w:tcPr>
            <w:tcW w:w="0" w:type="dxa"/>
            <w:noWrap/>
            <w:hideMark/>
          </w:tcPr>
          <w:p w14:paraId="1D6800DD" w14:textId="77777777" w:rsidR="0058789F" w:rsidRDefault="0058789F" w:rsidP="00AD1066">
            <w:pPr>
              <w:pStyle w:val="TableHeading1"/>
            </w:pPr>
            <w:r>
              <w:t>Note</w:t>
            </w:r>
          </w:p>
        </w:tc>
        <w:tc>
          <w:tcPr>
            <w:tcW w:w="0" w:type="dxa"/>
            <w:hideMark/>
          </w:tcPr>
          <w:p w14:paraId="39F5DCA0" w14:textId="77777777" w:rsidR="0058789F" w:rsidRDefault="0058789F" w:rsidP="00AD1066">
            <w:pPr>
              <w:pStyle w:val="TableHeading3rightalign"/>
            </w:pPr>
            <w:r>
              <w:t>2023</w:t>
            </w:r>
          </w:p>
          <w:p w14:paraId="281DC4C3" w14:textId="77777777" w:rsidR="0058789F" w:rsidRDefault="0058789F" w:rsidP="00AD1066">
            <w:pPr>
              <w:pStyle w:val="TableHeading3rightalign"/>
            </w:pPr>
            <w:r>
              <w:t>(</w:t>
            </w:r>
            <w:r w:rsidRPr="009A2E1F">
              <w:t>$’000</w:t>
            </w:r>
            <w:r>
              <w:t>)</w:t>
            </w:r>
          </w:p>
        </w:tc>
        <w:tc>
          <w:tcPr>
            <w:tcW w:w="0" w:type="dxa"/>
            <w:hideMark/>
          </w:tcPr>
          <w:p w14:paraId="19123021" w14:textId="77777777" w:rsidR="0058789F" w:rsidRDefault="0058789F" w:rsidP="00AD1066">
            <w:pPr>
              <w:pStyle w:val="TableHeading3rightalign"/>
            </w:pPr>
            <w:r>
              <w:t>2022</w:t>
            </w:r>
          </w:p>
          <w:p w14:paraId="69CD19CF" w14:textId="77777777" w:rsidR="0058789F" w:rsidRDefault="0058789F" w:rsidP="00AD1066">
            <w:pPr>
              <w:pStyle w:val="TableHeading3rightalign"/>
            </w:pPr>
            <w:r>
              <w:t>(</w:t>
            </w:r>
            <w:r w:rsidRPr="009A2E1F">
              <w:t>$’000</w:t>
            </w:r>
            <w:r>
              <w:t>)</w:t>
            </w:r>
          </w:p>
        </w:tc>
      </w:tr>
      <w:tr w:rsidR="0058789F" w14:paraId="2452CAC3" w14:textId="77777777" w:rsidTr="00AD1066">
        <w:trPr>
          <w:trHeight w:val="300"/>
        </w:trPr>
        <w:tc>
          <w:tcPr>
            <w:tcW w:w="0" w:type="dxa"/>
            <w:gridSpan w:val="4"/>
            <w:noWrap/>
            <w:hideMark/>
          </w:tcPr>
          <w:p w14:paraId="23703FF8" w14:textId="77777777" w:rsidR="0058789F" w:rsidRDefault="0058789F" w:rsidP="00AD1066">
            <w:pPr>
              <w:pStyle w:val="TableBodyTextsmall"/>
            </w:pPr>
          </w:p>
        </w:tc>
      </w:tr>
      <w:tr w:rsidR="0058789F" w14:paraId="0F4FCAA4" w14:textId="77777777" w:rsidTr="00AD1066">
        <w:trPr>
          <w:trHeight w:val="255"/>
        </w:trPr>
        <w:tc>
          <w:tcPr>
            <w:tcW w:w="0" w:type="dxa"/>
            <w:gridSpan w:val="4"/>
            <w:shd w:val="clear" w:color="auto" w:fill="D9D9D9" w:themeFill="background1" w:themeFillShade="D9"/>
            <w:noWrap/>
            <w:hideMark/>
          </w:tcPr>
          <w:p w14:paraId="17396120" w14:textId="77777777" w:rsidR="0058789F" w:rsidRPr="0011139F" w:rsidRDefault="0058789F" w:rsidP="00AD1066">
            <w:pPr>
              <w:pStyle w:val="TableHeading1"/>
            </w:pPr>
            <w:r>
              <w:t>Cash flows from operating activities</w:t>
            </w:r>
            <w:r w:rsidRPr="00254C0B">
              <w:t> </w:t>
            </w:r>
          </w:p>
        </w:tc>
      </w:tr>
      <w:tr w:rsidR="0058789F" w14:paraId="6CED5D38" w14:textId="77777777" w:rsidTr="00AD1066">
        <w:trPr>
          <w:trHeight w:val="300"/>
        </w:trPr>
        <w:tc>
          <w:tcPr>
            <w:tcW w:w="0" w:type="dxa"/>
            <w:noWrap/>
            <w:hideMark/>
          </w:tcPr>
          <w:p w14:paraId="031DAA08" w14:textId="77777777" w:rsidR="0058789F" w:rsidRDefault="0058789F" w:rsidP="00AD1066">
            <w:pPr>
              <w:pStyle w:val="TableHeading1"/>
            </w:pPr>
            <w:r>
              <w:t>Receipts and payments</w:t>
            </w:r>
          </w:p>
        </w:tc>
        <w:tc>
          <w:tcPr>
            <w:tcW w:w="0" w:type="dxa"/>
            <w:noWrap/>
            <w:hideMark/>
          </w:tcPr>
          <w:p w14:paraId="2410AE14" w14:textId="77777777" w:rsidR="0058789F" w:rsidRPr="000A3DAB" w:rsidRDefault="0058789F" w:rsidP="00AD1066">
            <w:pPr>
              <w:pStyle w:val="TableBodyTextrightalign"/>
            </w:pPr>
          </w:p>
        </w:tc>
        <w:tc>
          <w:tcPr>
            <w:tcW w:w="0" w:type="dxa"/>
            <w:noWrap/>
          </w:tcPr>
          <w:p w14:paraId="2EF2FF73" w14:textId="77777777" w:rsidR="0058789F" w:rsidRDefault="0058789F" w:rsidP="00AD1066">
            <w:pPr>
              <w:spacing w:after="0"/>
              <w:jc w:val="center"/>
              <w:rPr>
                <w:rFonts w:eastAsia="Times New Roman" w:cs="Times New Roman"/>
                <w:color w:val="000000"/>
                <w:sz w:val="20"/>
                <w:lang w:eastAsia="en-AU"/>
              </w:rPr>
            </w:pPr>
          </w:p>
        </w:tc>
        <w:tc>
          <w:tcPr>
            <w:tcW w:w="0" w:type="dxa"/>
            <w:hideMark/>
          </w:tcPr>
          <w:p w14:paraId="3B3EA283" w14:textId="77777777" w:rsidR="0058789F" w:rsidRPr="001610F6" w:rsidRDefault="0058789F" w:rsidP="00ED79A2">
            <w:pPr>
              <w:pStyle w:val="TableBodyText"/>
            </w:pPr>
            <w:r w:rsidRPr="72087732">
              <w:t> </w:t>
            </w:r>
          </w:p>
        </w:tc>
      </w:tr>
      <w:tr w:rsidR="0058789F" w14:paraId="6EB8A283" w14:textId="77777777" w:rsidTr="00AD1066">
        <w:trPr>
          <w:trHeight w:val="255"/>
        </w:trPr>
        <w:tc>
          <w:tcPr>
            <w:tcW w:w="0" w:type="dxa"/>
            <w:tcBorders>
              <w:bottom w:val="dotted" w:sz="4" w:space="0" w:color="auto"/>
            </w:tcBorders>
            <w:noWrap/>
            <w:hideMark/>
          </w:tcPr>
          <w:p w14:paraId="691E212E" w14:textId="77777777" w:rsidR="0058789F" w:rsidRPr="000A3DAB" w:rsidRDefault="0058789F" w:rsidP="00AD1066">
            <w:pPr>
              <w:pStyle w:val="TableBodyText"/>
            </w:pPr>
            <w:r w:rsidRPr="000A3DAB">
              <w:t>Receipts from government</w:t>
            </w:r>
          </w:p>
        </w:tc>
        <w:tc>
          <w:tcPr>
            <w:tcW w:w="0" w:type="dxa"/>
            <w:tcBorders>
              <w:bottom w:val="dotted" w:sz="4" w:space="0" w:color="auto"/>
            </w:tcBorders>
            <w:noWrap/>
            <w:hideMark/>
          </w:tcPr>
          <w:p w14:paraId="43EBDB05" w14:textId="77777777" w:rsidR="0058789F" w:rsidRPr="000A3DAB" w:rsidRDefault="0058789F" w:rsidP="00AD1066">
            <w:pPr>
              <w:pStyle w:val="TableBodyText"/>
            </w:pPr>
          </w:p>
        </w:tc>
        <w:tc>
          <w:tcPr>
            <w:tcW w:w="0" w:type="dxa"/>
            <w:tcBorders>
              <w:bottom w:val="dotted" w:sz="4" w:space="0" w:color="auto"/>
            </w:tcBorders>
            <w:shd w:val="clear" w:color="auto" w:fill="F2F2F2" w:themeFill="background1" w:themeFillShade="F2"/>
            <w:noWrap/>
          </w:tcPr>
          <w:p w14:paraId="4A3E2B94" w14:textId="77777777" w:rsidR="0058789F" w:rsidRPr="000A3DAB" w:rsidRDefault="0058789F" w:rsidP="00AD1066">
            <w:pPr>
              <w:pStyle w:val="TableBodyTextrightalign"/>
            </w:pPr>
            <w:r>
              <w:t>58,889</w:t>
            </w:r>
          </w:p>
        </w:tc>
        <w:tc>
          <w:tcPr>
            <w:tcW w:w="0" w:type="dxa"/>
            <w:tcBorders>
              <w:bottom w:val="dotted" w:sz="4" w:space="0" w:color="auto"/>
            </w:tcBorders>
            <w:hideMark/>
          </w:tcPr>
          <w:p w14:paraId="4E1AA1A9" w14:textId="77777777" w:rsidR="0058789F" w:rsidRPr="000A3DAB" w:rsidRDefault="0058789F" w:rsidP="00AD1066">
            <w:pPr>
              <w:pStyle w:val="TableBodyTextrightalign"/>
            </w:pPr>
            <w:r>
              <w:t>54,983</w:t>
            </w:r>
          </w:p>
        </w:tc>
      </w:tr>
      <w:tr w:rsidR="0058789F" w14:paraId="4E4AC322" w14:textId="77777777" w:rsidTr="00AD1066">
        <w:trPr>
          <w:trHeight w:val="255"/>
        </w:trPr>
        <w:tc>
          <w:tcPr>
            <w:tcW w:w="0" w:type="dxa"/>
            <w:tcBorders>
              <w:top w:val="dotted" w:sz="4" w:space="0" w:color="auto"/>
              <w:bottom w:val="dotted" w:sz="4" w:space="0" w:color="auto"/>
            </w:tcBorders>
            <w:noWrap/>
          </w:tcPr>
          <w:p w14:paraId="3C3F7ECA" w14:textId="77777777" w:rsidR="0058789F" w:rsidRPr="000A3DAB" w:rsidRDefault="0058789F" w:rsidP="00AD1066">
            <w:pPr>
              <w:pStyle w:val="TableBodyText"/>
            </w:pPr>
            <w:r>
              <w:t>Goods and services tax from the Australian Taxation Office (ATO</w:t>
            </w:r>
            <w:r w:rsidRPr="008274BC">
              <w:t>)</w:t>
            </w:r>
            <w:r w:rsidRPr="007211D6">
              <w:rPr>
                <w:rStyle w:val="Charactersuperscript"/>
              </w:rPr>
              <w:t>(b)</w:t>
            </w:r>
          </w:p>
        </w:tc>
        <w:tc>
          <w:tcPr>
            <w:tcW w:w="0" w:type="dxa"/>
            <w:tcBorders>
              <w:top w:val="dotted" w:sz="4" w:space="0" w:color="auto"/>
              <w:bottom w:val="dotted" w:sz="4" w:space="0" w:color="auto"/>
            </w:tcBorders>
            <w:noWrap/>
          </w:tcPr>
          <w:p w14:paraId="6AEFE751" w14:textId="77777777" w:rsidR="0058789F" w:rsidRPr="000A3DAB" w:rsidRDefault="0058789F" w:rsidP="00AD1066">
            <w:pPr>
              <w:pStyle w:val="TableBodyText"/>
            </w:pPr>
          </w:p>
        </w:tc>
        <w:tc>
          <w:tcPr>
            <w:tcW w:w="0" w:type="dxa"/>
            <w:tcBorders>
              <w:top w:val="dotted" w:sz="4" w:space="0" w:color="auto"/>
              <w:bottom w:val="dotted" w:sz="4" w:space="0" w:color="auto"/>
            </w:tcBorders>
            <w:shd w:val="clear" w:color="auto" w:fill="F2F2F2" w:themeFill="background1" w:themeFillShade="F2"/>
            <w:noWrap/>
          </w:tcPr>
          <w:p w14:paraId="108A09C3" w14:textId="77777777" w:rsidR="0058789F" w:rsidRDefault="0058789F" w:rsidP="00AD1066">
            <w:pPr>
              <w:pStyle w:val="TableBodyTextrightalign"/>
            </w:pPr>
            <w:r>
              <w:t>2,133</w:t>
            </w:r>
          </w:p>
        </w:tc>
        <w:tc>
          <w:tcPr>
            <w:tcW w:w="0" w:type="dxa"/>
            <w:tcBorders>
              <w:top w:val="dotted" w:sz="4" w:space="0" w:color="auto"/>
              <w:bottom w:val="dotted" w:sz="4" w:space="0" w:color="auto"/>
            </w:tcBorders>
          </w:tcPr>
          <w:p w14:paraId="1AA530B8" w14:textId="77777777" w:rsidR="0058789F" w:rsidRPr="000A3DAB" w:rsidRDefault="0058789F" w:rsidP="00AD1066">
            <w:pPr>
              <w:pStyle w:val="TableBodyTextrightalign"/>
            </w:pPr>
            <w:r>
              <w:t>1,796</w:t>
            </w:r>
          </w:p>
        </w:tc>
      </w:tr>
      <w:tr w:rsidR="0058789F" w14:paraId="5075A7EB" w14:textId="77777777" w:rsidTr="00AD1066">
        <w:trPr>
          <w:trHeight w:val="255"/>
        </w:trPr>
        <w:tc>
          <w:tcPr>
            <w:tcW w:w="0" w:type="dxa"/>
            <w:tcBorders>
              <w:top w:val="dotted" w:sz="4" w:space="0" w:color="auto"/>
              <w:bottom w:val="single" w:sz="4" w:space="0" w:color="auto"/>
            </w:tcBorders>
            <w:noWrap/>
          </w:tcPr>
          <w:p w14:paraId="252CC359" w14:textId="77777777" w:rsidR="0058789F" w:rsidRPr="007211D6" w:rsidRDefault="0058789F" w:rsidP="00AD1066">
            <w:pPr>
              <w:pStyle w:val="TableBodyText"/>
              <w:rPr>
                <w:rStyle w:val="Characterbold"/>
              </w:rPr>
            </w:pPr>
            <w:r w:rsidRPr="007211D6">
              <w:rPr>
                <w:rStyle w:val="Characterbold"/>
              </w:rPr>
              <w:t>Total receipts</w:t>
            </w:r>
          </w:p>
        </w:tc>
        <w:tc>
          <w:tcPr>
            <w:tcW w:w="0" w:type="dxa"/>
            <w:tcBorders>
              <w:top w:val="dotted" w:sz="4" w:space="0" w:color="auto"/>
              <w:bottom w:val="single" w:sz="4" w:space="0" w:color="auto"/>
            </w:tcBorders>
            <w:noWrap/>
          </w:tcPr>
          <w:p w14:paraId="414EF88F" w14:textId="77777777" w:rsidR="0058789F" w:rsidRPr="00616677" w:rsidRDefault="0058789F" w:rsidP="00AD1066">
            <w:pPr>
              <w:pStyle w:val="TableBodyText"/>
              <w:rPr>
                <w:b/>
              </w:rPr>
            </w:pPr>
          </w:p>
        </w:tc>
        <w:tc>
          <w:tcPr>
            <w:tcW w:w="0" w:type="dxa"/>
            <w:tcBorders>
              <w:top w:val="dotted" w:sz="4" w:space="0" w:color="auto"/>
              <w:bottom w:val="single" w:sz="4" w:space="0" w:color="auto"/>
            </w:tcBorders>
            <w:shd w:val="clear" w:color="auto" w:fill="F2F2F2" w:themeFill="background1" w:themeFillShade="F2"/>
            <w:noWrap/>
          </w:tcPr>
          <w:p w14:paraId="0DA26DE1" w14:textId="77777777" w:rsidR="0058789F" w:rsidRPr="007E78B5" w:rsidRDefault="0058789F" w:rsidP="007E78B5">
            <w:pPr>
              <w:pStyle w:val="TableBodyTextrightalign"/>
              <w:rPr>
                <w:rStyle w:val="Characterbold"/>
              </w:rPr>
            </w:pPr>
            <w:r w:rsidRPr="007E78B5">
              <w:rPr>
                <w:rStyle w:val="Characterbold"/>
              </w:rPr>
              <w:t>61,022</w:t>
            </w:r>
          </w:p>
        </w:tc>
        <w:tc>
          <w:tcPr>
            <w:tcW w:w="0" w:type="dxa"/>
            <w:tcBorders>
              <w:top w:val="dotted" w:sz="4" w:space="0" w:color="auto"/>
              <w:bottom w:val="single" w:sz="4" w:space="0" w:color="auto"/>
            </w:tcBorders>
          </w:tcPr>
          <w:p w14:paraId="2B5E01BE" w14:textId="77777777" w:rsidR="0058789F" w:rsidRPr="007E78B5" w:rsidRDefault="0058789F" w:rsidP="007E78B5">
            <w:pPr>
              <w:pStyle w:val="TableBodyTextrightalign"/>
              <w:rPr>
                <w:rStyle w:val="Characterbold"/>
              </w:rPr>
            </w:pPr>
            <w:r w:rsidRPr="007E78B5">
              <w:rPr>
                <w:rStyle w:val="Characterbold"/>
              </w:rPr>
              <w:t>56,779</w:t>
            </w:r>
          </w:p>
        </w:tc>
      </w:tr>
      <w:tr w:rsidR="0058789F" w14:paraId="72545C84" w14:textId="77777777" w:rsidTr="00AD1066">
        <w:trPr>
          <w:trHeight w:val="255"/>
        </w:trPr>
        <w:tc>
          <w:tcPr>
            <w:tcW w:w="0" w:type="dxa"/>
            <w:tcBorders>
              <w:top w:val="single" w:sz="4" w:space="0" w:color="auto"/>
              <w:bottom w:val="dotted" w:sz="4" w:space="0" w:color="auto"/>
            </w:tcBorders>
            <w:noWrap/>
            <w:hideMark/>
          </w:tcPr>
          <w:p w14:paraId="4CB7D0AA" w14:textId="77777777" w:rsidR="0058789F" w:rsidRPr="000A3DAB" w:rsidRDefault="0058789F" w:rsidP="00AD1066">
            <w:pPr>
              <w:pStyle w:val="TableBodyText"/>
            </w:pPr>
            <w:r w:rsidRPr="000A3DAB">
              <w:t>Payments to suppliers and employees</w:t>
            </w:r>
          </w:p>
        </w:tc>
        <w:tc>
          <w:tcPr>
            <w:tcW w:w="0" w:type="dxa"/>
            <w:tcBorders>
              <w:top w:val="single" w:sz="4" w:space="0" w:color="auto"/>
              <w:bottom w:val="dotted" w:sz="4" w:space="0" w:color="auto"/>
            </w:tcBorders>
            <w:noWrap/>
            <w:hideMark/>
          </w:tcPr>
          <w:p w14:paraId="42CCF1FC" w14:textId="77777777" w:rsidR="0058789F" w:rsidRPr="000A3DAB" w:rsidRDefault="0058789F" w:rsidP="00AD1066">
            <w:pPr>
              <w:pStyle w:val="TableBodyText"/>
            </w:pPr>
          </w:p>
        </w:tc>
        <w:tc>
          <w:tcPr>
            <w:tcW w:w="0" w:type="dxa"/>
            <w:tcBorders>
              <w:top w:val="single" w:sz="4" w:space="0" w:color="auto"/>
              <w:bottom w:val="dotted" w:sz="4" w:space="0" w:color="auto"/>
            </w:tcBorders>
            <w:shd w:val="clear" w:color="auto" w:fill="F2F2F2" w:themeFill="background1" w:themeFillShade="F2"/>
            <w:noWrap/>
          </w:tcPr>
          <w:p w14:paraId="4B6C1D6C" w14:textId="77777777" w:rsidR="0058789F" w:rsidRPr="000A3DAB" w:rsidRDefault="0058789F" w:rsidP="00AD1066">
            <w:pPr>
              <w:pStyle w:val="TableBodyTextrightalign"/>
            </w:pPr>
            <w:r>
              <w:t>(56,822)</w:t>
            </w:r>
          </w:p>
        </w:tc>
        <w:tc>
          <w:tcPr>
            <w:tcW w:w="0" w:type="dxa"/>
            <w:tcBorders>
              <w:top w:val="single" w:sz="4" w:space="0" w:color="auto"/>
              <w:bottom w:val="dotted" w:sz="4" w:space="0" w:color="auto"/>
            </w:tcBorders>
            <w:hideMark/>
          </w:tcPr>
          <w:p w14:paraId="0DB1A003" w14:textId="77777777" w:rsidR="0058789F" w:rsidRPr="000A3DAB" w:rsidRDefault="0058789F" w:rsidP="00AD1066">
            <w:pPr>
              <w:pStyle w:val="TableBodyTextrightalign"/>
            </w:pPr>
            <w:r>
              <w:t>(51,886)</w:t>
            </w:r>
          </w:p>
        </w:tc>
      </w:tr>
      <w:tr w:rsidR="0058789F" w14:paraId="4118A908" w14:textId="77777777" w:rsidTr="00AD1066">
        <w:trPr>
          <w:trHeight w:val="255"/>
        </w:trPr>
        <w:tc>
          <w:tcPr>
            <w:tcW w:w="0" w:type="dxa"/>
            <w:tcBorders>
              <w:top w:val="dotted" w:sz="4" w:space="0" w:color="auto"/>
              <w:bottom w:val="dotted" w:sz="4" w:space="0" w:color="auto"/>
              <w:right w:val="nil"/>
            </w:tcBorders>
            <w:noWrap/>
            <w:hideMark/>
          </w:tcPr>
          <w:p w14:paraId="296E3475" w14:textId="77777777" w:rsidR="0058789F" w:rsidRPr="000A3DAB" w:rsidRDefault="0058789F" w:rsidP="00AD1066">
            <w:pPr>
              <w:pStyle w:val="TableBodyText"/>
            </w:pPr>
            <w:r w:rsidRPr="000A3DAB">
              <w:t>Interest paid</w:t>
            </w:r>
          </w:p>
        </w:tc>
        <w:tc>
          <w:tcPr>
            <w:tcW w:w="0" w:type="dxa"/>
            <w:tcBorders>
              <w:top w:val="dotted" w:sz="4" w:space="0" w:color="auto"/>
              <w:left w:val="nil"/>
              <w:bottom w:val="dotted" w:sz="4" w:space="0" w:color="auto"/>
              <w:right w:val="nil"/>
            </w:tcBorders>
            <w:noWrap/>
            <w:hideMark/>
          </w:tcPr>
          <w:p w14:paraId="03DF33C4" w14:textId="77777777" w:rsidR="0058789F" w:rsidRPr="000A3DAB" w:rsidRDefault="0058789F" w:rsidP="00AD1066">
            <w:pPr>
              <w:pStyle w:val="TableBodyText"/>
            </w:pPr>
          </w:p>
        </w:tc>
        <w:tc>
          <w:tcPr>
            <w:tcW w:w="0" w:type="dxa"/>
            <w:tcBorders>
              <w:top w:val="dotted" w:sz="4" w:space="0" w:color="auto"/>
              <w:left w:val="nil"/>
              <w:bottom w:val="dotted" w:sz="4" w:space="0" w:color="auto"/>
              <w:right w:val="nil"/>
            </w:tcBorders>
            <w:shd w:val="clear" w:color="auto" w:fill="F2F2F2" w:themeFill="background1" w:themeFillShade="F2"/>
            <w:noWrap/>
          </w:tcPr>
          <w:p w14:paraId="24D18FB7" w14:textId="77777777" w:rsidR="0058789F" w:rsidRPr="000A3DAB" w:rsidRDefault="0058789F" w:rsidP="00AD1066">
            <w:pPr>
              <w:pStyle w:val="TableBodyTextrightalign"/>
            </w:pPr>
            <w:r>
              <w:t>(349)</w:t>
            </w:r>
          </w:p>
        </w:tc>
        <w:tc>
          <w:tcPr>
            <w:tcW w:w="0" w:type="dxa"/>
            <w:tcBorders>
              <w:top w:val="dotted" w:sz="4" w:space="0" w:color="auto"/>
              <w:left w:val="nil"/>
              <w:bottom w:val="dotted" w:sz="4" w:space="0" w:color="auto"/>
            </w:tcBorders>
            <w:hideMark/>
          </w:tcPr>
          <w:p w14:paraId="16832B16" w14:textId="77777777" w:rsidR="0058789F" w:rsidRPr="000A3DAB" w:rsidRDefault="0058789F" w:rsidP="00AD1066">
            <w:pPr>
              <w:pStyle w:val="TableBodyTextrightalign"/>
            </w:pPr>
            <w:r>
              <w:t>(537)</w:t>
            </w:r>
          </w:p>
        </w:tc>
      </w:tr>
      <w:tr w:rsidR="0058789F" w14:paraId="436C83C7" w14:textId="77777777" w:rsidTr="00AD1066">
        <w:trPr>
          <w:trHeight w:val="255"/>
        </w:trPr>
        <w:tc>
          <w:tcPr>
            <w:tcW w:w="0" w:type="dxa"/>
            <w:tcBorders>
              <w:top w:val="dotted" w:sz="4" w:space="0" w:color="auto"/>
              <w:bottom w:val="single" w:sz="4" w:space="0" w:color="auto"/>
              <w:right w:val="nil"/>
            </w:tcBorders>
            <w:noWrap/>
          </w:tcPr>
          <w:p w14:paraId="6A198107" w14:textId="77777777" w:rsidR="0058789F" w:rsidRPr="00D36820" w:rsidRDefault="0058789F" w:rsidP="00AD1066">
            <w:pPr>
              <w:pStyle w:val="TableBodyText"/>
              <w:rPr>
                <w:rStyle w:val="Characterbold"/>
              </w:rPr>
            </w:pPr>
            <w:r w:rsidRPr="008C2ACF">
              <w:rPr>
                <w:rStyle w:val="Characterbold"/>
              </w:rPr>
              <w:t xml:space="preserve">Total </w:t>
            </w:r>
            <w:r>
              <w:rPr>
                <w:rStyle w:val="Characterbold"/>
              </w:rPr>
              <w:t>p</w:t>
            </w:r>
            <w:r w:rsidRPr="008C2ACF">
              <w:rPr>
                <w:rStyle w:val="Characterbold"/>
              </w:rPr>
              <w:t>ayments</w:t>
            </w:r>
          </w:p>
        </w:tc>
        <w:tc>
          <w:tcPr>
            <w:tcW w:w="0" w:type="dxa"/>
            <w:tcBorders>
              <w:top w:val="dotted" w:sz="4" w:space="0" w:color="auto"/>
              <w:left w:val="nil"/>
              <w:bottom w:val="single" w:sz="4" w:space="0" w:color="auto"/>
              <w:right w:val="nil"/>
            </w:tcBorders>
            <w:noWrap/>
          </w:tcPr>
          <w:p w14:paraId="6F77E3AC" w14:textId="77777777" w:rsidR="0058789F" w:rsidRPr="009A405D" w:rsidRDefault="0058789F" w:rsidP="00AD1066">
            <w:pPr>
              <w:pStyle w:val="TableBodyText"/>
              <w:rPr>
                <w:b/>
              </w:rPr>
            </w:pPr>
          </w:p>
        </w:tc>
        <w:tc>
          <w:tcPr>
            <w:tcW w:w="0" w:type="dxa"/>
            <w:tcBorders>
              <w:top w:val="dotted" w:sz="4" w:space="0" w:color="auto"/>
              <w:left w:val="nil"/>
              <w:bottom w:val="single" w:sz="4" w:space="0" w:color="auto"/>
              <w:right w:val="nil"/>
            </w:tcBorders>
            <w:shd w:val="clear" w:color="auto" w:fill="F2F2F2" w:themeFill="background1" w:themeFillShade="F2"/>
            <w:noWrap/>
          </w:tcPr>
          <w:p w14:paraId="65664088" w14:textId="77777777" w:rsidR="0058789F" w:rsidRPr="007E78B5" w:rsidRDefault="0058789F" w:rsidP="007E78B5">
            <w:pPr>
              <w:pStyle w:val="TableBodyTextrightalign"/>
              <w:rPr>
                <w:rStyle w:val="Characterbold"/>
              </w:rPr>
            </w:pPr>
            <w:r w:rsidRPr="007E78B5">
              <w:rPr>
                <w:rStyle w:val="Characterbold"/>
              </w:rPr>
              <w:t>(57,171)</w:t>
            </w:r>
          </w:p>
        </w:tc>
        <w:tc>
          <w:tcPr>
            <w:tcW w:w="0" w:type="dxa"/>
            <w:tcBorders>
              <w:top w:val="dotted" w:sz="4" w:space="0" w:color="auto"/>
              <w:left w:val="nil"/>
              <w:bottom w:val="single" w:sz="4" w:space="0" w:color="auto"/>
            </w:tcBorders>
          </w:tcPr>
          <w:p w14:paraId="1EC695C6" w14:textId="77777777" w:rsidR="0058789F" w:rsidRPr="001F62F2" w:rsidRDefault="0058789F" w:rsidP="00AD1066">
            <w:pPr>
              <w:pStyle w:val="TableBodyTextrightalign"/>
              <w:rPr>
                <w:rStyle w:val="Characterbold"/>
              </w:rPr>
            </w:pPr>
            <w:r w:rsidRPr="008C2ACF">
              <w:rPr>
                <w:rStyle w:val="Characterbold"/>
              </w:rPr>
              <w:t>(52,423)</w:t>
            </w:r>
          </w:p>
        </w:tc>
      </w:tr>
      <w:tr w:rsidR="0058789F" w14:paraId="5FC4F813" w14:textId="77777777" w:rsidTr="00AD1066">
        <w:trPr>
          <w:trHeight w:val="255"/>
        </w:trPr>
        <w:tc>
          <w:tcPr>
            <w:tcW w:w="0" w:type="dxa"/>
            <w:tcBorders>
              <w:top w:val="single" w:sz="4" w:space="0" w:color="auto"/>
              <w:bottom w:val="single" w:sz="4" w:space="0" w:color="auto"/>
            </w:tcBorders>
            <w:noWrap/>
            <w:hideMark/>
          </w:tcPr>
          <w:p w14:paraId="350841A2" w14:textId="77777777" w:rsidR="0058789F" w:rsidRPr="000A3DAB" w:rsidRDefault="0058789F" w:rsidP="00AD1066">
            <w:pPr>
              <w:pStyle w:val="TableBodyText"/>
              <w:rPr>
                <w:rStyle w:val="Characterbold"/>
              </w:rPr>
            </w:pPr>
            <w:r w:rsidRPr="000A3DAB">
              <w:rPr>
                <w:rStyle w:val="Characterbold"/>
              </w:rPr>
              <w:t>Net cash flows from/(used in) operating activities</w:t>
            </w:r>
          </w:p>
        </w:tc>
        <w:tc>
          <w:tcPr>
            <w:tcW w:w="0" w:type="dxa"/>
            <w:tcBorders>
              <w:top w:val="single" w:sz="4" w:space="0" w:color="auto"/>
              <w:bottom w:val="single" w:sz="4" w:space="0" w:color="auto"/>
            </w:tcBorders>
            <w:noWrap/>
            <w:hideMark/>
          </w:tcPr>
          <w:p w14:paraId="18CAC39D" w14:textId="77777777" w:rsidR="0058789F" w:rsidRPr="00DE7357" w:rsidRDefault="0058789F" w:rsidP="00AD1066">
            <w:pPr>
              <w:pStyle w:val="TableBodyText"/>
            </w:pPr>
            <w:r w:rsidRPr="00DE7357">
              <w:fldChar w:fldCharType="begin"/>
            </w:r>
            <w:r w:rsidRPr="00DE7357">
              <w:instrText xml:space="preserve"> REF _Ref83996354 \n \h  \* MERGEFORMAT </w:instrText>
            </w:r>
            <w:r w:rsidRPr="00DE7357">
              <w:fldChar w:fldCharType="separate"/>
            </w:r>
            <w:r>
              <w:t>6.2.1</w:t>
            </w:r>
            <w:r w:rsidRPr="00DE7357">
              <w:fldChar w:fldCharType="end"/>
            </w:r>
          </w:p>
        </w:tc>
        <w:tc>
          <w:tcPr>
            <w:tcW w:w="0" w:type="dxa"/>
            <w:tcBorders>
              <w:top w:val="single" w:sz="4" w:space="0" w:color="auto"/>
              <w:bottom w:val="single" w:sz="4" w:space="0" w:color="auto"/>
            </w:tcBorders>
            <w:shd w:val="clear" w:color="auto" w:fill="F2F2F2" w:themeFill="background1" w:themeFillShade="F2"/>
            <w:noWrap/>
          </w:tcPr>
          <w:p w14:paraId="35BF16C2" w14:textId="77777777" w:rsidR="0058789F" w:rsidRPr="007E78B5" w:rsidRDefault="0058789F" w:rsidP="007E78B5">
            <w:pPr>
              <w:pStyle w:val="TableBodyTextrightalign"/>
              <w:rPr>
                <w:rStyle w:val="Characterbold"/>
              </w:rPr>
            </w:pPr>
            <w:r w:rsidRPr="007E78B5">
              <w:rPr>
                <w:rStyle w:val="Characterbold"/>
              </w:rPr>
              <w:t>3,851</w:t>
            </w:r>
          </w:p>
        </w:tc>
        <w:tc>
          <w:tcPr>
            <w:tcW w:w="0" w:type="dxa"/>
            <w:tcBorders>
              <w:top w:val="single" w:sz="4" w:space="0" w:color="auto"/>
              <w:bottom w:val="single" w:sz="4" w:space="0" w:color="auto"/>
            </w:tcBorders>
            <w:hideMark/>
          </w:tcPr>
          <w:p w14:paraId="7ED8D735" w14:textId="77777777" w:rsidR="0058789F" w:rsidRPr="000A3DAB" w:rsidRDefault="0058789F" w:rsidP="00AD1066">
            <w:pPr>
              <w:pStyle w:val="TableBodyTextrightalign"/>
              <w:rPr>
                <w:rStyle w:val="Characterbold"/>
              </w:rPr>
            </w:pPr>
            <w:r>
              <w:rPr>
                <w:rStyle w:val="Characterbold"/>
              </w:rPr>
              <w:t>4,356</w:t>
            </w:r>
          </w:p>
        </w:tc>
      </w:tr>
      <w:tr w:rsidR="0058789F" w14:paraId="6B3B1358" w14:textId="77777777" w:rsidTr="00AD1066">
        <w:trPr>
          <w:trHeight w:val="300"/>
        </w:trPr>
        <w:tc>
          <w:tcPr>
            <w:tcW w:w="0" w:type="dxa"/>
            <w:gridSpan w:val="4"/>
            <w:tcBorders>
              <w:top w:val="single" w:sz="4" w:space="0" w:color="auto"/>
            </w:tcBorders>
            <w:noWrap/>
            <w:hideMark/>
          </w:tcPr>
          <w:p w14:paraId="226DD96E" w14:textId="77777777" w:rsidR="0058789F" w:rsidRPr="000A3DAB" w:rsidRDefault="0058789F" w:rsidP="00AD1066">
            <w:pPr>
              <w:pStyle w:val="TableBodyTextsmall"/>
            </w:pPr>
          </w:p>
        </w:tc>
      </w:tr>
      <w:tr w:rsidR="0058789F" w14:paraId="51BE0921" w14:textId="77777777" w:rsidTr="00AD1066">
        <w:trPr>
          <w:trHeight w:val="255"/>
        </w:trPr>
        <w:tc>
          <w:tcPr>
            <w:tcW w:w="0" w:type="dxa"/>
            <w:gridSpan w:val="4"/>
            <w:shd w:val="clear" w:color="auto" w:fill="D9D9D9" w:themeFill="background1" w:themeFillShade="D9"/>
            <w:noWrap/>
            <w:hideMark/>
          </w:tcPr>
          <w:p w14:paraId="5462149F" w14:textId="77777777" w:rsidR="0058789F" w:rsidRPr="000A3DAB" w:rsidRDefault="0058789F" w:rsidP="00AD1066">
            <w:pPr>
              <w:pStyle w:val="TableHeading1"/>
            </w:pPr>
            <w:r w:rsidRPr="000A3DAB">
              <w:t xml:space="preserve">Cash flows from investing activities </w:t>
            </w:r>
          </w:p>
        </w:tc>
      </w:tr>
      <w:tr w:rsidR="0058789F" w14:paraId="292E417F" w14:textId="77777777" w:rsidTr="00AD1066">
        <w:trPr>
          <w:trHeight w:val="300"/>
        </w:trPr>
        <w:tc>
          <w:tcPr>
            <w:tcW w:w="0" w:type="dxa"/>
            <w:noWrap/>
            <w:hideMark/>
          </w:tcPr>
          <w:p w14:paraId="02710A03" w14:textId="77777777" w:rsidR="0058789F" w:rsidRPr="000A3DAB" w:rsidRDefault="0058789F" w:rsidP="00AD1066">
            <w:pPr>
              <w:pStyle w:val="TableBodyText"/>
            </w:pPr>
            <w:r>
              <w:t xml:space="preserve"> </w:t>
            </w:r>
            <w:r w:rsidRPr="000A3DAB">
              <w:t>Purchases of non-financial assets</w:t>
            </w:r>
          </w:p>
        </w:tc>
        <w:tc>
          <w:tcPr>
            <w:tcW w:w="0" w:type="dxa"/>
            <w:noWrap/>
            <w:hideMark/>
          </w:tcPr>
          <w:p w14:paraId="4599D275" w14:textId="77777777" w:rsidR="0058789F" w:rsidRPr="000A3DAB" w:rsidRDefault="0058789F" w:rsidP="00AD1066">
            <w:pPr>
              <w:pStyle w:val="TableBodyText"/>
            </w:pPr>
          </w:p>
        </w:tc>
        <w:tc>
          <w:tcPr>
            <w:tcW w:w="0" w:type="dxa"/>
            <w:shd w:val="clear" w:color="auto" w:fill="F2F2F2" w:themeFill="background1" w:themeFillShade="F2"/>
            <w:noWrap/>
          </w:tcPr>
          <w:p w14:paraId="392BA348" w14:textId="77777777" w:rsidR="0058789F" w:rsidRPr="000A3DAB" w:rsidRDefault="0058789F" w:rsidP="00AD1066">
            <w:pPr>
              <w:pStyle w:val="TableBodyTextrightalign"/>
            </w:pPr>
            <w:r>
              <w:t>(1,626)</w:t>
            </w:r>
          </w:p>
        </w:tc>
        <w:tc>
          <w:tcPr>
            <w:tcW w:w="0" w:type="dxa"/>
            <w:hideMark/>
          </w:tcPr>
          <w:p w14:paraId="5A23C44A" w14:textId="77777777" w:rsidR="0058789F" w:rsidRPr="000A3DAB" w:rsidRDefault="0058789F" w:rsidP="00AD1066">
            <w:pPr>
              <w:pStyle w:val="TableBodyTextrightalign"/>
            </w:pPr>
            <w:r>
              <w:t>(1,480)</w:t>
            </w:r>
          </w:p>
        </w:tc>
      </w:tr>
      <w:tr w:rsidR="0058789F" w14:paraId="5674963D" w14:textId="77777777" w:rsidTr="00AD1066">
        <w:trPr>
          <w:trHeight w:val="300"/>
        </w:trPr>
        <w:tc>
          <w:tcPr>
            <w:tcW w:w="0" w:type="dxa"/>
            <w:tcBorders>
              <w:bottom w:val="single" w:sz="4" w:space="0" w:color="auto"/>
            </w:tcBorders>
            <w:noWrap/>
            <w:hideMark/>
          </w:tcPr>
          <w:p w14:paraId="6E936D37" w14:textId="77777777" w:rsidR="0058789F" w:rsidRPr="000A3DAB" w:rsidRDefault="0058789F" w:rsidP="00AD1066">
            <w:pPr>
              <w:pStyle w:val="TableBodyText"/>
            </w:pPr>
            <w:r w:rsidRPr="000A3DAB">
              <w:t>Proceeds from disposal of leased assets</w:t>
            </w:r>
          </w:p>
        </w:tc>
        <w:tc>
          <w:tcPr>
            <w:tcW w:w="0" w:type="dxa"/>
            <w:tcBorders>
              <w:bottom w:val="single" w:sz="4" w:space="0" w:color="auto"/>
            </w:tcBorders>
            <w:noWrap/>
            <w:hideMark/>
          </w:tcPr>
          <w:p w14:paraId="28D1CD25" w14:textId="77777777" w:rsidR="0058789F" w:rsidRPr="000A3DAB" w:rsidRDefault="0058789F" w:rsidP="00AD1066">
            <w:pPr>
              <w:pStyle w:val="TableBodyText"/>
            </w:pPr>
          </w:p>
        </w:tc>
        <w:tc>
          <w:tcPr>
            <w:tcW w:w="0" w:type="dxa"/>
            <w:tcBorders>
              <w:bottom w:val="single" w:sz="4" w:space="0" w:color="auto"/>
            </w:tcBorders>
            <w:shd w:val="clear" w:color="auto" w:fill="F2F2F2" w:themeFill="background1" w:themeFillShade="F2"/>
            <w:noWrap/>
          </w:tcPr>
          <w:p w14:paraId="13B7C927" w14:textId="77777777" w:rsidR="0058789F" w:rsidRPr="000A3DAB" w:rsidRDefault="0058789F" w:rsidP="00AD1066">
            <w:pPr>
              <w:pStyle w:val="TableBodyTextrightalign"/>
            </w:pPr>
            <w:r>
              <w:t>298</w:t>
            </w:r>
          </w:p>
        </w:tc>
        <w:tc>
          <w:tcPr>
            <w:tcW w:w="0" w:type="dxa"/>
            <w:tcBorders>
              <w:bottom w:val="single" w:sz="4" w:space="0" w:color="auto"/>
            </w:tcBorders>
            <w:hideMark/>
          </w:tcPr>
          <w:p w14:paraId="0CACA64D" w14:textId="77777777" w:rsidR="0058789F" w:rsidRPr="000A3DAB" w:rsidRDefault="0058789F" w:rsidP="00AD1066">
            <w:pPr>
              <w:pStyle w:val="TableBodyTextrightalign"/>
            </w:pPr>
            <w:r>
              <w:t>308</w:t>
            </w:r>
          </w:p>
        </w:tc>
      </w:tr>
      <w:tr w:rsidR="0058789F" w14:paraId="32592500" w14:textId="77777777" w:rsidTr="00AD1066">
        <w:trPr>
          <w:trHeight w:val="255"/>
        </w:trPr>
        <w:tc>
          <w:tcPr>
            <w:tcW w:w="0" w:type="dxa"/>
            <w:tcBorders>
              <w:top w:val="single" w:sz="4" w:space="0" w:color="auto"/>
              <w:bottom w:val="single" w:sz="4" w:space="0" w:color="auto"/>
            </w:tcBorders>
            <w:noWrap/>
            <w:hideMark/>
          </w:tcPr>
          <w:p w14:paraId="51B479D3" w14:textId="77777777" w:rsidR="0058789F" w:rsidRPr="0011139F" w:rsidRDefault="0058789F" w:rsidP="00AD1066">
            <w:pPr>
              <w:pStyle w:val="TableBodyText"/>
              <w:rPr>
                <w:rStyle w:val="Characterbold"/>
              </w:rPr>
            </w:pPr>
            <w:r w:rsidRPr="0011139F">
              <w:rPr>
                <w:rStyle w:val="Characterbold"/>
              </w:rPr>
              <w:t>Net cash flows from/(used in) investing activities</w:t>
            </w:r>
          </w:p>
        </w:tc>
        <w:tc>
          <w:tcPr>
            <w:tcW w:w="0" w:type="dxa"/>
            <w:tcBorders>
              <w:top w:val="single" w:sz="4" w:space="0" w:color="auto"/>
              <w:bottom w:val="single" w:sz="4" w:space="0" w:color="auto"/>
            </w:tcBorders>
            <w:noWrap/>
            <w:hideMark/>
          </w:tcPr>
          <w:p w14:paraId="13B2816D" w14:textId="77777777" w:rsidR="0058789F" w:rsidRPr="0011139F" w:rsidRDefault="0058789F" w:rsidP="00AD1066">
            <w:pPr>
              <w:pStyle w:val="TableBodyText"/>
              <w:rPr>
                <w:rStyle w:val="Characterbold"/>
              </w:rPr>
            </w:pPr>
          </w:p>
        </w:tc>
        <w:tc>
          <w:tcPr>
            <w:tcW w:w="0" w:type="dxa"/>
            <w:tcBorders>
              <w:top w:val="single" w:sz="4" w:space="0" w:color="auto"/>
              <w:bottom w:val="single" w:sz="4" w:space="0" w:color="auto"/>
            </w:tcBorders>
            <w:shd w:val="clear" w:color="auto" w:fill="F2F2F2" w:themeFill="background1" w:themeFillShade="F2"/>
            <w:noWrap/>
          </w:tcPr>
          <w:p w14:paraId="421BEA0B" w14:textId="77777777" w:rsidR="0058789F" w:rsidRPr="007E78B5" w:rsidRDefault="0058789F" w:rsidP="007E78B5">
            <w:pPr>
              <w:pStyle w:val="TableBodyTextrightalign"/>
              <w:rPr>
                <w:rStyle w:val="Characterbold"/>
              </w:rPr>
            </w:pPr>
            <w:r w:rsidRPr="007E78B5">
              <w:rPr>
                <w:rStyle w:val="Characterbold"/>
              </w:rPr>
              <w:t>(1,328)</w:t>
            </w:r>
          </w:p>
        </w:tc>
        <w:tc>
          <w:tcPr>
            <w:tcW w:w="0" w:type="dxa"/>
            <w:tcBorders>
              <w:top w:val="single" w:sz="4" w:space="0" w:color="auto"/>
              <w:bottom w:val="single" w:sz="4" w:space="0" w:color="auto"/>
            </w:tcBorders>
            <w:hideMark/>
          </w:tcPr>
          <w:p w14:paraId="43EE91B8" w14:textId="77777777" w:rsidR="0058789F" w:rsidRPr="0011139F" w:rsidRDefault="0058789F" w:rsidP="00AD1066">
            <w:pPr>
              <w:pStyle w:val="TableBodyTextrightalign"/>
              <w:rPr>
                <w:rStyle w:val="Characterbold"/>
              </w:rPr>
            </w:pPr>
            <w:r>
              <w:rPr>
                <w:rStyle w:val="Characterbold"/>
              </w:rPr>
              <w:t>(1,172)</w:t>
            </w:r>
          </w:p>
        </w:tc>
      </w:tr>
      <w:tr w:rsidR="0058789F" w14:paraId="45D95FC4" w14:textId="77777777" w:rsidTr="00AD1066">
        <w:trPr>
          <w:trHeight w:val="300"/>
        </w:trPr>
        <w:tc>
          <w:tcPr>
            <w:tcW w:w="0" w:type="dxa"/>
            <w:gridSpan w:val="4"/>
            <w:tcBorders>
              <w:top w:val="single" w:sz="4" w:space="0" w:color="auto"/>
            </w:tcBorders>
            <w:noWrap/>
            <w:hideMark/>
          </w:tcPr>
          <w:p w14:paraId="20ED2CB8" w14:textId="77777777" w:rsidR="0058789F" w:rsidRPr="000A3DAB" w:rsidRDefault="0058789F" w:rsidP="00AD1066">
            <w:pPr>
              <w:pStyle w:val="TableBodyTextsmall"/>
            </w:pPr>
          </w:p>
        </w:tc>
      </w:tr>
      <w:tr w:rsidR="0058789F" w14:paraId="72A6B849" w14:textId="77777777" w:rsidTr="00AD1066">
        <w:trPr>
          <w:trHeight w:val="255"/>
        </w:trPr>
        <w:tc>
          <w:tcPr>
            <w:tcW w:w="0" w:type="dxa"/>
            <w:gridSpan w:val="4"/>
            <w:shd w:val="clear" w:color="auto" w:fill="D9D9D9" w:themeFill="background1" w:themeFillShade="D9"/>
            <w:noWrap/>
            <w:hideMark/>
          </w:tcPr>
          <w:p w14:paraId="3F3BC2A3" w14:textId="77777777" w:rsidR="0058789F" w:rsidRPr="000A3DAB" w:rsidRDefault="0058789F" w:rsidP="00AD1066">
            <w:pPr>
              <w:pStyle w:val="TableHeading1"/>
            </w:pPr>
            <w:r w:rsidRPr="000A3DAB">
              <w:t xml:space="preserve">Cash flows from financing activities </w:t>
            </w:r>
          </w:p>
        </w:tc>
      </w:tr>
      <w:tr w:rsidR="0058789F" w14:paraId="2B4E7F54" w14:textId="77777777" w:rsidTr="00AD1066">
        <w:trPr>
          <w:trHeight w:val="255"/>
        </w:trPr>
        <w:tc>
          <w:tcPr>
            <w:tcW w:w="0" w:type="dxa"/>
            <w:tcBorders>
              <w:bottom w:val="single" w:sz="4" w:space="0" w:color="auto"/>
            </w:tcBorders>
            <w:noWrap/>
            <w:hideMark/>
          </w:tcPr>
          <w:p w14:paraId="00F8B6E5" w14:textId="77777777" w:rsidR="0058789F" w:rsidRPr="000A3DAB" w:rsidRDefault="0058789F" w:rsidP="00AD1066">
            <w:pPr>
              <w:pStyle w:val="TableBodyText"/>
            </w:pPr>
            <w:r w:rsidRPr="000A3DAB">
              <w:t xml:space="preserve">Repayment of principal portion of lease liabilities </w:t>
            </w:r>
          </w:p>
        </w:tc>
        <w:tc>
          <w:tcPr>
            <w:tcW w:w="0" w:type="dxa"/>
            <w:tcBorders>
              <w:bottom w:val="single" w:sz="4" w:space="0" w:color="auto"/>
            </w:tcBorders>
            <w:noWrap/>
            <w:hideMark/>
          </w:tcPr>
          <w:p w14:paraId="608D11BB" w14:textId="77777777" w:rsidR="0058789F" w:rsidRPr="000A3DAB" w:rsidRDefault="0058789F" w:rsidP="00AD1066">
            <w:pPr>
              <w:pStyle w:val="TableBodyText"/>
            </w:pPr>
          </w:p>
        </w:tc>
        <w:tc>
          <w:tcPr>
            <w:tcW w:w="0" w:type="dxa"/>
            <w:tcBorders>
              <w:bottom w:val="single" w:sz="4" w:space="0" w:color="auto"/>
            </w:tcBorders>
            <w:shd w:val="clear" w:color="auto" w:fill="F2F2F2" w:themeFill="background1" w:themeFillShade="F2"/>
            <w:noWrap/>
          </w:tcPr>
          <w:p w14:paraId="1EEE2906" w14:textId="77777777" w:rsidR="0058789F" w:rsidRPr="000A3DAB" w:rsidRDefault="0058789F" w:rsidP="00AD1066">
            <w:pPr>
              <w:pStyle w:val="TableBodyTextrightalign"/>
            </w:pPr>
            <w:r>
              <w:t>(3,360)</w:t>
            </w:r>
          </w:p>
        </w:tc>
        <w:tc>
          <w:tcPr>
            <w:tcW w:w="0" w:type="dxa"/>
            <w:tcBorders>
              <w:bottom w:val="single" w:sz="4" w:space="0" w:color="auto"/>
            </w:tcBorders>
            <w:hideMark/>
          </w:tcPr>
          <w:p w14:paraId="31A89450" w14:textId="77777777" w:rsidR="0058789F" w:rsidRPr="000A3DAB" w:rsidRDefault="0058789F" w:rsidP="00AD1066">
            <w:pPr>
              <w:pStyle w:val="TableBodyTextrightalign"/>
            </w:pPr>
            <w:r>
              <w:t>(3,231)</w:t>
            </w:r>
          </w:p>
        </w:tc>
      </w:tr>
      <w:tr w:rsidR="0058789F" w:rsidRPr="00616677" w14:paraId="7A2E1D0C" w14:textId="77777777" w:rsidTr="00AD1066">
        <w:trPr>
          <w:trHeight w:val="395"/>
        </w:trPr>
        <w:tc>
          <w:tcPr>
            <w:tcW w:w="0" w:type="dxa"/>
            <w:tcBorders>
              <w:top w:val="single" w:sz="4" w:space="0" w:color="auto"/>
              <w:bottom w:val="single" w:sz="4" w:space="0" w:color="auto"/>
            </w:tcBorders>
            <w:noWrap/>
          </w:tcPr>
          <w:p w14:paraId="7D77912E" w14:textId="77777777" w:rsidR="0058789F" w:rsidRPr="00962235" w:rsidRDefault="0058789F" w:rsidP="00AD1066">
            <w:pPr>
              <w:pStyle w:val="TableBodyText"/>
            </w:pPr>
            <w:r w:rsidRPr="00962235">
              <w:t xml:space="preserve">Owner contributions by </w:t>
            </w:r>
            <w:r>
              <w:t>s</w:t>
            </w:r>
            <w:r w:rsidRPr="00962235">
              <w:t xml:space="preserve">tate </w:t>
            </w:r>
            <w:r>
              <w:t>g</w:t>
            </w:r>
            <w:r w:rsidRPr="00962235">
              <w:t>overnment</w:t>
            </w:r>
            <w:r>
              <w:t xml:space="preserve"> </w:t>
            </w:r>
            <w:r w:rsidRPr="00962235">
              <w:t>appropriation for capital expenditure purposes</w:t>
            </w:r>
          </w:p>
        </w:tc>
        <w:tc>
          <w:tcPr>
            <w:tcW w:w="0" w:type="dxa"/>
            <w:tcBorders>
              <w:top w:val="single" w:sz="4" w:space="0" w:color="auto"/>
              <w:bottom w:val="single" w:sz="4" w:space="0" w:color="auto"/>
            </w:tcBorders>
            <w:noWrap/>
          </w:tcPr>
          <w:p w14:paraId="6F097F7A" w14:textId="77777777" w:rsidR="0058789F" w:rsidRPr="00962235" w:rsidRDefault="0058789F" w:rsidP="00AD1066">
            <w:pPr>
              <w:pStyle w:val="TableBodyText"/>
            </w:pPr>
          </w:p>
        </w:tc>
        <w:tc>
          <w:tcPr>
            <w:tcW w:w="0" w:type="dxa"/>
            <w:tcBorders>
              <w:top w:val="single" w:sz="4" w:space="0" w:color="auto"/>
              <w:bottom w:val="single" w:sz="4" w:space="0" w:color="auto"/>
            </w:tcBorders>
            <w:shd w:val="clear" w:color="auto" w:fill="F2F2F2" w:themeFill="background1" w:themeFillShade="F2"/>
            <w:noWrap/>
          </w:tcPr>
          <w:p w14:paraId="5A6C6F91" w14:textId="77777777" w:rsidR="0058789F" w:rsidRPr="00962235" w:rsidRDefault="0058789F" w:rsidP="00ED79A2">
            <w:pPr>
              <w:pStyle w:val="TableBodyTextrightalign"/>
            </w:pPr>
            <w:r w:rsidRPr="00962235">
              <w:t>1,105</w:t>
            </w:r>
          </w:p>
        </w:tc>
        <w:tc>
          <w:tcPr>
            <w:tcW w:w="0" w:type="dxa"/>
            <w:tcBorders>
              <w:top w:val="single" w:sz="4" w:space="0" w:color="auto"/>
              <w:bottom w:val="single" w:sz="4" w:space="0" w:color="auto"/>
            </w:tcBorders>
          </w:tcPr>
          <w:p w14:paraId="0D00FE72" w14:textId="77777777" w:rsidR="0058789F" w:rsidRPr="00962235" w:rsidRDefault="0058789F" w:rsidP="00ED79A2">
            <w:pPr>
              <w:pStyle w:val="TableBodyTextrightalign"/>
            </w:pPr>
            <w:r>
              <w:t>–</w:t>
            </w:r>
          </w:p>
        </w:tc>
      </w:tr>
      <w:tr w:rsidR="0058789F" w:rsidRPr="00616677" w14:paraId="46B2E39A" w14:textId="77777777" w:rsidTr="00AD1066">
        <w:trPr>
          <w:trHeight w:val="255"/>
        </w:trPr>
        <w:tc>
          <w:tcPr>
            <w:tcW w:w="0" w:type="dxa"/>
            <w:tcBorders>
              <w:top w:val="single" w:sz="4" w:space="0" w:color="auto"/>
              <w:bottom w:val="single" w:sz="4" w:space="0" w:color="auto"/>
            </w:tcBorders>
            <w:noWrap/>
            <w:hideMark/>
          </w:tcPr>
          <w:p w14:paraId="561D5A0E" w14:textId="77777777" w:rsidR="0058789F" w:rsidRPr="007211D6" w:rsidRDefault="0058789F" w:rsidP="00AD1066">
            <w:pPr>
              <w:pStyle w:val="TableBodyText"/>
              <w:rPr>
                <w:rStyle w:val="Characterbold"/>
              </w:rPr>
            </w:pPr>
            <w:r w:rsidRPr="007211D6">
              <w:rPr>
                <w:rStyle w:val="Characterbold"/>
              </w:rPr>
              <w:t>Net cash flows from/(used in) financing activities</w:t>
            </w:r>
          </w:p>
        </w:tc>
        <w:tc>
          <w:tcPr>
            <w:tcW w:w="0" w:type="dxa"/>
            <w:tcBorders>
              <w:top w:val="single" w:sz="4" w:space="0" w:color="auto"/>
              <w:bottom w:val="single" w:sz="4" w:space="0" w:color="auto"/>
            </w:tcBorders>
            <w:noWrap/>
            <w:hideMark/>
          </w:tcPr>
          <w:p w14:paraId="3F14BF4D" w14:textId="77777777" w:rsidR="0058789F" w:rsidRPr="008274BC" w:rsidRDefault="0058789F" w:rsidP="00AD1066">
            <w:pPr>
              <w:pStyle w:val="TableBodyText"/>
              <w:rPr>
                <w:b/>
              </w:rPr>
            </w:pPr>
          </w:p>
        </w:tc>
        <w:tc>
          <w:tcPr>
            <w:tcW w:w="0" w:type="dxa"/>
            <w:tcBorders>
              <w:top w:val="single" w:sz="4" w:space="0" w:color="auto"/>
              <w:bottom w:val="single" w:sz="4" w:space="0" w:color="auto"/>
            </w:tcBorders>
            <w:shd w:val="clear" w:color="auto" w:fill="F2F2F2" w:themeFill="background1" w:themeFillShade="F2"/>
            <w:noWrap/>
          </w:tcPr>
          <w:p w14:paraId="19FBBC40" w14:textId="77777777" w:rsidR="0058789F" w:rsidRPr="007E78B5" w:rsidRDefault="0058789F" w:rsidP="007E78B5">
            <w:pPr>
              <w:pStyle w:val="TableBodyTextrightalign"/>
              <w:rPr>
                <w:rStyle w:val="Characterbold"/>
              </w:rPr>
            </w:pPr>
            <w:r w:rsidRPr="007E78B5">
              <w:rPr>
                <w:rStyle w:val="Characterbold"/>
              </w:rPr>
              <w:t>(2,255)</w:t>
            </w:r>
          </w:p>
        </w:tc>
        <w:tc>
          <w:tcPr>
            <w:tcW w:w="0" w:type="dxa"/>
            <w:tcBorders>
              <w:top w:val="single" w:sz="4" w:space="0" w:color="auto"/>
              <w:bottom w:val="single" w:sz="4" w:space="0" w:color="auto"/>
            </w:tcBorders>
            <w:hideMark/>
          </w:tcPr>
          <w:p w14:paraId="69719D78" w14:textId="77777777" w:rsidR="0058789F" w:rsidRPr="007E78B5" w:rsidRDefault="0058789F" w:rsidP="007E78B5">
            <w:pPr>
              <w:pStyle w:val="TableBodyTextrightalign"/>
              <w:rPr>
                <w:rStyle w:val="Characterbold"/>
              </w:rPr>
            </w:pPr>
            <w:r w:rsidRPr="007E78B5">
              <w:rPr>
                <w:rStyle w:val="Characterbold"/>
              </w:rPr>
              <w:t>(3,231)</w:t>
            </w:r>
          </w:p>
        </w:tc>
      </w:tr>
      <w:tr w:rsidR="0058789F" w14:paraId="0E4F6E50" w14:textId="77777777" w:rsidTr="00AD1066">
        <w:trPr>
          <w:trHeight w:val="270"/>
        </w:trPr>
        <w:tc>
          <w:tcPr>
            <w:tcW w:w="0" w:type="dxa"/>
            <w:tcBorders>
              <w:top w:val="single" w:sz="4" w:space="0" w:color="auto"/>
              <w:bottom w:val="single" w:sz="4" w:space="0" w:color="auto"/>
            </w:tcBorders>
            <w:noWrap/>
            <w:hideMark/>
          </w:tcPr>
          <w:p w14:paraId="57D27112" w14:textId="77777777" w:rsidR="0058789F" w:rsidRPr="000A3DAB" w:rsidRDefault="0058789F" w:rsidP="00AD1066">
            <w:pPr>
              <w:pStyle w:val="TableBodyText"/>
              <w:rPr>
                <w:rStyle w:val="Characterbold"/>
              </w:rPr>
            </w:pPr>
            <w:r w:rsidRPr="000A3DAB">
              <w:rPr>
                <w:rStyle w:val="Characterbold"/>
              </w:rPr>
              <w:t>Net increase/(decrease) in cash and cash equivalents</w:t>
            </w:r>
          </w:p>
        </w:tc>
        <w:tc>
          <w:tcPr>
            <w:tcW w:w="0" w:type="dxa"/>
            <w:tcBorders>
              <w:top w:val="single" w:sz="4" w:space="0" w:color="auto"/>
              <w:bottom w:val="single" w:sz="4" w:space="0" w:color="auto"/>
            </w:tcBorders>
            <w:noWrap/>
            <w:hideMark/>
          </w:tcPr>
          <w:p w14:paraId="3F48AF7B" w14:textId="77777777" w:rsidR="0058789F" w:rsidRPr="000A3DAB" w:rsidRDefault="0058789F" w:rsidP="00AD1066">
            <w:pPr>
              <w:pStyle w:val="TableBodyText"/>
            </w:pPr>
          </w:p>
        </w:tc>
        <w:tc>
          <w:tcPr>
            <w:tcW w:w="0" w:type="dxa"/>
            <w:tcBorders>
              <w:top w:val="single" w:sz="4" w:space="0" w:color="auto"/>
              <w:bottom w:val="single" w:sz="4" w:space="0" w:color="auto"/>
            </w:tcBorders>
            <w:shd w:val="clear" w:color="auto" w:fill="F2F2F2" w:themeFill="background1" w:themeFillShade="F2"/>
            <w:noWrap/>
          </w:tcPr>
          <w:p w14:paraId="6280E9C2" w14:textId="77777777" w:rsidR="0058789F" w:rsidRPr="007E78B5" w:rsidRDefault="0058789F" w:rsidP="007E78B5">
            <w:pPr>
              <w:pStyle w:val="TableBodyTextrightalign"/>
              <w:rPr>
                <w:rStyle w:val="Characterbold"/>
              </w:rPr>
            </w:pPr>
            <w:r w:rsidRPr="007E78B5">
              <w:rPr>
                <w:rStyle w:val="Characterbold"/>
              </w:rPr>
              <w:t>268</w:t>
            </w:r>
          </w:p>
        </w:tc>
        <w:tc>
          <w:tcPr>
            <w:tcW w:w="0" w:type="dxa"/>
            <w:tcBorders>
              <w:top w:val="single" w:sz="4" w:space="0" w:color="auto"/>
              <w:bottom w:val="single" w:sz="4" w:space="0" w:color="auto"/>
            </w:tcBorders>
            <w:hideMark/>
          </w:tcPr>
          <w:p w14:paraId="06949CC9" w14:textId="77777777" w:rsidR="0058789F" w:rsidRPr="000A3DAB" w:rsidRDefault="0058789F" w:rsidP="00AD1066">
            <w:pPr>
              <w:pStyle w:val="TableBodyTextrightalign"/>
              <w:rPr>
                <w:rStyle w:val="Characterbold"/>
              </w:rPr>
            </w:pPr>
            <w:r>
              <w:rPr>
                <w:rStyle w:val="Characterbold"/>
              </w:rPr>
              <w:t>(47)</w:t>
            </w:r>
          </w:p>
        </w:tc>
      </w:tr>
      <w:tr w:rsidR="0058789F" w14:paraId="20E2E0CA" w14:textId="77777777" w:rsidTr="00AD1066">
        <w:trPr>
          <w:trHeight w:val="255"/>
        </w:trPr>
        <w:tc>
          <w:tcPr>
            <w:tcW w:w="0" w:type="dxa"/>
            <w:tcBorders>
              <w:bottom w:val="single" w:sz="4" w:space="0" w:color="auto"/>
            </w:tcBorders>
            <w:noWrap/>
            <w:hideMark/>
          </w:tcPr>
          <w:p w14:paraId="1847BBBF" w14:textId="77777777" w:rsidR="0058789F" w:rsidRPr="000A3DAB" w:rsidRDefault="0058789F" w:rsidP="00AD1066">
            <w:pPr>
              <w:pStyle w:val="TableBodyText"/>
            </w:pPr>
            <w:r w:rsidRPr="000A3DAB">
              <w:t>Cash and cash equivalents at beginning of financial year</w:t>
            </w:r>
          </w:p>
        </w:tc>
        <w:tc>
          <w:tcPr>
            <w:tcW w:w="0" w:type="dxa"/>
            <w:tcBorders>
              <w:bottom w:val="single" w:sz="4" w:space="0" w:color="auto"/>
            </w:tcBorders>
            <w:noWrap/>
            <w:hideMark/>
          </w:tcPr>
          <w:p w14:paraId="12FA4935" w14:textId="77777777" w:rsidR="0058789F" w:rsidRPr="000A3DAB" w:rsidRDefault="0058789F" w:rsidP="00AD1066">
            <w:pPr>
              <w:pStyle w:val="TableBodyText"/>
            </w:pPr>
          </w:p>
        </w:tc>
        <w:tc>
          <w:tcPr>
            <w:tcW w:w="0" w:type="dxa"/>
            <w:tcBorders>
              <w:bottom w:val="single" w:sz="4" w:space="0" w:color="auto"/>
            </w:tcBorders>
            <w:shd w:val="clear" w:color="auto" w:fill="F2F2F2" w:themeFill="background1" w:themeFillShade="F2"/>
            <w:noWrap/>
          </w:tcPr>
          <w:p w14:paraId="26D74049" w14:textId="77777777" w:rsidR="0058789F" w:rsidRPr="000A3DAB" w:rsidRDefault="0058789F" w:rsidP="00AD1066">
            <w:pPr>
              <w:pStyle w:val="TableBodyTextrightalign"/>
            </w:pPr>
            <w:r>
              <w:t>48</w:t>
            </w:r>
          </w:p>
        </w:tc>
        <w:tc>
          <w:tcPr>
            <w:tcW w:w="0" w:type="dxa"/>
            <w:tcBorders>
              <w:bottom w:val="single" w:sz="4" w:space="0" w:color="auto"/>
            </w:tcBorders>
            <w:hideMark/>
          </w:tcPr>
          <w:p w14:paraId="2AC9F5AE" w14:textId="77777777" w:rsidR="0058789F" w:rsidRPr="000A3DAB" w:rsidRDefault="0058789F" w:rsidP="00AD1066">
            <w:pPr>
              <w:pStyle w:val="TableBodyTextrightalign"/>
            </w:pPr>
            <w:r>
              <w:t>95</w:t>
            </w:r>
          </w:p>
        </w:tc>
      </w:tr>
      <w:tr w:rsidR="0058789F" w14:paraId="0165A09B" w14:textId="77777777" w:rsidTr="00AD1066">
        <w:trPr>
          <w:trHeight w:val="270"/>
        </w:trPr>
        <w:tc>
          <w:tcPr>
            <w:tcW w:w="0" w:type="dxa"/>
            <w:tcBorders>
              <w:top w:val="single" w:sz="4" w:space="0" w:color="auto"/>
              <w:bottom w:val="single" w:sz="4" w:space="0" w:color="auto"/>
            </w:tcBorders>
            <w:noWrap/>
            <w:hideMark/>
          </w:tcPr>
          <w:p w14:paraId="3AD67149" w14:textId="77777777" w:rsidR="0058789F" w:rsidRPr="000A3DAB" w:rsidRDefault="0058789F" w:rsidP="00AD1066">
            <w:pPr>
              <w:pStyle w:val="TableBodyText"/>
              <w:rPr>
                <w:rStyle w:val="Characterbold"/>
              </w:rPr>
            </w:pPr>
            <w:r w:rsidRPr="000A3DAB">
              <w:rPr>
                <w:rStyle w:val="Characterbold"/>
              </w:rPr>
              <w:t xml:space="preserve">Cash and cash equivalents at end of financial year </w:t>
            </w:r>
          </w:p>
        </w:tc>
        <w:tc>
          <w:tcPr>
            <w:tcW w:w="0" w:type="dxa"/>
            <w:tcBorders>
              <w:top w:val="single" w:sz="4" w:space="0" w:color="auto"/>
              <w:bottom w:val="single" w:sz="4" w:space="0" w:color="auto"/>
            </w:tcBorders>
            <w:noWrap/>
            <w:hideMark/>
          </w:tcPr>
          <w:p w14:paraId="4FC4D76F" w14:textId="77777777" w:rsidR="0058789F" w:rsidRPr="000A3DAB" w:rsidRDefault="0058789F" w:rsidP="00AD1066">
            <w:pPr>
              <w:pStyle w:val="TableBodyText"/>
            </w:pPr>
            <w:r>
              <w:fldChar w:fldCharType="begin"/>
            </w:r>
            <w:r>
              <w:instrText xml:space="preserve"> REF _Ref82072460 \n \h  \* MERGEFORMAT </w:instrText>
            </w:r>
            <w:r>
              <w:fldChar w:fldCharType="separate"/>
            </w:r>
            <w:r>
              <w:t>6.2</w:t>
            </w:r>
            <w:r>
              <w:fldChar w:fldCharType="end"/>
            </w:r>
          </w:p>
        </w:tc>
        <w:tc>
          <w:tcPr>
            <w:tcW w:w="0" w:type="dxa"/>
            <w:tcBorders>
              <w:top w:val="single" w:sz="4" w:space="0" w:color="auto"/>
              <w:bottom w:val="single" w:sz="4" w:space="0" w:color="auto"/>
            </w:tcBorders>
            <w:shd w:val="clear" w:color="auto" w:fill="F2F2F2" w:themeFill="background1" w:themeFillShade="F2"/>
            <w:noWrap/>
          </w:tcPr>
          <w:p w14:paraId="4D8995F7" w14:textId="77777777" w:rsidR="0058789F" w:rsidRPr="007E78B5" w:rsidRDefault="0058789F" w:rsidP="007E78B5">
            <w:pPr>
              <w:pStyle w:val="TableBodyTextrightalign"/>
              <w:rPr>
                <w:rStyle w:val="Characterbold"/>
              </w:rPr>
            </w:pPr>
            <w:r w:rsidRPr="007E78B5">
              <w:rPr>
                <w:rStyle w:val="Characterbold"/>
              </w:rPr>
              <w:t>316</w:t>
            </w:r>
          </w:p>
        </w:tc>
        <w:tc>
          <w:tcPr>
            <w:tcW w:w="0" w:type="dxa"/>
            <w:tcBorders>
              <w:top w:val="single" w:sz="4" w:space="0" w:color="auto"/>
              <w:bottom w:val="single" w:sz="4" w:space="0" w:color="auto"/>
            </w:tcBorders>
            <w:hideMark/>
          </w:tcPr>
          <w:p w14:paraId="324AFA00" w14:textId="77777777" w:rsidR="0058789F" w:rsidRPr="000A3DAB" w:rsidRDefault="0058789F" w:rsidP="00AD1066">
            <w:pPr>
              <w:pStyle w:val="TableBodyTextrightalign"/>
              <w:rPr>
                <w:rStyle w:val="Characterbold"/>
              </w:rPr>
            </w:pPr>
            <w:r>
              <w:rPr>
                <w:rStyle w:val="Characterbold"/>
              </w:rPr>
              <w:t>48</w:t>
            </w:r>
          </w:p>
        </w:tc>
      </w:tr>
    </w:tbl>
    <w:p w14:paraId="32CEFC2D" w14:textId="77777777" w:rsidR="0058789F" w:rsidRPr="00DE7357" w:rsidRDefault="0058789F" w:rsidP="0058789F">
      <w:pPr>
        <w:pStyle w:val="TableNote"/>
      </w:pPr>
      <w:r w:rsidRPr="00DE7357">
        <w:t>The accompanying notes form part of these financial statements.</w:t>
      </w:r>
    </w:p>
    <w:p w14:paraId="49AD2815" w14:textId="774A15FF" w:rsidR="0058789F" w:rsidRPr="00DE7357" w:rsidRDefault="00465B9C" w:rsidP="0058789F">
      <w:pPr>
        <w:pStyle w:val="TableNote"/>
      </w:pPr>
      <w:r>
        <w:t>Notes</w:t>
      </w:r>
    </w:p>
    <w:p w14:paraId="12E79BE4" w14:textId="77777777" w:rsidR="0058789F" w:rsidRPr="00DE7357" w:rsidRDefault="0058789F" w:rsidP="0058789F">
      <w:pPr>
        <w:pStyle w:val="TableNote"/>
      </w:pPr>
      <w:r w:rsidRPr="00DE7357">
        <w:rPr>
          <w:rStyle w:val="Charactersuperscript"/>
        </w:rPr>
        <w:t>(a)</w:t>
      </w:r>
      <w:r>
        <w:t xml:space="preserve"> </w:t>
      </w:r>
      <w:r w:rsidRPr="00DE7357">
        <w:t>Th</w:t>
      </w:r>
      <w:r>
        <w:t>e</w:t>
      </w:r>
      <w:r w:rsidRPr="00DE7357">
        <w:t xml:space="preserve"> format of this statement is aligned to AASB 1049.</w:t>
      </w:r>
    </w:p>
    <w:p w14:paraId="5A5424FC" w14:textId="77777777" w:rsidR="0058789F" w:rsidRPr="00DE7357" w:rsidRDefault="0058789F" w:rsidP="0058789F">
      <w:pPr>
        <w:pStyle w:val="TableNote"/>
      </w:pPr>
      <w:r w:rsidRPr="00DE7357">
        <w:rPr>
          <w:rStyle w:val="Charactersuperscript"/>
        </w:rPr>
        <w:t>(b)</w:t>
      </w:r>
      <w:r>
        <w:t xml:space="preserve"> </w:t>
      </w:r>
      <w:r w:rsidRPr="00DE7357">
        <w:t xml:space="preserve">Goods and services tax recovered from the ATO is presented on a net basis. </w:t>
      </w:r>
    </w:p>
    <w:p w14:paraId="691BC95C" w14:textId="77777777" w:rsidR="0058789F" w:rsidRPr="005C634F" w:rsidRDefault="0058789F" w:rsidP="005C634F">
      <w:pPr>
        <w:pStyle w:val="TableNote"/>
      </w:pPr>
      <w:r>
        <w:br w:type="page"/>
      </w:r>
    </w:p>
    <w:p w14:paraId="6A08CB40" w14:textId="77777777" w:rsidR="0058789F" w:rsidRDefault="0058789F" w:rsidP="0058789F">
      <w:pPr>
        <w:pStyle w:val="Caption"/>
      </w:pPr>
      <w:bookmarkStart w:id="161" w:name="_Ref120787943"/>
      <w:r w:rsidRPr="006876DA">
        <w:t>Statement of changes in equity for the financial year ended 30 June 202</w:t>
      </w:r>
      <w:r>
        <w:t>3</w:t>
      </w:r>
      <w:r w:rsidRPr="00557C6C">
        <w:rPr>
          <w:rStyle w:val="Charactersuperscript"/>
        </w:rPr>
        <w:t>(a)</w:t>
      </w:r>
      <w:bookmarkEnd w:id="161"/>
    </w:p>
    <w:tbl>
      <w:tblPr>
        <w:tblStyle w:val="CustomTabledetailed"/>
        <w:tblW w:w="8986" w:type="dxa"/>
        <w:tblLayout w:type="fixed"/>
        <w:tblLook w:val="0660" w:firstRow="1" w:lastRow="1" w:firstColumn="0" w:lastColumn="0" w:noHBand="1" w:noVBand="1"/>
      </w:tblPr>
      <w:tblGrid>
        <w:gridCol w:w="2246"/>
        <w:gridCol w:w="2246"/>
        <w:gridCol w:w="2247"/>
        <w:gridCol w:w="2247"/>
      </w:tblGrid>
      <w:tr w:rsidR="0058789F" w:rsidRPr="009E6258" w14:paraId="3E4925F3" w14:textId="77777777" w:rsidTr="00AD1066">
        <w:trPr>
          <w:cnfStyle w:val="100000000000" w:firstRow="1" w:lastRow="0" w:firstColumn="0" w:lastColumn="0" w:oddVBand="0" w:evenVBand="0" w:oddHBand="0" w:evenHBand="0" w:firstRowFirstColumn="0" w:firstRowLastColumn="0" w:lastRowFirstColumn="0" w:lastRowLastColumn="0"/>
          <w:trHeight w:val="510"/>
        </w:trPr>
        <w:tc>
          <w:tcPr>
            <w:tcW w:w="0" w:type="dxa"/>
            <w:noWrap/>
            <w:hideMark/>
          </w:tcPr>
          <w:p w14:paraId="6E6A479D" w14:textId="77777777" w:rsidR="0058789F" w:rsidRPr="009E6258" w:rsidRDefault="0058789F" w:rsidP="00AD1066">
            <w:pPr>
              <w:pStyle w:val="TableHeading1"/>
            </w:pPr>
            <w:r w:rsidRPr="009E6258">
              <w:t> </w:t>
            </w:r>
          </w:p>
        </w:tc>
        <w:tc>
          <w:tcPr>
            <w:tcW w:w="0" w:type="dxa"/>
            <w:hideMark/>
          </w:tcPr>
          <w:p w14:paraId="7E4A4B6A" w14:textId="77777777" w:rsidR="0058789F" w:rsidRDefault="0058789F" w:rsidP="00AD1066">
            <w:pPr>
              <w:pStyle w:val="TableHeading3rightalign"/>
            </w:pPr>
            <w:r w:rsidRPr="009E6258">
              <w:t>Accumulated surplus</w:t>
            </w:r>
          </w:p>
          <w:p w14:paraId="033C2B9B" w14:textId="77777777" w:rsidR="0058789F" w:rsidRPr="009E6258" w:rsidRDefault="0058789F" w:rsidP="00AD1066">
            <w:pPr>
              <w:pStyle w:val="TableHeading3rightalign"/>
            </w:pPr>
            <w:r>
              <w:t>(</w:t>
            </w:r>
            <w:r w:rsidRPr="009A2E1F">
              <w:t>$’000</w:t>
            </w:r>
            <w:r>
              <w:t>)</w:t>
            </w:r>
          </w:p>
        </w:tc>
        <w:tc>
          <w:tcPr>
            <w:tcW w:w="0" w:type="dxa"/>
            <w:hideMark/>
          </w:tcPr>
          <w:p w14:paraId="366183CB" w14:textId="77777777" w:rsidR="0058789F" w:rsidRDefault="0058789F" w:rsidP="00AD1066">
            <w:pPr>
              <w:pStyle w:val="TableHeading3rightalign"/>
            </w:pPr>
            <w:r w:rsidRPr="009E6258">
              <w:t>Contributed capital</w:t>
            </w:r>
          </w:p>
          <w:p w14:paraId="5609DC36" w14:textId="77777777" w:rsidR="0058789F" w:rsidRPr="009E6258" w:rsidRDefault="0058789F" w:rsidP="00AD1066">
            <w:pPr>
              <w:pStyle w:val="TableHeading3rightalign"/>
            </w:pPr>
            <w:r>
              <w:t>(</w:t>
            </w:r>
            <w:r w:rsidRPr="009A2E1F">
              <w:t>$’000</w:t>
            </w:r>
            <w:r>
              <w:t>)</w:t>
            </w:r>
          </w:p>
        </w:tc>
        <w:tc>
          <w:tcPr>
            <w:tcW w:w="0" w:type="dxa"/>
            <w:hideMark/>
          </w:tcPr>
          <w:p w14:paraId="5351EFD0" w14:textId="77777777" w:rsidR="0058789F" w:rsidRDefault="0058789F" w:rsidP="00AD1066">
            <w:pPr>
              <w:pStyle w:val="TableHeading3rightalign"/>
            </w:pPr>
            <w:r w:rsidRPr="009E6258">
              <w:t>Total</w:t>
            </w:r>
          </w:p>
          <w:p w14:paraId="0969E37F" w14:textId="77777777" w:rsidR="0058789F" w:rsidRPr="009E6258" w:rsidRDefault="0058789F" w:rsidP="00AD1066">
            <w:pPr>
              <w:pStyle w:val="TableHeading3rightalign"/>
            </w:pPr>
            <w:r>
              <w:t>(</w:t>
            </w:r>
            <w:r w:rsidRPr="009A2E1F">
              <w:t>$’000</w:t>
            </w:r>
            <w:r>
              <w:t>)</w:t>
            </w:r>
          </w:p>
        </w:tc>
      </w:tr>
      <w:tr w:rsidR="0058789F" w:rsidRPr="009E6258" w14:paraId="4F524B9F" w14:textId="77777777" w:rsidTr="00AD1066">
        <w:trPr>
          <w:trHeight w:val="255"/>
        </w:trPr>
        <w:tc>
          <w:tcPr>
            <w:tcW w:w="0" w:type="dxa"/>
            <w:gridSpan w:val="4"/>
            <w:tcBorders>
              <w:bottom w:val="dotted" w:sz="4" w:space="0" w:color="auto"/>
            </w:tcBorders>
            <w:noWrap/>
            <w:hideMark/>
          </w:tcPr>
          <w:p w14:paraId="1741B891" w14:textId="77777777" w:rsidR="0058789F" w:rsidRPr="00855831" w:rsidRDefault="0058789F" w:rsidP="00AD1066">
            <w:pPr>
              <w:pStyle w:val="TableBodyTextsmall"/>
            </w:pPr>
          </w:p>
        </w:tc>
      </w:tr>
      <w:tr w:rsidR="0058789F" w:rsidRPr="00D75239" w14:paraId="72B69F47" w14:textId="77777777" w:rsidTr="00AD1066">
        <w:trPr>
          <w:trHeight w:val="255"/>
        </w:trPr>
        <w:tc>
          <w:tcPr>
            <w:tcW w:w="0" w:type="dxa"/>
            <w:tcBorders>
              <w:top w:val="dotted" w:sz="4" w:space="0" w:color="auto"/>
              <w:bottom w:val="single" w:sz="4" w:space="0" w:color="auto"/>
            </w:tcBorders>
            <w:noWrap/>
            <w:hideMark/>
          </w:tcPr>
          <w:p w14:paraId="232BEE67" w14:textId="77777777" w:rsidR="0058789F" w:rsidRPr="00D75239" w:rsidRDefault="0058789F" w:rsidP="00AD1066">
            <w:pPr>
              <w:pStyle w:val="TableBodyText"/>
              <w:rPr>
                <w:rStyle w:val="Characterbold"/>
              </w:rPr>
            </w:pPr>
            <w:r w:rsidRPr="00D75239">
              <w:rPr>
                <w:rStyle w:val="Characterbold"/>
              </w:rPr>
              <w:t>Balance at 30 June 202</w:t>
            </w:r>
            <w:r>
              <w:rPr>
                <w:rStyle w:val="Characterbold"/>
              </w:rPr>
              <w:t>1</w:t>
            </w:r>
          </w:p>
        </w:tc>
        <w:tc>
          <w:tcPr>
            <w:tcW w:w="0" w:type="dxa"/>
            <w:tcBorders>
              <w:top w:val="dotted" w:sz="4" w:space="0" w:color="auto"/>
              <w:bottom w:val="single" w:sz="4" w:space="0" w:color="auto"/>
            </w:tcBorders>
            <w:noWrap/>
            <w:hideMark/>
          </w:tcPr>
          <w:p w14:paraId="67659E83" w14:textId="77777777" w:rsidR="0058789F" w:rsidRPr="0031223B" w:rsidRDefault="0058789F" w:rsidP="00AD1066">
            <w:pPr>
              <w:pStyle w:val="TableBodyTextrightalign"/>
              <w:rPr>
                <w:rStyle w:val="Characterbold"/>
              </w:rPr>
            </w:pPr>
            <w:r w:rsidRPr="0086201D">
              <w:rPr>
                <w:rStyle w:val="Characterbold"/>
              </w:rPr>
              <w:t>11,333</w:t>
            </w:r>
          </w:p>
        </w:tc>
        <w:tc>
          <w:tcPr>
            <w:tcW w:w="0" w:type="dxa"/>
            <w:tcBorders>
              <w:top w:val="dotted" w:sz="4" w:space="0" w:color="auto"/>
              <w:bottom w:val="single" w:sz="4" w:space="0" w:color="auto"/>
            </w:tcBorders>
            <w:noWrap/>
            <w:hideMark/>
          </w:tcPr>
          <w:p w14:paraId="407EF12A" w14:textId="77777777" w:rsidR="0058789F" w:rsidRPr="0031223B" w:rsidRDefault="0058789F" w:rsidP="00AD1066">
            <w:pPr>
              <w:pStyle w:val="TableBodyTextrightalign"/>
              <w:rPr>
                <w:rStyle w:val="Characterbold"/>
              </w:rPr>
            </w:pPr>
            <w:r w:rsidRPr="0086201D">
              <w:rPr>
                <w:rStyle w:val="Characterbold"/>
              </w:rPr>
              <w:t>5,447</w:t>
            </w:r>
          </w:p>
        </w:tc>
        <w:tc>
          <w:tcPr>
            <w:tcW w:w="0" w:type="dxa"/>
            <w:tcBorders>
              <w:top w:val="dotted" w:sz="4" w:space="0" w:color="auto"/>
              <w:bottom w:val="single" w:sz="4" w:space="0" w:color="auto"/>
            </w:tcBorders>
            <w:shd w:val="clear" w:color="auto" w:fill="F2F2F2" w:themeFill="background1" w:themeFillShade="F2"/>
            <w:noWrap/>
            <w:hideMark/>
          </w:tcPr>
          <w:p w14:paraId="60F6AF79" w14:textId="77777777" w:rsidR="0058789F" w:rsidRPr="0031223B" w:rsidRDefault="0058789F" w:rsidP="00AD1066">
            <w:pPr>
              <w:pStyle w:val="TableBodyTextrightalign"/>
              <w:rPr>
                <w:rStyle w:val="Characterbold"/>
              </w:rPr>
            </w:pPr>
            <w:r w:rsidRPr="0086201D">
              <w:rPr>
                <w:rStyle w:val="Characterbold"/>
              </w:rPr>
              <w:t>16,780</w:t>
            </w:r>
          </w:p>
        </w:tc>
      </w:tr>
      <w:tr w:rsidR="0058789F" w:rsidRPr="008D3CF9" w14:paraId="3A63D76E" w14:textId="77777777" w:rsidTr="00AD1066">
        <w:trPr>
          <w:trHeight w:val="255"/>
        </w:trPr>
        <w:tc>
          <w:tcPr>
            <w:tcW w:w="0" w:type="dxa"/>
            <w:tcBorders>
              <w:top w:val="single" w:sz="4" w:space="0" w:color="auto"/>
            </w:tcBorders>
            <w:noWrap/>
          </w:tcPr>
          <w:p w14:paraId="63095D54" w14:textId="77777777" w:rsidR="0058789F" w:rsidRPr="008D3CF9" w:rsidRDefault="0058789F" w:rsidP="00AD1066">
            <w:pPr>
              <w:pStyle w:val="TableBodyText"/>
            </w:pPr>
            <w:r w:rsidRPr="009E6258">
              <w:t>Net result for the year</w:t>
            </w:r>
          </w:p>
        </w:tc>
        <w:tc>
          <w:tcPr>
            <w:tcW w:w="0" w:type="dxa"/>
            <w:tcBorders>
              <w:top w:val="single" w:sz="4" w:space="0" w:color="auto"/>
            </w:tcBorders>
            <w:noWrap/>
          </w:tcPr>
          <w:p w14:paraId="794E4723" w14:textId="77777777" w:rsidR="0058789F" w:rsidRPr="0086201D" w:rsidRDefault="0058789F" w:rsidP="00AD1066">
            <w:pPr>
              <w:pStyle w:val="TableBodyTextrightalign"/>
            </w:pPr>
            <w:r w:rsidRPr="0086201D">
              <w:t>(3,086)</w:t>
            </w:r>
          </w:p>
        </w:tc>
        <w:tc>
          <w:tcPr>
            <w:tcW w:w="0" w:type="dxa"/>
            <w:tcBorders>
              <w:top w:val="single" w:sz="4" w:space="0" w:color="auto"/>
            </w:tcBorders>
            <w:noWrap/>
          </w:tcPr>
          <w:p w14:paraId="4B0C11EF" w14:textId="77777777" w:rsidR="0058789F" w:rsidRPr="0086201D" w:rsidRDefault="0058789F" w:rsidP="00AD1066">
            <w:pPr>
              <w:pStyle w:val="TableBodyTextrightalign"/>
            </w:pPr>
            <w:r>
              <w:t>–</w:t>
            </w:r>
          </w:p>
        </w:tc>
        <w:tc>
          <w:tcPr>
            <w:tcW w:w="0" w:type="dxa"/>
            <w:tcBorders>
              <w:top w:val="single" w:sz="4" w:space="0" w:color="auto"/>
            </w:tcBorders>
            <w:shd w:val="clear" w:color="auto" w:fill="F2F2F2" w:themeFill="background1" w:themeFillShade="F2"/>
            <w:noWrap/>
          </w:tcPr>
          <w:p w14:paraId="2918E05B" w14:textId="77777777" w:rsidR="0058789F" w:rsidRPr="0086201D" w:rsidRDefault="0058789F" w:rsidP="00AD1066">
            <w:pPr>
              <w:pStyle w:val="TableBodyTextrightalign"/>
            </w:pPr>
            <w:r w:rsidRPr="0086201D">
              <w:t>(3,086)</w:t>
            </w:r>
          </w:p>
        </w:tc>
      </w:tr>
      <w:tr w:rsidR="0058789F" w:rsidRPr="00D75239" w14:paraId="273349C4" w14:textId="77777777" w:rsidTr="00AD1066">
        <w:trPr>
          <w:trHeight w:val="270"/>
        </w:trPr>
        <w:tc>
          <w:tcPr>
            <w:tcW w:w="0" w:type="dxa"/>
            <w:tcBorders>
              <w:top w:val="dotted" w:sz="4" w:space="0" w:color="auto"/>
              <w:bottom w:val="single" w:sz="4" w:space="0" w:color="auto"/>
            </w:tcBorders>
            <w:noWrap/>
          </w:tcPr>
          <w:p w14:paraId="234C5EAB" w14:textId="77777777" w:rsidR="0058789F" w:rsidRPr="007211D6" w:rsidRDefault="0058789F" w:rsidP="00AD1066">
            <w:pPr>
              <w:pStyle w:val="TableBodyText"/>
              <w:rPr>
                <w:rStyle w:val="Characterbold"/>
              </w:rPr>
            </w:pPr>
            <w:r w:rsidRPr="007211D6">
              <w:rPr>
                <w:rStyle w:val="Characterbold"/>
              </w:rPr>
              <w:t>Balance at 30 June 2022</w:t>
            </w:r>
          </w:p>
        </w:tc>
        <w:tc>
          <w:tcPr>
            <w:tcW w:w="0" w:type="dxa"/>
            <w:tcBorders>
              <w:top w:val="dotted" w:sz="4" w:space="0" w:color="auto"/>
              <w:bottom w:val="single" w:sz="4" w:space="0" w:color="auto"/>
            </w:tcBorders>
            <w:noWrap/>
          </w:tcPr>
          <w:p w14:paraId="43D89971" w14:textId="77777777" w:rsidR="0058789F" w:rsidRPr="007E78B5" w:rsidRDefault="0058789F" w:rsidP="007E78B5">
            <w:pPr>
              <w:pStyle w:val="TableBodyTextrightalign"/>
              <w:rPr>
                <w:rStyle w:val="Characterbold"/>
              </w:rPr>
            </w:pPr>
            <w:r w:rsidRPr="007E78B5">
              <w:rPr>
                <w:rStyle w:val="Characterbold"/>
              </w:rPr>
              <w:t>8,246</w:t>
            </w:r>
          </w:p>
        </w:tc>
        <w:tc>
          <w:tcPr>
            <w:tcW w:w="0" w:type="dxa"/>
            <w:tcBorders>
              <w:top w:val="dotted" w:sz="4" w:space="0" w:color="auto"/>
              <w:bottom w:val="single" w:sz="4" w:space="0" w:color="auto"/>
            </w:tcBorders>
            <w:noWrap/>
          </w:tcPr>
          <w:p w14:paraId="67835D4A" w14:textId="77777777" w:rsidR="0058789F" w:rsidRPr="007E78B5" w:rsidRDefault="0058789F" w:rsidP="007E78B5">
            <w:pPr>
              <w:pStyle w:val="TableBodyTextrightalign"/>
              <w:rPr>
                <w:rStyle w:val="Characterbold"/>
              </w:rPr>
            </w:pPr>
            <w:r w:rsidRPr="007E78B5">
              <w:rPr>
                <w:rStyle w:val="Characterbold"/>
              </w:rPr>
              <w:t>5,447</w:t>
            </w:r>
          </w:p>
        </w:tc>
        <w:tc>
          <w:tcPr>
            <w:tcW w:w="0" w:type="dxa"/>
            <w:tcBorders>
              <w:top w:val="dotted" w:sz="4" w:space="0" w:color="auto"/>
              <w:bottom w:val="single" w:sz="4" w:space="0" w:color="auto"/>
            </w:tcBorders>
            <w:shd w:val="clear" w:color="auto" w:fill="F2F2F2" w:themeFill="background1" w:themeFillShade="F2"/>
            <w:noWrap/>
          </w:tcPr>
          <w:p w14:paraId="359EC689" w14:textId="77777777" w:rsidR="0058789F" w:rsidRPr="007E78B5" w:rsidRDefault="0058789F" w:rsidP="007E78B5">
            <w:pPr>
              <w:pStyle w:val="TableBodyTextrightalign"/>
              <w:rPr>
                <w:rStyle w:val="Characterbold"/>
              </w:rPr>
            </w:pPr>
            <w:r w:rsidRPr="007E78B5">
              <w:rPr>
                <w:rStyle w:val="Characterbold"/>
              </w:rPr>
              <w:t>13,693</w:t>
            </w:r>
          </w:p>
        </w:tc>
      </w:tr>
      <w:tr w:rsidR="0058789F" w:rsidRPr="009E6258" w14:paraId="6D793F9D" w14:textId="77777777" w:rsidTr="00AD1066">
        <w:trPr>
          <w:trHeight w:val="255"/>
        </w:trPr>
        <w:tc>
          <w:tcPr>
            <w:tcW w:w="0" w:type="dxa"/>
            <w:tcBorders>
              <w:top w:val="single" w:sz="4" w:space="0" w:color="auto"/>
            </w:tcBorders>
            <w:noWrap/>
          </w:tcPr>
          <w:p w14:paraId="75A1AF6E" w14:textId="77777777" w:rsidR="0058789F" w:rsidRPr="009E6258" w:rsidRDefault="0058789F" w:rsidP="00AD1066">
            <w:pPr>
              <w:pStyle w:val="TableBodyText"/>
            </w:pPr>
            <w:r w:rsidRPr="009E6258">
              <w:t>Net result for the year</w:t>
            </w:r>
          </w:p>
        </w:tc>
        <w:tc>
          <w:tcPr>
            <w:tcW w:w="0" w:type="dxa"/>
            <w:tcBorders>
              <w:top w:val="single" w:sz="4" w:space="0" w:color="auto"/>
            </w:tcBorders>
            <w:noWrap/>
          </w:tcPr>
          <w:p w14:paraId="56D3F6E3" w14:textId="77777777" w:rsidR="0058789F" w:rsidRPr="0086201D" w:rsidRDefault="0058789F" w:rsidP="00AD1066">
            <w:pPr>
              <w:pStyle w:val="TableBodyTextrightalign"/>
            </w:pPr>
            <w:r>
              <w:t>(176)</w:t>
            </w:r>
          </w:p>
        </w:tc>
        <w:tc>
          <w:tcPr>
            <w:tcW w:w="0" w:type="dxa"/>
            <w:tcBorders>
              <w:top w:val="single" w:sz="4" w:space="0" w:color="auto"/>
            </w:tcBorders>
            <w:noWrap/>
          </w:tcPr>
          <w:p w14:paraId="1CB339E9" w14:textId="77777777" w:rsidR="0058789F" w:rsidRPr="0086201D" w:rsidRDefault="0058789F" w:rsidP="00AD1066">
            <w:pPr>
              <w:pStyle w:val="TableBodyTextrightalign"/>
            </w:pPr>
            <w:r>
              <w:t>–</w:t>
            </w:r>
          </w:p>
        </w:tc>
        <w:tc>
          <w:tcPr>
            <w:tcW w:w="0" w:type="dxa"/>
            <w:tcBorders>
              <w:top w:val="single" w:sz="4" w:space="0" w:color="auto"/>
            </w:tcBorders>
            <w:shd w:val="clear" w:color="auto" w:fill="F2F2F2" w:themeFill="background1" w:themeFillShade="F2"/>
            <w:noWrap/>
          </w:tcPr>
          <w:p w14:paraId="22C15226" w14:textId="77777777" w:rsidR="0058789F" w:rsidRPr="0086201D" w:rsidRDefault="0058789F" w:rsidP="00AD1066">
            <w:pPr>
              <w:pStyle w:val="TableBodyTextrightalign"/>
            </w:pPr>
            <w:r>
              <w:t>(176)</w:t>
            </w:r>
          </w:p>
        </w:tc>
      </w:tr>
      <w:tr w:rsidR="0058789F" w:rsidRPr="008D3CF9" w14:paraId="474A9444" w14:textId="77777777" w:rsidTr="00AD1066">
        <w:trPr>
          <w:trHeight w:val="37"/>
        </w:trPr>
        <w:tc>
          <w:tcPr>
            <w:tcW w:w="0" w:type="dxa"/>
            <w:noWrap/>
          </w:tcPr>
          <w:p w14:paraId="5F8A52A2" w14:textId="77777777" w:rsidR="0058789F" w:rsidRPr="00855831" w:rsidRDefault="0058789F" w:rsidP="00ED79A2">
            <w:pPr>
              <w:pStyle w:val="TableBodyText"/>
            </w:pPr>
            <w:r>
              <w:t>Capital appropriations</w:t>
            </w:r>
          </w:p>
        </w:tc>
        <w:tc>
          <w:tcPr>
            <w:tcW w:w="0" w:type="dxa"/>
            <w:noWrap/>
          </w:tcPr>
          <w:p w14:paraId="58910092" w14:textId="77777777" w:rsidR="0058789F" w:rsidRDefault="0058789F" w:rsidP="00AD1066">
            <w:pPr>
              <w:pStyle w:val="TableBodyTextrightalign"/>
            </w:pPr>
            <w:r>
              <w:t>–</w:t>
            </w:r>
          </w:p>
        </w:tc>
        <w:tc>
          <w:tcPr>
            <w:tcW w:w="0" w:type="dxa"/>
            <w:noWrap/>
          </w:tcPr>
          <w:p w14:paraId="4DCFB435" w14:textId="77777777" w:rsidR="0058789F" w:rsidRDefault="0058789F" w:rsidP="00AD1066">
            <w:pPr>
              <w:pStyle w:val="TableBodyTextrightalign"/>
            </w:pPr>
            <w:r>
              <w:t>1,105</w:t>
            </w:r>
          </w:p>
        </w:tc>
        <w:tc>
          <w:tcPr>
            <w:tcW w:w="0" w:type="dxa"/>
            <w:shd w:val="clear" w:color="auto" w:fill="F2F2F2" w:themeFill="background1" w:themeFillShade="F2"/>
            <w:noWrap/>
          </w:tcPr>
          <w:p w14:paraId="344146EC" w14:textId="77777777" w:rsidR="0058789F" w:rsidRDefault="0058789F" w:rsidP="00AD1066">
            <w:pPr>
              <w:pStyle w:val="TableBodyTextrightalign"/>
            </w:pPr>
            <w:r>
              <w:t>1,105</w:t>
            </w:r>
          </w:p>
        </w:tc>
      </w:tr>
      <w:tr w:rsidR="0058789F" w:rsidRPr="008D3CF9" w14:paraId="37B2D2B5"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0" w:type="dxa"/>
            <w:noWrap/>
          </w:tcPr>
          <w:p w14:paraId="1326C7F4" w14:textId="77777777" w:rsidR="0058789F" w:rsidRPr="007017B5" w:rsidRDefault="0058789F" w:rsidP="00AD1066">
            <w:pPr>
              <w:pStyle w:val="TableBodyText"/>
            </w:pPr>
            <w:r w:rsidRPr="00AD5B69">
              <w:t>Balance at 30 June 202</w:t>
            </w:r>
            <w:r>
              <w:t>3</w:t>
            </w:r>
          </w:p>
        </w:tc>
        <w:tc>
          <w:tcPr>
            <w:tcW w:w="0" w:type="dxa"/>
            <w:noWrap/>
          </w:tcPr>
          <w:p w14:paraId="51D1878C" w14:textId="77777777" w:rsidR="0058789F" w:rsidRPr="007017B5" w:rsidRDefault="0058789F" w:rsidP="00AD1066">
            <w:pPr>
              <w:pStyle w:val="TableBodyTextrightalign"/>
            </w:pPr>
            <w:r>
              <w:t>8,070</w:t>
            </w:r>
          </w:p>
        </w:tc>
        <w:tc>
          <w:tcPr>
            <w:tcW w:w="0" w:type="dxa"/>
            <w:noWrap/>
          </w:tcPr>
          <w:p w14:paraId="6E49F0A1" w14:textId="77777777" w:rsidR="0058789F" w:rsidRPr="007017B5" w:rsidRDefault="0058789F" w:rsidP="00AD1066">
            <w:pPr>
              <w:pStyle w:val="TableBodyTextrightalign"/>
            </w:pPr>
            <w:r>
              <w:t>6,552</w:t>
            </w:r>
          </w:p>
        </w:tc>
        <w:tc>
          <w:tcPr>
            <w:tcW w:w="0" w:type="dxa"/>
            <w:shd w:val="clear" w:color="auto" w:fill="F2F2F2" w:themeFill="background1" w:themeFillShade="F2"/>
            <w:noWrap/>
          </w:tcPr>
          <w:p w14:paraId="25A14A79" w14:textId="77777777" w:rsidR="0058789F" w:rsidRPr="007017B5" w:rsidRDefault="0058789F" w:rsidP="00AD1066">
            <w:pPr>
              <w:pStyle w:val="TableBodyTextrightalign"/>
            </w:pPr>
            <w:r>
              <w:t>14,622</w:t>
            </w:r>
          </w:p>
        </w:tc>
      </w:tr>
    </w:tbl>
    <w:p w14:paraId="624A3FEB" w14:textId="77777777" w:rsidR="0058789F" w:rsidRPr="00557C6C" w:rsidRDefault="0058789F" w:rsidP="0058789F">
      <w:pPr>
        <w:pStyle w:val="TableNote"/>
      </w:pPr>
      <w:r w:rsidRPr="00557C6C">
        <w:t>The accompanying notes form part of these financial statements.</w:t>
      </w:r>
    </w:p>
    <w:p w14:paraId="5583163A" w14:textId="1D09BE2F" w:rsidR="0058789F" w:rsidRPr="00557C6C" w:rsidRDefault="00465B9C" w:rsidP="0058789F">
      <w:pPr>
        <w:pStyle w:val="TableNote"/>
      </w:pPr>
      <w:bookmarkStart w:id="162" w:name="_Hlk144190668"/>
      <w:r>
        <w:t>Notes</w:t>
      </w:r>
    </w:p>
    <w:p w14:paraId="20F89294" w14:textId="77777777" w:rsidR="0058789F" w:rsidRPr="00557C6C" w:rsidRDefault="0058789F" w:rsidP="0058789F">
      <w:pPr>
        <w:pStyle w:val="TableNote"/>
      </w:pPr>
      <w:r w:rsidRPr="00DE7357">
        <w:rPr>
          <w:rStyle w:val="Charactersuperscript"/>
        </w:rPr>
        <w:t>(a)</w:t>
      </w:r>
      <w:r>
        <w:t xml:space="preserve"> </w:t>
      </w:r>
      <w:r w:rsidRPr="00557C6C">
        <w:t>Th</w:t>
      </w:r>
      <w:r>
        <w:t>e</w:t>
      </w:r>
      <w:r w:rsidRPr="00557C6C">
        <w:t xml:space="preserve"> format of this statement is aligned to AASB 1049.</w:t>
      </w:r>
    </w:p>
    <w:p w14:paraId="7B1BF3A1" w14:textId="77777777" w:rsidR="0058789F" w:rsidRPr="009E4971" w:rsidRDefault="0058789F" w:rsidP="0058789F">
      <w:pPr>
        <w:pStyle w:val="TableNote"/>
      </w:pPr>
      <w:bookmarkStart w:id="163" w:name="RANGE!A3:E42"/>
      <w:bookmarkEnd w:id="162"/>
      <w:bookmarkEnd w:id="163"/>
      <w:r>
        <w:br w:type="page"/>
      </w:r>
    </w:p>
    <w:p w14:paraId="7A5E6CB5" w14:textId="77777777" w:rsidR="0058789F" w:rsidRPr="00215457" w:rsidRDefault="0058789F" w:rsidP="0058789F">
      <w:pPr>
        <w:pStyle w:val="NotesHeading1"/>
        <w:numPr>
          <w:ilvl w:val="0"/>
          <w:numId w:val="22"/>
        </w:numPr>
      </w:pPr>
      <w:bookmarkStart w:id="164" w:name="_Ref120788147"/>
      <w:r>
        <w:t>About this report</w:t>
      </w:r>
      <w:bookmarkEnd w:id="164"/>
    </w:p>
    <w:p w14:paraId="137D5A76" w14:textId="77777777" w:rsidR="0058789F" w:rsidRPr="00215457" w:rsidRDefault="0058789F" w:rsidP="0058789F">
      <w:pPr>
        <w:pStyle w:val="BodyText"/>
      </w:pPr>
      <w:r w:rsidRPr="00215457">
        <w:t xml:space="preserve">This annual financial report represents the audited general-purpose financial report for </w:t>
      </w:r>
      <w:r>
        <w:t xml:space="preserve">IBAC </w:t>
      </w:r>
      <w:r w:rsidRPr="00215457">
        <w:t>for the year ended 30 June 202</w:t>
      </w:r>
      <w:r>
        <w:t>3</w:t>
      </w:r>
      <w:r w:rsidRPr="00215457">
        <w:t>. The purpose of this report is to provide users with information about IBAC’s stewardship of resources entrusted to it.</w:t>
      </w:r>
    </w:p>
    <w:p w14:paraId="4B041A56" w14:textId="77777777" w:rsidR="0058789F" w:rsidRPr="00215457" w:rsidRDefault="0058789F" w:rsidP="0058789F">
      <w:pPr>
        <w:pStyle w:val="BodyText"/>
      </w:pPr>
      <w:r w:rsidRPr="00215457">
        <w:t>The financial report covers the controlled operations of IBAC as a reporting entity.</w:t>
      </w:r>
    </w:p>
    <w:p w14:paraId="77733B4B" w14:textId="0B164283" w:rsidR="0058789F" w:rsidRPr="00215457" w:rsidRDefault="0058789F" w:rsidP="0058789F">
      <w:pPr>
        <w:pStyle w:val="BodyText"/>
      </w:pPr>
      <w:r w:rsidRPr="00215457">
        <w:t>IBAC is constituted by the IBAC Act. Our principal address is Level 1, North Tower, 459 Collins Street, Melbourne V</w:t>
      </w:r>
      <w:r>
        <w:t>ic</w:t>
      </w:r>
      <w:r w:rsidRPr="00215457">
        <w:t xml:space="preserve"> 3000.</w:t>
      </w:r>
    </w:p>
    <w:p w14:paraId="1AB69539" w14:textId="77777777" w:rsidR="0058789F" w:rsidRDefault="0058789F" w:rsidP="0058789F">
      <w:pPr>
        <w:pStyle w:val="BodyText"/>
      </w:pPr>
      <w:r w:rsidRPr="00215457">
        <w:t>A description of the nature of IBAC’s operations and its principal activities is included in the report of operations, which does not form part of th</w:t>
      </w:r>
      <w:r>
        <w:t xml:space="preserve">ese financial statements.  </w:t>
      </w:r>
    </w:p>
    <w:p w14:paraId="6987719D" w14:textId="77777777" w:rsidR="0058789F" w:rsidRPr="00277690" w:rsidRDefault="0058789F" w:rsidP="006F399C">
      <w:pPr>
        <w:pStyle w:val="NotesHeading2"/>
      </w:pPr>
      <w:r w:rsidRPr="00215457">
        <w:t xml:space="preserve">Basis of </w:t>
      </w:r>
      <w:r w:rsidRPr="000E52A0">
        <w:t>preparation</w:t>
      </w:r>
    </w:p>
    <w:p w14:paraId="0C1E7FEF" w14:textId="77777777" w:rsidR="0058789F" w:rsidRPr="00215457" w:rsidRDefault="0058789F" w:rsidP="0058789F">
      <w:pPr>
        <w:pStyle w:val="BodyText"/>
      </w:pPr>
      <w:r w:rsidRPr="00215457">
        <w:t>Th</w:t>
      </w:r>
      <w:r>
        <w:t>ese</w:t>
      </w:r>
      <w:r w:rsidRPr="00215457">
        <w:t xml:space="preserve"> financial </w:t>
      </w:r>
      <w:r>
        <w:t>statements:</w:t>
      </w:r>
    </w:p>
    <w:p w14:paraId="091EBCE2" w14:textId="77777777" w:rsidR="0058789F" w:rsidRPr="000E52A0" w:rsidRDefault="0058789F" w:rsidP="0058789F">
      <w:pPr>
        <w:pStyle w:val="ListBullet"/>
        <w:ind w:left="357" w:hanging="357"/>
      </w:pPr>
      <w:r>
        <w:t>are</w:t>
      </w:r>
      <w:r w:rsidRPr="000E52A0">
        <w:t xml:space="preserve"> presented in Australian dollars</w:t>
      </w:r>
    </w:p>
    <w:p w14:paraId="7B40E165" w14:textId="77777777" w:rsidR="0058789F" w:rsidRPr="000E52A0" w:rsidRDefault="0058789F" w:rsidP="0058789F">
      <w:pPr>
        <w:pStyle w:val="ListBullet"/>
        <w:ind w:left="357" w:hanging="357"/>
      </w:pPr>
      <w:r>
        <w:t>are</w:t>
      </w:r>
      <w:r w:rsidRPr="000E52A0">
        <w:t xml:space="preserve"> rounded to the nearest $1</w:t>
      </w:r>
      <w:r>
        <w:t>,</w:t>
      </w:r>
      <w:r w:rsidRPr="000E52A0">
        <w:t>000 unless otherwise stated</w:t>
      </w:r>
    </w:p>
    <w:p w14:paraId="0313E1D9" w14:textId="77777777" w:rsidR="0058789F" w:rsidRPr="00215457" w:rsidRDefault="0058789F" w:rsidP="0058789F">
      <w:pPr>
        <w:pStyle w:val="ListBullet"/>
        <w:ind w:left="357" w:hanging="357"/>
      </w:pPr>
      <w:r>
        <w:t>are</w:t>
      </w:r>
      <w:r w:rsidRPr="000E52A0">
        <w:t xml:space="preserve"> prepared in accordance with the historical cost convention unless a different</w:t>
      </w:r>
      <w:r w:rsidRPr="00215457">
        <w:t xml:space="preserve"> measurement basis is specifically disclosed in the note associated with the item measured on a different basis</w:t>
      </w:r>
    </w:p>
    <w:p w14:paraId="2CCBE294" w14:textId="77777777" w:rsidR="0058789F" w:rsidRPr="00215457" w:rsidRDefault="0058789F" w:rsidP="0058789F">
      <w:pPr>
        <w:pStyle w:val="ListBullet"/>
        <w:ind w:left="357" w:hanging="357"/>
      </w:pPr>
      <w:r w:rsidRPr="00215457">
        <w:t>appl</w:t>
      </w:r>
      <w:r>
        <w:t>y</w:t>
      </w:r>
      <w:r w:rsidRPr="00215457">
        <w:t xml:space="preserve"> </w:t>
      </w:r>
      <w:r>
        <w:t>accrual</w:t>
      </w:r>
      <w:r w:rsidRPr="00215457">
        <w:t xml:space="preserve"> basis of accounting whereby assets, liabilities, equity, income and expenses are recognised in the reporting period to which they relate, regardless of when cash is received or paid</w:t>
      </w:r>
      <w:r>
        <w:t>.</w:t>
      </w:r>
    </w:p>
    <w:p w14:paraId="24C009B5" w14:textId="2C6E0766" w:rsidR="0058789F" w:rsidRPr="00390F7E" w:rsidRDefault="0058789F" w:rsidP="0058789F">
      <w:pPr>
        <w:pStyle w:val="BodyText"/>
      </w:pPr>
      <w:r w:rsidRPr="00390F7E">
        <w:t>Consistent with the requirements of</w:t>
      </w:r>
      <w:r w:rsidR="00E9406A">
        <w:t xml:space="preserve"> the Australian</w:t>
      </w:r>
      <w:r w:rsidRPr="00390F7E">
        <w:t xml:space="preserve"> </w:t>
      </w:r>
      <w:r w:rsidRPr="00E95B19">
        <w:t>Accounting Standards Board (AASB</w:t>
      </w:r>
      <w:r w:rsidRPr="00E9406A">
        <w:t>) 1004</w:t>
      </w:r>
      <w:r w:rsidRPr="00F318D8">
        <w:rPr>
          <w:rStyle w:val="Characteritalic"/>
        </w:rPr>
        <w:t xml:space="preserve"> Contributions</w:t>
      </w:r>
      <w:r w:rsidRPr="00551357">
        <w:t>:</w:t>
      </w:r>
    </w:p>
    <w:p w14:paraId="7641293C" w14:textId="77777777" w:rsidR="0058789F" w:rsidRPr="00390F7E" w:rsidRDefault="0058789F" w:rsidP="0058789F">
      <w:pPr>
        <w:pStyle w:val="ListBullet"/>
        <w:ind w:left="357" w:hanging="357"/>
      </w:pPr>
      <w:r w:rsidRPr="00390F7E">
        <w:t>contributions by owners (that is, contributed capital and its repayment) are treated as equity transactions and therefore, do not form part of the income and expenses of IBAC</w:t>
      </w:r>
    </w:p>
    <w:p w14:paraId="3CD7E3C0" w14:textId="77777777" w:rsidR="0058789F" w:rsidRPr="00390F7E" w:rsidRDefault="0058789F" w:rsidP="0058789F">
      <w:pPr>
        <w:pStyle w:val="ListBullet"/>
        <w:ind w:left="357" w:hanging="357"/>
      </w:pPr>
      <w:r w:rsidRPr="00390F7E">
        <w:t>additions to net assets which have been designated as contributions by owners are recognised as contributed capital</w:t>
      </w:r>
    </w:p>
    <w:p w14:paraId="41490774" w14:textId="77777777" w:rsidR="0058789F" w:rsidRPr="00390F7E" w:rsidRDefault="0058789F" w:rsidP="0058789F">
      <w:pPr>
        <w:pStyle w:val="ListBullet"/>
        <w:ind w:left="357" w:hanging="357"/>
      </w:pPr>
      <w:r w:rsidRPr="00390F7E">
        <w:t>other transfers that are in the nature of contributions or distributions have also been designated as contributions by owners.</w:t>
      </w:r>
    </w:p>
    <w:p w14:paraId="29AFCAA7" w14:textId="77777777" w:rsidR="0058789F" w:rsidRDefault="0058789F" w:rsidP="0058789F">
      <w:pPr>
        <w:pStyle w:val="BodyText"/>
      </w:pPr>
      <w:r>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p>
    <w:p w14:paraId="57FE3684" w14:textId="7D2BFFBD" w:rsidR="0058789F" w:rsidRDefault="0058789F" w:rsidP="0058789F">
      <w:pPr>
        <w:pStyle w:val="BodyText"/>
      </w:pPr>
      <w:r>
        <w:t xml:space="preserve">Revisions to accounting estimates are recognised in the period in which the estimate is revised and also in future periods that are affected by the revision. Judgements and assumptions made by management in applying </w:t>
      </w:r>
      <w:r w:rsidR="001A619C">
        <w:t xml:space="preserve">the </w:t>
      </w:r>
      <w:r w:rsidRPr="000551DC">
        <w:t xml:space="preserve">Australian Accounting Standards </w:t>
      </w:r>
      <w:r>
        <w:t>(AASs) that have significant effects on the financial statements and estimates are disclosed in the notes under the heading ‘Significant judgement or estimates’.</w:t>
      </w:r>
    </w:p>
    <w:p w14:paraId="4E7E5B97" w14:textId="77777777" w:rsidR="0058789F" w:rsidRPr="00B830D9" w:rsidRDefault="0058789F" w:rsidP="006F399C">
      <w:pPr>
        <w:pStyle w:val="NotesHeading2"/>
      </w:pPr>
      <w:bookmarkStart w:id="165" w:name="_Ref149163657"/>
      <w:r w:rsidRPr="00B830D9">
        <w:t>Compliance information</w:t>
      </w:r>
      <w:bookmarkEnd w:id="165"/>
    </w:p>
    <w:p w14:paraId="608C9070" w14:textId="41473B72" w:rsidR="0058789F" w:rsidRPr="00551357" w:rsidRDefault="0058789F" w:rsidP="0058789F">
      <w:pPr>
        <w:pStyle w:val="BodyText"/>
      </w:pPr>
      <w:r w:rsidRPr="00B830D9">
        <w:t xml:space="preserve">This general-purpose financial report has been prepared in accordance with </w:t>
      </w:r>
      <w:r w:rsidRPr="00002D5E">
        <w:t xml:space="preserve">the </w:t>
      </w:r>
      <w:r w:rsidR="00002D5E" w:rsidRPr="00002D5E">
        <w:t>F</w:t>
      </w:r>
      <w:r w:rsidRPr="00002D5E">
        <w:t>M</w:t>
      </w:r>
      <w:r w:rsidR="00002D5E" w:rsidRPr="00002D5E">
        <w:t xml:space="preserve"> </w:t>
      </w:r>
      <w:r w:rsidRPr="00002D5E">
        <w:t>A</w:t>
      </w:r>
      <w:r w:rsidR="00002D5E" w:rsidRPr="00002D5E">
        <w:t>ct</w:t>
      </w:r>
      <w:r>
        <w:t xml:space="preserve"> </w:t>
      </w:r>
      <w:r w:rsidRPr="00B830D9">
        <w:t>and applicable AAS</w:t>
      </w:r>
      <w:r>
        <w:t>,</w:t>
      </w:r>
      <w:r w:rsidRPr="00B830D9">
        <w:t xml:space="preserve"> which include </w:t>
      </w:r>
      <w:r>
        <w:t>i</w:t>
      </w:r>
      <w:r w:rsidRPr="00B830D9">
        <w:t>nterpretations issued by the AASB. In particular, it is presented in a manner consistent with the requirements of the AASB 1049</w:t>
      </w:r>
      <w:r>
        <w:t>.</w:t>
      </w:r>
    </w:p>
    <w:p w14:paraId="0B8DF7B3" w14:textId="77777777" w:rsidR="0058789F" w:rsidRPr="009E4971" w:rsidRDefault="0058789F" w:rsidP="0058789F">
      <w:pPr>
        <w:pStyle w:val="BodyText"/>
        <w:sectPr w:rsidR="0058789F" w:rsidRPr="009E4971" w:rsidSect="0074334F">
          <w:headerReference w:type="even" r:id="rId60"/>
          <w:headerReference w:type="default" r:id="rId61"/>
          <w:headerReference w:type="first" r:id="rId62"/>
          <w:pgSz w:w="11907" w:h="16839" w:code="9"/>
          <w:pgMar w:top="1440" w:right="1440" w:bottom="1440" w:left="1440" w:header="720" w:footer="720" w:gutter="0"/>
          <w:cols w:space="720"/>
          <w:docGrid w:linePitch="360"/>
        </w:sectPr>
      </w:pPr>
      <w:r w:rsidRPr="00B830D9">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bookmarkStart w:id="166" w:name="_Ref82091474"/>
    </w:p>
    <w:p w14:paraId="60644DCA" w14:textId="77777777" w:rsidR="0058789F" w:rsidRPr="00C96657" w:rsidRDefault="0058789F" w:rsidP="0058789F">
      <w:pPr>
        <w:pStyle w:val="NotesHeading1"/>
        <w:numPr>
          <w:ilvl w:val="0"/>
          <w:numId w:val="22"/>
        </w:numPr>
      </w:pPr>
      <w:r w:rsidRPr="00246A33">
        <w:t>Funding delivery for our services</w:t>
      </w:r>
      <w:bookmarkEnd w:id="166"/>
    </w:p>
    <w:p w14:paraId="03092E54" w14:textId="77777777" w:rsidR="0058789F" w:rsidRPr="004C4E28" w:rsidRDefault="0058789F" w:rsidP="0058789F">
      <w:pPr>
        <w:pStyle w:val="BodyText"/>
      </w:pPr>
      <w:r w:rsidRPr="004C4E28">
        <w:t>The primary purpose of IBAC is to strengthen the integrity of the Victorian public sector and to enhance community confidence in public sector accountability</w:t>
      </w:r>
      <w:r>
        <w:t>.</w:t>
      </w:r>
    </w:p>
    <w:p w14:paraId="12430E3B" w14:textId="77777777" w:rsidR="0058789F" w:rsidRDefault="0058789F" w:rsidP="006F399C">
      <w:pPr>
        <w:pStyle w:val="NotesHeading2"/>
      </w:pPr>
      <w:bookmarkStart w:id="167" w:name="_Ref82070584"/>
      <w:r>
        <w:t>Appropriation</w:t>
      </w:r>
      <w:bookmarkEnd w:id="167"/>
    </w:p>
    <w:tbl>
      <w:tblPr>
        <w:tblStyle w:val="CustomTabledetailed"/>
        <w:tblW w:w="5000" w:type="pct"/>
        <w:tblLook w:val="0620" w:firstRow="1" w:lastRow="0" w:firstColumn="0" w:lastColumn="0" w:noHBand="1" w:noVBand="1"/>
      </w:tblPr>
      <w:tblGrid>
        <w:gridCol w:w="4219"/>
        <w:gridCol w:w="2404"/>
        <w:gridCol w:w="2404"/>
      </w:tblGrid>
      <w:tr w:rsidR="0058789F" w:rsidRPr="007D1CFB" w14:paraId="05E1B593"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0" w:type="pct"/>
            <w:noWrap/>
            <w:hideMark/>
          </w:tcPr>
          <w:p w14:paraId="3185AC60" w14:textId="77777777" w:rsidR="0058789F" w:rsidRPr="007D1CFB" w:rsidRDefault="0058789F" w:rsidP="00AD1066">
            <w:pPr>
              <w:pStyle w:val="TableHeading1"/>
            </w:pPr>
          </w:p>
        </w:tc>
        <w:tc>
          <w:tcPr>
            <w:tcW w:w="0" w:type="pct"/>
            <w:noWrap/>
            <w:hideMark/>
          </w:tcPr>
          <w:p w14:paraId="7032BF88" w14:textId="77777777" w:rsidR="0058789F" w:rsidRDefault="0058789F" w:rsidP="00254C0B">
            <w:pPr>
              <w:pStyle w:val="TableHeading3rightalign"/>
            </w:pPr>
            <w:r w:rsidRPr="007D1CFB">
              <w:t>202</w:t>
            </w:r>
            <w:r>
              <w:t>3</w:t>
            </w:r>
          </w:p>
          <w:p w14:paraId="65EAAA62" w14:textId="77777777" w:rsidR="0058789F" w:rsidRPr="007D1CFB" w:rsidRDefault="0058789F" w:rsidP="00254C0B">
            <w:pPr>
              <w:pStyle w:val="TableHeading3rightalign"/>
            </w:pPr>
            <w:r>
              <w:t>(</w:t>
            </w:r>
            <w:r w:rsidRPr="00F93F68">
              <w:t>$’000</w:t>
            </w:r>
            <w:r>
              <w:t>)</w:t>
            </w:r>
          </w:p>
        </w:tc>
        <w:tc>
          <w:tcPr>
            <w:tcW w:w="0" w:type="pct"/>
            <w:noWrap/>
            <w:hideMark/>
          </w:tcPr>
          <w:p w14:paraId="769753AE" w14:textId="77777777" w:rsidR="0058789F" w:rsidRDefault="0058789F" w:rsidP="00254C0B">
            <w:pPr>
              <w:pStyle w:val="TableHeading3rightalign"/>
            </w:pPr>
            <w:r w:rsidRPr="007D1CFB">
              <w:t>202</w:t>
            </w:r>
            <w:r>
              <w:t>2</w:t>
            </w:r>
          </w:p>
          <w:p w14:paraId="26723180" w14:textId="77777777" w:rsidR="0058789F" w:rsidRPr="007D1CFB" w:rsidRDefault="0058789F" w:rsidP="00254C0B">
            <w:pPr>
              <w:pStyle w:val="TableHeading3rightalign"/>
            </w:pPr>
            <w:r>
              <w:t>(</w:t>
            </w:r>
            <w:r w:rsidRPr="00F93F68">
              <w:t>$’000</w:t>
            </w:r>
            <w:r>
              <w:t>)</w:t>
            </w:r>
          </w:p>
        </w:tc>
      </w:tr>
      <w:tr w:rsidR="0058789F" w:rsidRPr="007D1CFB" w14:paraId="68EFE78A" w14:textId="77777777" w:rsidTr="00AD1066">
        <w:trPr>
          <w:trHeight w:val="255"/>
        </w:trPr>
        <w:tc>
          <w:tcPr>
            <w:tcW w:w="0" w:type="pct"/>
            <w:gridSpan w:val="3"/>
            <w:noWrap/>
          </w:tcPr>
          <w:p w14:paraId="3EFF731D" w14:textId="77777777" w:rsidR="0058789F" w:rsidRPr="007D1CFB" w:rsidRDefault="0058789F" w:rsidP="00AD1066">
            <w:pPr>
              <w:pStyle w:val="TableBodyTextsmall"/>
            </w:pPr>
            <w:r>
              <w:t xml:space="preserve"> </w:t>
            </w:r>
          </w:p>
        </w:tc>
      </w:tr>
      <w:tr w:rsidR="0058789F" w:rsidRPr="007D1CFB" w14:paraId="0C0C4C41" w14:textId="77777777" w:rsidTr="00AD1066">
        <w:trPr>
          <w:trHeight w:val="255"/>
        </w:trPr>
        <w:tc>
          <w:tcPr>
            <w:tcW w:w="0" w:type="pct"/>
            <w:tcBorders>
              <w:bottom w:val="dotted" w:sz="4" w:space="0" w:color="auto"/>
            </w:tcBorders>
            <w:noWrap/>
            <w:hideMark/>
          </w:tcPr>
          <w:p w14:paraId="56928853" w14:textId="77777777" w:rsidR="0058789F" w:rsidRPr="007D1CFB" w:rsidRDefault="0058789F" w:rsidP="00AD1066">
            <w:pPr>
              <w:pStyle w:val="TableBodyText"/>
            </w:pPr>
            <w:r w:rsidRPr="007D1CFB">
              <w:t>Output appropriation</w:t>
            </w:r>
          </w:p>
        </w:tc>
        <w:tc>
          <w:tcPr>
            <w:tcW w:w="0" w:type="pct"/>
            <w:tcBorders>
              <w:bottom w:val="dotted" w:sz="4" w:space="0" w:color="auto"/>
            </w:tcBorders>
            <w:shd w:val="clear" w:color="auto" w:fill="F2F2F2" w:themeFill="background1" w:themeFillShade="F2"/>
            <w:noWrap/>
          </w:tcPr>
          <w:p w14:paraId="4E84C745" w14:textId="77777777" w:rsidR="0058789F" w:rsidRPr="00CD40B2" w:rsidRDefault="0058789F" w:rsidP="00AD1066">
            <w:pPr>
              <w:pStyle w:val="TableBodyTextrightalign"/>
              <w:rPr>
                <w:rStyle w:val="Characterbold"/>
                <w:bCs w:val="0"/>
              </w:rPr>
            </w:pPr>
            <w:r>
              <w:t>59,027</w:t>
            </w:r>
          </w:p>
        </w:tc>
        <w:tc>
          <w:tcPr>
            <w:tcW w:w="0" w:type="pct"/>
            <w:tcBorders>
              <w:bottom w:val="dotted" w:sz="4" w:space="0" w:color="auto"/>
            </w:tcBorders>
            <w:noWrap/>
            <w:hideMark/>
          </w:tcPr>
          <w:p w14:paraId="56DD8A37" w14:textId="77777777" w:rsidR="0058789F" w:rsidRPr="0086201D" w:rsidRDefault="0058789F" w:rsidP="00AD1066">
            <w:pPr>
              <w:pStyle w:val="TableBodyTextrightalign"/>
            </w:pPr>
            <w:r w:rsidRPr="0086201D">
              <w:t>53,598</w:t>
            </w:r>
          </w:p>
        </w:tc>
      </w:tr>
      <w:tr w:rsidR="0058789F" w:rsidRPr="00EF78AB" w14:paraId="1361F5EB" w14:textId="77777777" w:rsidTr="00AD1066">
        <w:trPr>
          <w:trHeight w:val="270"/>
        </w:trPr>
        <w:tc>
          <w:tcPr>
            <w:tcW w:w="0" w:type="pct"/>
            <w:tcBorders>
              <w:top w:val="dotted" w:sz="4" w:space="0" w:color="auto"/>
              <w:bottom w:val="single" w:sz="4" w:space="0" w:color="auto"/>
            </w:tcBorders>
            <w:noWrap/>
            <w:hideMark/>
          </w:tcPr>
          <w:p w14:paraId="4ED61F25" w14:textId="77777777" w:rsidR="0058789F" w:rsidRPr="00EA0D5F" w:rsidRDefault="0058789F" w:rsidP="00AD1066">
            <w:pPr>
              <w:pStyle w:val="TableBodyText"/>
              <w:rPr>
                <w:rStyle w:val="Characterbold"/>
                <w:b w:val="0"/>
                <w:bCs w:val="0"/>
              </w:rPr>
            </w:pPr>
            <w:r w:rsidRPr="00EA0D5F">
              <w:rPr>
                <w:rStyle w:val="Characterbold"/>
              </w:rPr>
              <w:t>Total income from transactions</w:t>
            </w:r>
          </w:p>
        </w:tc>
        <w:tc>
          <w:tcPr>
            <w:tcW w:w="0" w:type="pct"/>
            <w:tcBorders>
              <w:top w:val="dotted" w:sz="4" w:space="0" w:color="auto"/>
              <w:bottom w:val="single" w:sz="4" w:space="0" w:color="auto"/>
            </w:tcBorders>
            <w:shd w:val="clear" w:color="auto" w:fill="F2F2F2" w:themeFill="background1" w:themeFillShade="F2"/>
            <w:noWrap/>
          </w:tcPr>
          <w:p w14:paraId="0775BDDD" w14:textId="77777777" w:rsidR="0058789F" w:rsidRPr="007E78B5" w:rsidRDefault="0058789F" w:rsidP="007E78B5">
            <w:pPr>
              <w:pStyle w:val="TableBodyTextrightalign"/>
              <w:rPr>
                <w:rStyle w:val="Characterbold"/>
              </w:rPr>
            </w:pPr>
            <w:r w:rsidRPr="007E78B5">
              <w:rPr>
                <w:rStyle w:val="Characterbold"/>
              </w:rPr>
              <w:t>59,027</w:t>
            </w:r>
          </w:p>
        </w:tc>
        <w:tc>
          <w:tcPr>
            <w:tcW w:w="0" w:type="pct"/>
            <w:tcBorders>
              <w:top w:val="dotted" w:sz="4" w:space="0" w:color="auto"/>
              <w:bottom w:val="single" w:sz="4" w:space="0" w:color="auto"/>
            </w:tcBorders>
            <w:noWrap/>
            <w:hideMark/>
          </w:tcPr>
          <w:p w14:paraId="4B017E95" w14:textId="77777777" w:rsidR="0058789F" w:rsidRPr="0086201D" w:rsidRDefault="0058789F" w:rsidP="00AD1066">
            <w:pPr>
              <w:pStyle w:val="TableBodyTextrightalign"/>
              <w:rPr>
                <w:rStyle w:val="Characterbold"/>
              </w:rPr>
            </w:pPr>
            <w:r w:rsidRPr="0086201D">
              <w:rPr>
                <w:rStyle w:val="Characterbold"/>
              </w:rPr>
              <w:t>53,598</w:t>
            </w:r>
          </w:p>
        </w:tc>
      </w:tr>
    </w:tbl>
    <w:p w14:paraId="3023FF68" w14:textId="77777777" w:rsidR="0058789F" w:rsidRDefault="0058789F" w:rsidP="0058789F">
      <w:pPr>
        <w:pStyle w:val="TableNote"/>
      </w:pPr>
    </w:p>
    <w:p w14:paraId="7009F3BF" w14:textId="6FD7119F" w:rsidR="0058789F" w:rsidRPr="005D2EC6" w:rsidRDefault="00482E99" w:rsidP="0058789F">
      <w:pPr>
        <w:pStyle w:val="BodyText"/>
      </w:pPr>
      <w:r>
        <w:t>A</w:t>
      </w:r>
      <w:r w:rsidR="0058789F" w:rsidRPr="005D2EC6">
        <w:t xml:space="preserve">nnual </w:t>
      </w:r>
      <w:r w:rsidR="0058789F">
        <w:t>p</w:t>
      </w:r>
      <w:r w:rsidR="0058789F" w:rsidRPr="005D2EC6">
        <w:t xml:space="preserve">arliamentary appropriations are applied by the Treasurer, they become controlled by IBAC and </w:t>
      </w:r>
      <w:r w:rsidR="0058789F">
        <w:t>are</w:t>
      </w:r>
      <w:r w:rsidR="0058789F" w:rsidRPr="005D2EC6">
        <w:t xml:space="preserve"> recognised as income when applied for the purposes defined under the </w:t>
      </w:r>
      <w:r w:rsidR="0058789F" w:rsidRPr="007E78B5">
        <w:t>relevant Appropriations Act</w:t>
      </w:r>
      <w:r w:rsidR="0058789F" w:rsidRPr="005D2EC6">
        <w:t>.</w:t>
      </w:r>
    </w:p>
    <w:p w14:paraId="48D8E4B7" w14:textId="77777777" w:rsidR="0058789F" w:rsidRDefault="0058789F" w:rsidP="0058789F">
      <w:pPr>
        <w:pStyle w:val="BodyText"/>
      </w:pPr>
      <w:r w:rsidRPr="005D2EC6">
        <w:rPr>
          <w:rStyle w:val="Characterbold"/>
        </w:rPr>
        <w:t>Output appropriations:</w:t>
      </w:r>
      <w:r w:rsidRPr="005D2EC6">
        <w:t xml:space="preserve"> Income from the output</w:t>
      </w:r>
      <w:r>
        <w:t xml:space="preserve"> appropriation</w:t>
      </w:r>
      <w:r w:rsidRPr="005D2EC6">
        <w:t xml:space="preserve"> is recognised when the outputs have been delivered</w:t>
      </w:r>
      <w:r>
        <w:t>,</w:t>
      </w:r>
      <w:r w:rsidRPr="005D2EC6">
        <w:t xml:space="preserve"> and the Assistant Treasurer </w:t>
      </w:r>
      <w:r>
        <w:t>or</w:t>
      </w:r>
      <w:r w:rsidRPr="005D2EC6">
        <w:t xml:space="preserve"> the Treasurer ha</w:t>
      </w:r>
      <w:r>
        <w:t>s</w:t>
      </w:r>
      <w:r w:rsidRPr="005D2EC6">
        <w:t xml:space="preserve"> certified delivery of the outputs in accordance with specified performance criteria</w:t>
      </w:r>
      <w:r>
        <w:t>,</w:t>
      </w:r>
      <w:r w:rsidRPr="005D2EC6">
        <w:t xml:space="preserve"> </w:t>
      </w:r>
      <w:r w:rsidRPr="00EE1AB4">
        <w:t>as outlined in the Department of Treasury and Finance budget papers.</w:t>
      </w:r>
    </w:p>
    <w:p w14:paraId="43CB23E9" w14:textId="77777777" w:rsidR="0058789F" w:rsidRDefault="0058789F" w:rsidP="006F399C">
      <w:pPr>
        <w:pStyle w:val="NotesHeading2"/>
      </w:pPr>
      <w:bookmarkStart w:id="168" w:name="_Ref149163793"/>
      <w:r w:rsidRPr="00813E3B">
        <w:t xml:space="preserve">Summary </w:t>
      </w:r>
      <w:r w:rsidRPr="00F318D8">
        <w:t>of</w:t>
      </w:r>
      <w:r w:rsidRPr="00813E3B">
        <w:t xml:space="preserve"> compliance with annual </w:t>
      </w:r>
      <w:r>
        <w:t>p</w:t>
      </w:r>
      <w:r w:rsidRPr="00813E3B">
        <w:t xml:space="preserve">arliamentary </w:t>
      </w:r>
      <w:r w:rsidRPr="006F399C">
        <w:t>and</w:t>
      </w:r>
      <w:r w:rsidRPr="00813E3B">
        <w:t xml:space="preserve"> special appropriations</w:t>
      </w:r>
      <w:bookmarkEnd w:id="168"/>
      <w:r>
        <w:t xml:space="preserve"> </w:t>
      </w:r>
    </w:p>
    <w:tbl>
      <w:tblPr>
        <w:tblW w:w="5000" w:type="pct"/>
        <w:tblLook w:val="04A0" w:firstRow="1" w:lastRow="0" w:firstColumn="1" w:lastColumn="0" w:noHBand="0" w:noVBand="1"/>
      </w:tblPr>
      <w:tblGrid>
        <w:gridCol w:w="2193"/>
        <w:gridCol w:w="1138"/>
        <w:gridCol w:w="937"/>
        <w:gridCol w:w="706"/>
        <w:gridCol w:w="741"/>
        <w:gridCol w:w="1159"/>
        <w:gridCol w:w="1220"/>
        <w:gridCol w:w="933"/>
      </w:tblGrid>
      <w:tr w:rsidR="0058789F" w:rsidRPr="00076317" w14:paraId="246778E0" w14:textId="77777777" w:rsidTr="00AD1066">
        <w:trPr>
          <w:trHeight w:val="241"/>
        </w:trPr>
        <w:tc>
          <w:tcPr>
            <w:tcW w:w="1215" w:type="pct"/>
            <w:vMerge w:val="restart"/>
            <w:tcBorders>
              <w:top w:val="single" w:sz="8" w:space="0" w:color="FFFFFF"/>
              <w:left w:val="nil"/>
              <w:bottom w:val="dotted" w:sz="4" w:space="0" w:color="000000"/>
              <w:right w:val="nil"/>
            </w:tcBorders>
            <w:shd w:val="clear" w:color="000000" w:fill="E5DFEC"/>
            <w:noWrap/>
            <w:vAlign w:val="center"/>
            <w:hideMark/>
          </w:tcPr>
          <w:p w14:paraId="632D7CE8" w14:textId="77777777" w:rsidR="0058789F" w:rsidRPr="00076317" w:rsidRDefault="0058789F" w:rsidP="007211D6">
            <w:pPr>
              <w:pStyle w:val="TableHeading1"/>
            </w:pPr>
            <w:r w:rsidRPr="00076317">
              <w:t> </w:t>
            </w:r>
          </w:p>
        </w:tc>
        <w:tc>
          <w:tcPr>
            <w:tcW w:w="1158" w:type="pct"/>
            <w:gridSpan w:val="2"/>
            <w:tcBorders>
              <w:top w:val="single" w:sz="8" w:space="0" w:color="FFFFFF"/>
              <w:left w:val="nil"/>
              <w:bottom w:val="single" w:sz="8" w:space="0" w:color="FFFFFF"/>
              <w:right w:val="nil"/>
            </w:tcBorders>
            <w:shd w:val="clear" w:color="auto" w:fill="E5DFEC" w:themeFill="accent4" w:themeFillTint="33"/>
            <w:vAlign w:val="center"/>
            <w:hideMark/>
          </w:tcPr>
          <w:p w14:paraId="631DB342" w14:textId="77777777" w:rsidR="0058789F" w:rsidRPr="00076317" w:rsidRDefault="0058789F" w:rsidP="00AD1066">
            <w:pPr>
              <w:pStyle w:val="TableHeading1"/>
            </w:pPr>
            <w:r w:rsidRPr="00076317">
              <w:t>Appropriations Act</w:t>
            </w:r>
          </w:p>
        </w:tc>
        <w:tc>
          <w:tcPr>
            <w:tcW w:w="2628" w:type="pct"/>
            <w:gridSpan w:val="5"/>
            <w:tcBorders>
              <w:top w:val="single" w:sz="8" w:space="0" w:color="FFFFFF"/>
              <w:left w:val="nil"/>
              <w:bottom w:val="single" w:sz="8" w:space="0" w:color="FFFFFF"/>
              <w:right w:val="nil"/>
            </w:tcBorders>
            <w:shd w:val="clear" w:color="auto" w:fill="E5DFEC"/>
            <w:vAlign w:val="center"/>
            <w:hideMark/>
          </w:tcPr>
          <w:p w14:paraId="0572E929" w14:textId="77777777" w:rsidR="0058789F" w:rsidRPr="00076317" w:rsidRDefault="0058789F" w:rsidP="00AD1066">
            <w:pPr>
              <w:pStyle w:val="TableHeading1"/>
            </w:pPr>
            <w:r>
              <w:t>FMA</w:t>
            </w:r>
          </w:p>
        </w:tc>
      </w:tr>
      <w:tr w:rsidR="0058789F" w:rsidRPr="00076317" w14:paraId="37D4FC0C" w14:textId="77777777" w:rsidTr="00AD1066">
        <w:trPr>
          <w:trHeight w:val="1012"/>
        </w:trPr>
        <w:tc>
          <w:tcPr>
            <w:tcW w:w="1215" w:type="pct"/>
            <w:vMerge/>
            <w:tcBorders>
              <w:top w:val="single" w:sz="8" w:space="0" w:color="FFFFFF"/>
              <w:left w:val="nil"/>
              <w:bottom w:val="dotted" w:sz="4" w:space="0" w:color="000000"/>
              <w:right w:val="nil"/>
            </w:tcBorders>
            <w:vAlign w:val="center"/>
            <w:hideMark/>
          </w:tcPr>
          <w:p w14:paraId="3094FEF2" w14:textId="77777777" w:rsidR="0058789F" w:rsidRPr="00076317" w:rsidRDefault="0058789F" w:rsidP="00AD1066">
            <w:pPr>
              <w:spacing w:before="0" w:after="0"/>
              <w:rPr>
                <w:rFonts w:eastAsia="Times New Roman" w:cs="Calibri"/>
                <w:b/>
                <w:bCs/>
                <w:color w:val="981D97"/>
                <w:sz w:val="18"/>
                <w:szCs w:val="18"/>
                <w:lang w:eastAsia="en-AU"/>
              </w:rPr>
            </w:pPr>
          </w:p>
        </w:tc>
        <w:tc>
          <w:tcPr>
            <w:tcW w:w="630" w:type="pct"/>
            <w:tcBorders>
              <w:top w:val="nil"/>
              <w:left w:val="nil"/>
              <w:right w:val="nil"/>
            </w:tcBorders>
            <w:shd w:val="clear" w:color="auto" w:fill="E5DFEC"/>
            <w:hideMark/>
          </w:tcPr>
          <w:p w14:paraId="5F054E06" w14:textId="77777777" w:rsidR="0058789F" w:rsidRPr="00CC7D4F" w:rsidRDefault="0058789F" w:rsidP="00AD1066">
            <w:pPr>
              <w:pStyle w:val="TableHeading2centrealign"/>
              <w:rPr>
                <w:sz w:val="16"/>
                <w:szCs w:val="16"/>
              </w:rPr>
            </w:pPr>
            <w:r w:rsidRPr="00CC7D4F">
              <w:rPr>
                <w:sz w:val="16"/>
                <w:szCs w:val="16"/>
              </w:rPr>
              <w:t>Annual appropriation</w:t>
            </w:r>
          </w:p>
          <w:p w14:paraId="698F1A4A" w14:textId="77777777" w:rsidR="0058789F" w:rsidRPr="00CC7D4F" w:rsidRDefault="0058789F" w:rsidP="00AD1066">
            <w:pPr>
              <w:pStyle w:val="TableHeading2centrealign"/>
              <w:rPr>
                <w:sz w:val="16"/>
                <w:szCs w:val="16"/>
              </w:rPr>
            </w:pPr>
            <w:r w:rsidRPr="00CC7D4F">
              <w:rPr>
                <w:sz w:val="16"/>
                <w:szCs w:val="16"/>
              </w:rPr>
              <w:t>($’000)</w:t>
            </w:r>
          </w:p>
          <w:p w14:paraId="31F0681E" w14:textId="77777777" w:rsidR="0058789F" w:rsidRPr="00CC7D4F" w:rsidRDefault="0058789F" w:rsidP="00AD1066">
            <w:pPr>
              <w:spacing w:before="0" w:after="0"/>
              <w:jc w:val="center"/>
              <w:rPr>
                <w:b/>
                <w:bCs/>
                <w:sz w:val="16"/>
                <w:szCs w:val="16"/>
              </w:rPr>
            </w:pPr>
          </w:p>
        </w:tc>
        <w:tc>
          <w:tcPr>
            <w:tcW w:w="527" w:type="pct"/>
            <w:tcBorders>
              <w:top w:val="nil"/>
              <w:left w:val="nil"/>
              <w:right w:val="nil"/>
            </w:tcBorders>
            <w:shd w:val="clear" w:color="auto" w:fill="E5DFEC"/>
            <w:hideMark/>
          </w:tcPr>
          <w:p w14:paraId="6ED71B91" w14:textId="77777777" w:rsidR="0058789F" w:rsidRPr="00CC7D4F" w:rsidRDefault="0058789F" w:rsidP="00AD1066">
            <w:pPr>
              <w:pStyle w:val="TableHeading2centrealign"/>
              <w:rPr>
                <w:sz w:val="16"/>
                <w:szCs w:val="16"/>
              </w:rPr>
            </w:pPr>
            <w:r w:rsidRPr="00CC7D4F">
              <w:rPr>
                <w:sz w:val="16"/>
                <w:szCs w:val="16"/>
              </w:rPr>
              <w:t>Advance from Treasurer</w:t>
            </w:r>
          </w:p>
          <w:p w14:paraId="4D496D41" w14:textId="77777777" w:rsidR="0058789F" w:rsidRPr="00CC7D4F" w:rsidRDefault="0058789F" w:rsidP="00AD1066">
            <w:pPr>
              <w:pStyle w:val="TableHeading2centrealign"/>
              <w:rPr>
                <w:sz w:val="16"/>
                <w:szCs w:val="16"/>
              </w:rPr>
            </w:pPr>
            <w:r w:rsidRPr="00CC7D4F">
              <w:rPr>
                <w:sz w:val="16"/>
                <w:szCs w:val="16"/>
              </w:rPr>
              <w:t>($’000)</w:t>
            </w:r>
          </w:p>
          <w:p w14:paraId="14F13FE4" w14:textId="77777777" w:rsidR="0058789F" w:rsidRPr="00CC7D4F" w:rsidRDefault="0058789F" w:rsidP="00AD1066">
            <w:pPr>
              <w:spacing w:before="0" w:after="0"/>
              <w:jc w:val="center"/>
              <w:rPr>
                <w:b/>
                <w:bCs/>
                <w:sz w:val="16"/>
                <w:szCs w:val="16"/>
              </w:rPr>
            </w:pPr>
          </w:p>
        </w:tc>
        <w:tc>
          <w:tcPr>
            <w:tcW w:w="391" w:type="pct"/>
            <w:tcBorders>
              <w:top w:val="nil"/>
              <w:left w:val="nil"/>
              <w:right w:val="nil"/>
            </w:tcBorders>
            <w:shd w:val="clear" w:color="auto" w:fill="E5DFEC"/>
            <w:hideMark/>
          </w:tcPr>
          <w:p w14:paraId="062CC92D" w14:textId="77777777" w:rsidR="0058789F" w:rsidRPr="00CC7D4F" w:rsidRDefault="0058789F" w:rsidP="00AD1066">
            <w:pPr>
              <w:pStyle w:val="TableHeading2centrealign"/>
              <w:rPr>
                <w:sz w:val="16"/>
                <w:szCs w:val="16"/>
              </w:rPr>
            </w:pPr>
            <w:r w:rsidRPr="00CC7D4F">
              <w:rPr>
                <w:sz w:val="16"/>
                <w:szCs w:val="16"/>
              </w:rPr>
              <w:t>Section 30</w:t>
            </w:r>
          </w:p>
          <w:p w14:paraId="7F2E716D" w14:textId="77777777" w:rsidR="0058789F" w:rsidRPr="00CC7D4F" w:rsidRDefault="0058789F" w:rsidP="00AD1066">
            <w:pPr>
              <w:pStyle w:val="TableHeading2centrealign"/>
              <w:rPr>
                <w:sz w:val="16"/>
                <w:szCs w:val="16"/>
              </w:rPr>
            </w:pPr>
            <w:r w:rsidRPr="00CC7D4F">
              <w:rPr>
                <w:sz w:val="16"/>
                <w:szCs w:val="16"/>
              </w:rPr>
              <w:t>($’000)</w:t>
            </w:r>
          </w:p>
          <w:p w14:paraId="33C257A3" w14:textId="77777777" w:rsidR="0058789F" w:rsidRPr="00CC7D4F" w:rsidRDefault="0058789F" w:rsidP="00AD1066">
            <w:pPr>
              <w:spacing w:before="0" w:after="0"/>
              <w:jc w:val="center"/>
              <w:rPr>
                <w:b/>
                <w:bCs/>
                <w:sz w:val="16"/>
                <w:szCs w:val="16"/>
              </w:rPr>
            </w:pPr>
          </w:p>
        </w:tc>
        <w:tc>
          <w:tcPr>
            <w:tcW w:w="415" w:type="pct"/>
            <w:tcBorders>
              <w:top w:val="nil"/>
              <w:left w:val="nil"/>
              <w:right w:val="nil"/>
            </w:tcBorders>
            <w:shd w:val="clear" w:color="auto" w:fill="E5DFEC"/>
            <w:hideMark/>
          </w:tcPr>
          <w:p w14:paraId="41A8D790" w14:textId="77777777" w:rsidR="0058789F" w:rsidRPr="00CC7D4F" w:rsidRDefault="0058789F" w:rsidP="00AD1066">
            <w:pPr>
              <w:pStyle w:val="TableHeading2centrealign"/>
              <w:rPr>
                <w:sz w:val="16"/>
                <w:szCs w:val="16"/>
              </w:rPr>
            </w:pPr>
            <w:r w:rsidRPr="00CC7D4F">
              <w:rPr>
                <w:sz w:val="16"/>
                <w:szCs w:val="16"/>
              </w:rPr>
              <w:t>Section 32</w:t>
            </w:r>
          </w:p>
          <w:p w14:paraId="056296DE" w14:textId="77777777" w:rsidR="0058789F" w:rsidRPr="00CC7D4F" w:rsidRDefault="0058789F" w:rsidP="00AD1066">
            <w:pPr>
              <w:pStyle w:val="TableHeading2centrealign"/>
              <w:rPr>
                <w:sz w:val="16"/>
                <w:szCs w:val="16"/>
              </w:rPr>
            </w:pPr>
            <w:r w:rsidRPr="00CC7D4F">
              <w:rPr>
                <w:sz w:val="16"/>
                <w:szCs w:val="16"/>
              </w:rPr>
              <w:t>($’000)</w:t>
            </w:r>
          </w:p>
          <w:p w14:paraId="3242772D" w14:textId="77777777" w:rsidR="0058789F" w:rsidRPr="00CC7D4F" w:rsidRDefault="0058789F" w:rsidP="00AD1066">
            <w:pPr>
              <w:spacing w:before="0" w:after="0"/>
              <w:jc w:val="center"/>
              <w:rPr>
                <w:b/>
                <w:bCs/>
                <w:sz w:val="16"/>
                <w:szCs w:val="16"/>
              </w:rPr>
            </w:pPr>
          </w:p>
        </w:tc>
        <w:tc>
          <w:tcPr>
            <w:tcW w:w="642" w:type="pct"/>
            <w:tcBorders>
              <w:top w:val="nil"/>
              <w:left w:val="nil"/>
              <w:right w:val="nil"/>
            </w:tcBorders>
            <w:shd w:val="clear" w:color="auto" w:fill="E5DFEC"/>
            <w:hideMark/>
          </w:tcPr>
          <w:p w14:paraId="3AE2B97D" w14:textId="77777777" w:rsidR="0058789F" w:rsidRPr="00CC7D4F" w:rsidRDefault="0058789F" w:rsidP="00AD1066">
            <w:pPr>
              <w:pStyle w:val="TableHeading2centrealign"/>
              <w:rPr>
                <w:sz w:val="16"/>
                <w:szCs w:val="16"/>
              </w:rPr>
            </w:pPr>
            <w:r w:rsidRPr="00CC7D4F">
              <w:rPr>
                <w:sz w:val="16"/>
                <w:szCs w:val="16"/>
              </w:rPr>
              <w:t>Total Parliamentary Authority</w:t>
            </w:r>
          </w:p>
          <w:p w14:paraId="26F2B678" w14:textId="77777777" w:rsidR="0058789F" w:rsidRPr="00CC7D4F" w:rsidRDefault="0058789F" w:rsidP="00AD1066">
            <w:pPr>
              <w:pStyle w:val="TableHeading2centrealign"/>
              <w:rPr>
                <w:sz w:val="16"/>
                <w:szCs w:val="16"/>
              </w:rPr>
            </w:pPr>
            <w:r w:rsidRPr="00CC7D4F">
              <w:rPr>
                <w:sz w:val="16"/>
                <w:szCs w:val="16"/>
              </w:rPr>
              <w:t>($’000)</w:t>
            </w:r>
          </w:p>
          <w:p w14:paraId="484EED10" w14:textId="77777777" w:rsidR="0058789F" w:rsidRPr="00CC7D4F" w:rsidRDefault="0058789F" w:rsidP="00AD1066">
            <w:pPr>
              <w:spacing w:before="0" w:after="0"/>
              <w:jc w:val="center"/>
              <w:rPr>
                <w:b/>
                <w:bCs/>
                <w:sz w:val="16"/>
                <w:szCs w:val="16"/>
              </w:rPr>
            </w:pPr>
          </w:p>
        </w:tc>
        <w:tc>
          <w:tcPr>
            <w:tcW w:w="676" w:type="pct"/>
            <w:tcBorders>
              <w:top w:val="nil"/>
              <w:left w:val="nil"/>
              <w:right w:val="nil"/>
            </w:tcBorders>
            <w:shd w:val="clear" w:color="auto" w:fill="E5DFEC"/>
            <w:hideMark/>
          </w:tcPr>
          <w:p w14:paraId="16E965FE" w14:textId="77777777" w:rsidR="0058789F" w:rsidRPr="00CC7D4F" w:rsidRDefault="0058789F" w:rsidP="00AD1066">
            <w:pPr>
              <w:pStyle w:val="TableHeading2centrealign"/>
              <w:rPr>
                <w:sz w:val="16"/>
                <w:szCs w:val="16"/>
              </w:rPr>
            </w:pPr>
            <w:r w:rsidRPr="00CC7D4F">
              <w:rPr>
                <w:sz w:val="16"/>
                <w:szCs w:val="16"/>
              </w:rPr>
              <w:t>Appropriations applied</w:t>
            </w:r>
          </w:p>
          <w:p w14:paraId="12FA7953" w14:textId="77777777" w:rsidR="0058789F" w:rsidRPr="00CC7D4F" w:rsidRDefault="0058789F" w:rsidP="00AD1066">
            <w:pPr>
              <w:pStyle w:val="TableHeading2centrealign"/>
              <w:rPr>
                <w:sz w:val="16"/>
                <w:szCs w:val="16"/>
              </w:rPr>
            </w:pPr>
            <w:r w:rsidRPr="00CC7D4F">
              <w:rPr>
                <w:sz w:val="16"/>
                <w:szCs w:val="16"/>
              </w:rPr>
              <w:t>($’000)</w:t>
            </w:r>
          </w:p>
          <w:p w14:paraId="2E0D1389" w14:textId="77777777" w:rsidR="0058789F" w:rsidRPr="00CC7D4F" w:rsidRDefault="0058789F" w:rsidP="00AD1066">
            <w:pPr>
              <w:spacing w:before="0" w:after="0"/>
              <w:jc w:val="center"/>
              <w:rPr>
                <w:b/>
                <w:bCs/>
                <w:sz w:val="16"/>
                <w:szCs w:val="16"/>
              </w:rPr>
            </w:pPr>
          </w:p>
        </w:tc>
        <w:tc>
          <w:tcPr>
            <w:tcW w:w="504" w:type="pct"/>
            <w:tcBorders>
              <w:top w:val="nil"/>
              <w:left w:val="nil"/>
              <w:right w:val="nil"/>
            </w:tcBorders>
            <w:shd w:val="clear" w:color="auto" w:fill="E5DFEC"/>
            <w:hideMark/>
          </w:tcPr>
          <w:p w14:paraId="46B332F4" w14:textId="77777777" w:rsidR="0058789F" w:rsidRPr="007E3C19" w:rsidRDefault="0058789F" w:rsidP="00AD1066">
            <w:pPr>
              <w:pStyle w:val="TableHeading2centrealign"/>
              <w:rPr>
                <w:rStyle w:val="Charactersuperscript"/>
              </w:rPr>
            </w:pPr>
            <w:r w:rsidRPr="00CC7D4F">
              <w:rPr>
                <w:sz w:val="16"/>
                <w:szCs w:val="16"/>
              </w:rPr>
              <w:t>Variance</w:t>
            </w:r>
            <w:r w:rsidRPr="007E3C19">
              <w:rPr>
                <w:rStyle w:val="Charactersuperscript"/>
              </w:rPr>
              <w:t>(a)</w:t>
            </w:r>
          </w:p>
          <w:p w14:paraId="63B69FB8" w14:textId="77777777" w:rsidR="0058789F" w:rsidRPr="00CC7D4F" w:rsidRDefault="0058789F" w:rsidP="00AD1066">
            <w:pPr>
              <w:pStyle w:val="TableHeading2centrealign"/>
              <w:rPr>
                <w:sz w:val="16"/>
                <w:szCs w:val="16"/>
              </w:rPr>
            </w:pPr>
            <w:r w:rsidRPr="00CC7D4F">
              <w:rPr>
                <w:sz w:val="16"/>
                <w:szCs w:val="16"/>
              </w:rPr>
              <w:t>($’000)</w:t>
            </w:r>
          </w:p>
          <w:p w14:paraId="701A30F4" w14:textId="77777777" w:rsidR="0058789F" w:rsidRPr="00CC7D4F" w:rsidRDefault="0058789F" w:rsidP="00AD1066">
            <w:pPr>
              <w:spacing w:before="0" w:after="0"/>
              <w:jc w:val="center"/>
              <w:rPr>
                <w:b/>
                <w:bCs/>
                <w:sz w:val="16"/>
                <w:szCs w:val="16"/>
              </w:rPr>
            </w:pPr>
          </w:p>
        </w:tc>
      </w:tr>
      <w:tr w:rsidR="0058789F" w:rsidRPr="00076317" w14:paraId="35421556" w14:textId="77777777" w:rsidTr="00AD1066">
        <w:trPr>
          <w:trHeight w:val="300"/>
        </w:trPr>
        <w:tc>
          <w:tcPr>
            <w:tcW w:w="5000" w:type="pct"/>
            <w:gridSpan w:val="8"/>
            <w:tcBorders>
              <w:top w:val="dotted" w:sz="4" w:space="0" w:color="auto"/>
              <w:left w:val="nil"/>
              <w:bottom w:val="dotted" w:sz="4" w:space="0" w:color="auto"/>
              <w:right w:val="nil"/>
            </w:tcBorders>
            <w:shd w:val="clear" w:color="auto" w:fill="auto"/>
            <w:noWrap/>
          </w:tcPr>
          <w:p w14:paraId="00D6387F" w14:textId="77777777" w:rsidR="0058789F" w:rsidRPr="00076317" w:rsidRDefault="0058789F" w:rsidP="00AD1066">
            <w:pPr>
              <w:pStyle w:val="TableBodyTextsmall"/>
            </w:pPr>
          </w:p>
        </w:tc>
      </w:tr>
      <w:tr w:rsidR="0058789F" w:rsidRPr="00076317" w14:paraId="53C5B671" w14:textId="77777777" w:rsidTr="00AD1066">
        <w:trPr>
          <w:trHeight w:val="300"/>
        </w:trPr>
        <w:tc>
          <w:tcPr>
            <w:tcW w:w="5000" w:type="pct"/>
            <w:gridSpan w:val="8"/>
            <w:tcBorders>
              <w:top w:val="dotted" w:sz="4" w:space="0" w:color="auto"/>
              <w:left w:val="nil"/>
              <w:bottom w:val="dotted" w:sz="4" w:space="0" w:color="auto"/>
              <w:right w:val="nil"/>
            </w:tcBorders>
            <w:shd w:val="clear" w:color="auto" w:fill="D9D9D9"/>
            <w:noWrap/>
            <w:hideMark/>
          </w:tcPr>
          <w:p w14:paraId="43395CBC" w14:textId="77777777" w:rsidR="0058789F" w:rsidRPr="00CC7D4F" w:rsidRDefault="0058789F" w:rsidP="00AD1066">
            <w:pPr>
              <w:pStyle w:val="TableHeading1"/>
            </w:pPr>
            <w:r w:rsidRPr="00076317">
              <w:t>2023</w:t>
            </w:r>
          </w:p>
          <w:p w14:paraId="0AA76B22" w14:textId="77777777" w:rsidR="0058789F" w:rsidRPr="00076317" w:rsidRDefault="0058789F" w:rsidP="00AD1066">
            <w:pPr>
              <w:spacing w:before="0" w:after="0"/>
              <w:rPr>
                <w:rFonts w:ascii="Arial" w:eastAsia="Times New Roman" w:hAnsi="Arial" w:cs="Arial"/>
                <w:b/>
                <w:bCs/>
                <w:color w:val="000000"/>
                <w:sz w:val="18"/>
                <w:szCs w:val="18"/>
                <w:lang w:eastAsia="en-AU"/>
              </w:rPr>
            </w:pPr>
          </w:p>
        </w:tc>
      </w:tr>
      <w:tr w:rsidR="0058789F" w:rsidRPr="00076317" w14:paraId="53416BE1" w14:textId="77777777" w:rsidTr="00AD1066">
        <w:trPr>
          <w:trHeight w:val="300"/>
        </w:trPr>
        <w:tc>
          <w:tcPr>
            <w:tcW w:w="1215" w:type="pct"/>
            <w:tcBorders>
              <w:top w:val="dotted" w:sz="4" w:space="0" w:color="auto"/>
              <w:left w:val="nil"/>
              <w:bottom w:val="dotted" w:sz="4" w:space="0" w:color="auto"/>
              <w:right w:val="nil"/>
            </w:tcBorders>
            <w:shd w:val="clear" w:color="auto" w:fill="auto"/>
            <w:noWrap/>
            <w:vAlign w:val="center"/>
            <w:hideMark/>
          </w:tcPr>
          <w:p w14:paraId="62F4E4A4" w14:textId="77777777" w:rsidR="0058789F" w:rsidRPr="00076317" w:rsidRDefault="0058789F" w:rsidP="007211D6">
            <w:pPr>
              <w:pStyle w:val="TableHeading1"/>
            </w:pPr>
            <w:r w:rsidRPr="00076317">
              <w:t>Controlled</w:t>
            </w:r>
          </w:p>
        </w:tc>
        <w:tc>
          <w:tcPr>
            <w:tcW w:w="630" w:type="pct"/>
            <w:tcBorders>
              <w:top w:val="dotted" w:sz="4" w:space="0" w:color="auto"/>
              <w:left w:val="nil"/>
              <w:bottom w:val="dotted" w:sz="4" w:space="0" w:color="auto"/>
              <w:right w:val="nil"/>
            </w:tcBorders>
            <w:shd w:val="clear" w:color="auto" w:fill="auto"/>
            <w:noWrap/>
            <w:hideMark/>
          </w:tcPr>
          <w:p w14:paraId="67F44E61" w14:textId="77777777" w:rsidR="0058789F" w:rsidRPr="00076317" w:rsidRDefault="0058789F" w:rsidP="00254C0B">
            <w:pPr>
              <w:pStyle w:val="TableBodyText"/>
            </w:pPr>
            <w:r w:rsidRPr="00076317">
              <w:t> </w:t>
            </w:r>
          </w:p>
        </w:tc>
        <w:tc>
          <w:tcPr>
            <w:tcW w:w="527" w:type="pct"/>
            <w:tcBorders>
              <w:top w:val="dotted" w:sz="4" w:space="0" w:color="auto"/>
              <w:left w:val="nil"/>
              <w:bottom w:val="dotted" w:sz="4" w:space="0" w:color="auto"/>
              <w:right w:val="nil"/>
            </w:tcBorders>
            <w:shd w:val="clear" w:color="auto" w:fill="auto"/>
            <w:noWrap/>
            <w:hideMark/>
          </w:tcPr>
          <w:p w14:paraId="226FC12C" w14:textId="77777777" w:rsidR="0058789F" w:rsidRPr="00076317" w:rsidRDefault="0058789F" w:rsidP="00254C0B">
            <w:pPr>
              <w:pStyle w:val="TableBodyText"/>
            </w:pPr>
            <w:r w:rsidRPr="00076317">
              <w:t> </w:t>
            </w:r>
          </w:p>
        </w:tc>
        <w:tc>
          <w:tcPr>
            <w:tcW w:w="391" w:type="pct"/>
            <w:tcBorders>
              <w:top w:val="dotted" w:sz="4" w:space="0" w:color="auto"/>
              <w:left w:val="nil"/>
              <w:bottom w:val="dotted" w:sz="4" w:space="0" w:color="auto"/>
              <w:right w:val="nil"/>
            </w:tcBorders>
            <w:shd w:val="clear" w:color="auto" w:fill="auto"/>
            <w:noWrap/>
            <w:hideMark/>
          </w:tcPr>
          <w:p w14:paraId="345277F9" w14:textId="77777777" w:rsidR="0058789F" w:rsidRPr="00076317" w:rsidRDefault="0058789F" w:rsidP="00254C0B">
            <w:pPr>
              <w:pStyle w:val="TableBodyText"/>
            </w:pPr>
            <w:r w:rsidRPr="00076317">
              <w:t> </w:t>
            </w:r>
          </w:p>
        </w:tc>
        <w:tc>
          <w:tcPr>
            <w:tcW w:w="415" w:type="pct"/>
            <w:tcBorders>
              <w:top w:val="dotted" w:sz="4" w:space="0" w:color="auto"/>
              <w:left w:val="nil"/>
              <w:bottom w:val="dotted" w:sz="4" w:space="0" w:color="auto"/>
              <w:right w:val="nil"/>
            </w:tcBorders>
            <w:shd w:val="clear" w:color="auto" w:fill="auto"/>
            <w:noWrap/>
            <w:hideMark/>
          </w:tcPr>
          <w:p w14:paraId="5AD14DC4" w14:textId="77777777" w:rsidR="0058789F" w:rsidRPr="00076317" w:rsidRDefault="0058789F" w:rsidP="00254C0B">
            <w:pPr>
              <w:pStyle w:val="TableBodyText"/>
            </w:pPr>
            <w:r w:rsidRPr="00076317">
              <w:t> </w:t>
            </w:r>
          </w:p>
        </w:tc>
        <w:tc>
          <w:tcPr>
            <w:tcW w:w="642" w:type="pct"/>
            <w:tcBorders>
              <w:top w:val="dotted" w:sz="4" w:space="0" w:color="auto"/>
              <w:left w:val="nil"/>
              <w:bottom w:val="dotted" w:sz="4" w:space="0" w:color="auto"/>
              <w:right w:val="nil"/>
            </w:tcBorders>
            <w:shd w:val="clear" w:color="auto" w:fill="auto"/>
            <w:noWrap/>
            <w:hideMark/>
          </w:tcPr>
          <w:p w14:paraId="2AA14EE4" w14:textId="77777777" w:rsidR="0058789F" w:rsidRPr="00076317" w:rsidRDefault="0058789F" w:rsidP="00254C0B">
            <w:pPr>
              <w:pStyle w:val="TableBodyText"/>
            </w:pPr>
            <w:r w:rsidRPr="00076317">
              <w:t> </w:t>
            </w:r>
          </w:p>
        </w:tc>
        <w:tc>
          <w:tcPr>
            <w:tcW w:w="676" w:type="pct"/>
            <w:tcBorders>
              <w:top w:val="dotted" w:sz="4" w:space="0" w:color="auto"/>
              <w:left w:val="nil"/>
              <w:bottom w:val="dotted" w:sz="4" w:space="0" w:color="auto"/>
              <w:right w:val="nil"/>
            </w:tcBorders>
            <w:shd w:val="clear" w:color="auto" w:fill="auto"/>
            <w:noWrap/>
            <w:hideMark/>
          </w:tcPr>
          <w:p w14:paraId="095C4FE2" w14:textId="77777777" w:rsidR="0058789F" w:rsidRPr="00076317" w:rsidRDefault="0058789F" w:rsidP="00254C0B">
            <w:pPr>
              <w:pStyle w:val="TableBodyText"/>
            </w:pPr>
            <w:r w:rsidRPr="00076317">
              <w:t> </w:t>
            </w:r>
          </w:p>
        </w:tc>
        <w:tc>
          <w:tcPr>
            <w:tcW w:w="504" w:type="pct"/>
            <w:tcBorders>
              <w:top w:val="dotted" w:sz="4" w:space="0" w:color="auto"/>
              <w:left w:val="nil"/>
              <w:bottom w:val="dotted" w:sz="4" w:space="0" w:color="auto"/>
              <w:right w:val="nil"/>
            </w:tcBorders>
            <w:shd w:val="clear" w:color="auto" w:fill="auto"/>
            <w:noWrap/>
            <w:hideMark/>
          </w:tcPr>
          <w:p w14:paraId="3571366B" w14:textId="77777777" w:rsidR="0058789F" w:rsidRPr="00076317" w:rsidRDefault="0058789F" w:rsidP="00254C0B">
            <w:pPr>
              <w:pStyle w:val="TableBodyText"/>
            </w:pPr>
            <w:r w:rsidRPr="00076317">
              <w:t> </w:t>
            </w:r>
          </w:p>
        </w:tc>
      </w:tr>
      <w:tr w:rsidR="0058789F" w:rsidRPr="00076317" w14:paraId="5F283161" w14:textId="77777777" w:rsidTr="00AD1066">
        <w:trPr>
          <w:trHeight w:val="300"/>
        </w:trPr>
        <w:tc>
          <w:tcPr>
            <w:tcW w:w="1215" w:type="pct"/>
            <w:tcBorders>
              <w:top w:val="nil"/>
              <w:left w:val="nil"/>
              <w:bottom w:val="dotted" w:sz="4" w:space="0" w:color="auto"/>
              <w:right w:val="nil"/>
            </w:tcBorders>
            <w:shd w:val="clear" w:color="auto" w:fill="auto"/>
            <w:noWrap/>
            <w:vAlign w:val="center"/>
            <w:hideMark/>
          </w:tcPr>
          <w:p w14:paraId="0FD47BBF" w14:textId="77777777" w:rsidR="0058789F" w:rsidRPr="00076317" w:rsidRDefault="0058789F" w:rsidP="00ED79A2">
            <w:pPr>
              <w:pStyle w:val="TableBodyText"/>
            </w:pPr>
            <w:r w:rsidRPr="00076317">
              <w:t>Provision of outputs</w:t>
            </w:r>
          </w:p>
        </w:tc>
        <w:tc>
          <w:tcPr>
            <w:tcW w:w="630" w:type="pct"/>
            <w:tcBorders>
              <w:top w:val="nil"/>
              <w:left w:val="nil"/>
              <w:bottom w:val="dotted" w:sz="4" w:space="0" w:color="auto"/>
              <w:right w:val="nil"/>
            </w:tcBorders>
            <w:shd w:val="clear" w:color="auto" w:fill="auto"/>
            <w:noWrap/>
            <w:vAlign w:val="center"/>
            <w:hideMark/>
          </w:tcPr>
          <w:p w14:paraId="659BFC2A" w14:textId="77777777" w:rsidR="0058789F" w:rsidRPr="00076317" w:rsidRDefault="0058789F" w:rsidP="007E78B5">
            <w:pPr>
              <w:pStyle w:val="TableBodyTextrightalign"/>
            </w:pPr>
            <w:r w:rsidRPr="00076317">
              <w:t>54,895</w:t>
            </w:r>
          </w:p>
        </w:tc>
        <w:tc>
          <w:tcPr>
            <w:tcW w:w="527" w:type="pct"/>
            <w:tcBorders>
              <w:top w:val="nil"/>
              <w:left w:val="nil"/>
              <w:bottom w:val="dotted" w:sz="4" w:space="0" w:color="auto"/>
              <w:right w:val="nil"/>
            </w:tcBorders>
            <w:shd w:val="clear" w:color="auto" w:fill="auto"/>
            <w:noWrap/>
            <w:vAlign w:val="center"/>
            <w:hideMark/>
          </w:tcPr>
          <w:p w14:paraId="2C25D6CA" w14:textId="77777777" w:rsidR="0058789F" w:rsidRPr="00076317" w:rsidRDefault="0058789F" w:rsidP="007E78B5">
            <w:pPr>
              <w:pStyle w:val="TableBodyTextrightalign"/>
            </w:pPr>
            <w:r w:rsidRPr="00076317">
              <w:t>4,732</w:t>
            </w:r>
          </w:p>
        </w:tc>
        <w:tc>
          <w:tcPr>
            <w:tcW w:w="391" w:type="pct"/>
            <w:tcBorders>
              <w:top w:val="nil"/>
              <w:left w:val="nil"/>
              <w:bottom w:val="dotted" w:sz="4" w:space="0" w:color="auto"/>
              <w:right w:val="nil"/>
            </w:tcBorders>
            <w:shd w:val="clear" w:color="auto" w:fill="auto"/>
            <w:noWrap/>
            <w:vAlign w:val="center"/>
            <w:hideMark/>
          </w:tcPr>
          <w:p w14:paraId="42ADBCB4" w14:textId="77777777" w:rsidR="0058789F" w:rsidRPr="00076317" w:rsidRDefault="0058789F" w:rsidP="007E78B5">
            <w:pPr>
              <w:pStyle w:val="TableBodyTextrightalign"/>
            </w:pPr>
            <w:r w:rsidRPr="00076317">
              <w:t>(600)</w:t>
            </w:r>
          </w:p>
        </w:tc>
        <w:tc>
          <w:tcPr>
            <w:tcW w:w="415" w:type="pct"/>
            <w:tcBorders>
              <w:top w:val="nil"/>
              <w:left w:val="nil"/>
              <w:bottom w:val="dotted" w:sz="4" w:space="0" w:color="auto"/>
              <w:right w:val="nil"/>
            </w:tcBorders>
            <w:shd w:val="clear" w:color="auto" w:fill="auto"/>
            <w:noWrap/>
            <w:vAlign w:val="center"/>
            <w:hideMark/>
          </w:tcPr>
          <w:p w14:paraId="1E2D1D82" w14:textId="77777777" w:rsidR="0058789F" w:rsidRPr="00076317" w:rsidRDefault="0058789F" w:rsidP="007E78B5">
            <w:pPr>
              <w:pStyle w:val="TableBodyTextrightalign"/>
            </w:pPr>
            <w:r>
              <w:t>–</w:t>
            </w:r>
            <w:r w:rsidRPr="00076317">
              <w:t> </w:t>
            </w:r>
          </w:p>
        </w:tc>
        <w:tc>
          <w:tcPr>
            <w:tcW w:w="642" w:type="pct"/>
            <w:tcBorders>
              <w:top w:val="dotted" w:sz="4" w:space="0" w:color="auto"/>
              <w:left w:val="nil"/>
              <w:bottom w:val="dotted" w:sz="4" w:space="0" w:color="auto"/>
              <w:right w:val="nil"/>
            </w:tcBorders>
            <w:shd w:val="clear" w:color="auto" w:fill="auto"/>
            <w:noWrap/>
            <w:vAlign w:val="center"/>
            <w:hideMark/>
          </w:tcPr>
          <w:p w14:paraId="43D1CF14" w14:textId="77777777" w:rsidR="0058789F" w:rsidRPr="00076317" w:rsidRDefault="0058789F" w:rsidP="007E78B5">
            <w:pPr>
              <w:pStyle w:val="TableBodyTextrightalign"/>
            </w:pPr>
            <w:r w:rsidRPr="00076317">
              <w:t>59,027</w:t>
            </w:r>
          </w:p>
        </w:tc>
        <w:tc>
          <w:tcPr>
            <w:tcW w:w="676" w:type="pct"/>
            <w:tcBorders>
              <w:top w:val="dotted" w:sz="4" w:space="0" w:color="auto"/>
              <w:left w:val="nil"/>
              <w:bottom w:val="dotted" w:sz="4" w:space="0" w:color="auto"/>
              <w:right w:val="nil"/>
            </w:tcBorders>
            <w:shd w:val="clear" w:color="auto" w:fill="auto"/>
            <w:noWrap/>
            <w:vAlign w:val="center"/>
            <w:hideMark/>
          </w:tcPr>
          <w:p w14:paraId="63021DB6" w14:textId="77777777" w:rsidR="0058789F" w:rsidRPr="00076317" w:rsidRDefault="0058789F" w:rsidP="007E78B5">
            <w:pPr>
              <w:pStyle w:val="TableBodyTextrightalign"/>
            </w:pPr>
            <w:r w:rsidRPr="00076317">
              <w:t>59,027</w:t>
            </w:r>
          </w:p>
        </w:tc>
        <w:tc>
          <w:tcPr>
            <w:tcW w:w="504" w:type="pct"/>
            <w:tcBorders>
              <w:top w:val="dotted" w:sz="4" w:space="0" w:color="auto"/>
              <w:left w:val="nil"/>
              <w:bottom w:val="dotted" w:sz="4" w:space="0" w:color="auto"/>
              <w:right w:val="nil"/>
            </w:tcBorders>
            <w:shd w:val="clear" w:color="auto" w:fill="auto"/>
            <w:noWrap/>
            <w:vAlign w:val="center"/>
            <w:hideMark/>
          </w:tcPr>
          <w:p w14:paraId="633ABB16" w14:textId="77777777" w:rsidR="0058789F" w:rsidRPr="00076317" w:rsidRDefault="0058789F" w:rsidP="007E78B5">
            <w:pPr>
              <w:pStyle w:val="TableBodyTextrightalign"/>
            </w:pPr>
            <w:r>
              <w:t>–</w:t>
            </w:r>
          </w:p>
        </w:tc>
      </w:tr>
      <w:tr w:rsidR="0058789F" w:rsidRPr="00076317" w14:paraId="097B8CB9" w14:textId="77777777" w:rsidTr="00AD1066">
        <w:trPr>
          <w:trHeight w:val="315"/>
        </w:trPr>
        <w:tc>
          <w:tcPr>
            <w:tcW w:w="1215" w:type="pct"/>
            <w:tcBorders>
              <w:top w:val="nil"/>
              <w:left w:val="nil"/>
              <w:bottom w:val="dotted" w:sz="4" w:space="0" w:color="auto"/>
              <w:right w:val="nil"/>
            </w:tcBorders>
            <w:shd w:val="clear" w:color="auto" w:fill="auto"/>
            <w:noWrap/>
            <w:vAlign w:val="center"/>
            <w:hideMark/>
          </w:tcPr>
          <w:p w14:paraId="23FB2FC8" w14:textId="77777777" w:rsidR="0058789F" w:rsidRPr="00076317" w:rsidRDefault="0058789F" w:rsidP="00ED79A2">
            <w:pPr>
              <w:pStyle w:val="TableBodyText"/>
            </w:pPr>
            <w:r w:rsidRPr="00076317">
              <w:t>Additions to net asset base</w:t>
            </w:r>
          </w:p>
        </w:tc>
        <w:tc>
          <w:tcPr>
            <w:tcW w:w="630" w:type="pct"/>
            <w:tcBorders>
              <w:top w:val="nil"/>
              <w:left w:val="nil"/>
              <w:bottom w:val="dotted" w:sz="4" w:space="0" w:color="auto"/>
              <w:right w:val="nil"/>
            </w:tcBorders>
            <w:shd w:val="clear" w:color="auto" w:fill="auto"/>
            <w:noWrap/>
            <w:vAlign w:val="center"/>
            <w:hideMark/>
          </w:tcPr>
          <w:p w14:paraId="7664C174" w14:textId="77777777" w:rsidR="0058789F" w:rsidRPr="00076317" w:rsidRDefault="0058789F" w:rsidP="007E78B5">
            <w:pPr>
              <w:pStyle w:val="TableBodyTextrightalign"/>
            </w:pPr>
            <w:r>
              <w:t>–</w:t>
            </w:r>
          </w:p>
        </w:tc>
        <w:tc>
          <w:tcPr>
            <w:tcW w:w="527" w:type="pct"/>
            <w:tcBorders>
              <w:top w:val="nil"/>
              <w:left w:val="nil"/>
              <w:bottom w:val="dotted" w:sz="4" w:space="0" w:color="auto"/>
              <w:right w:val="nil"/>
            </w:tcBorders>
            <w:shd w:val="clear" w:color="auto" w:fill="auto"/>
            <w:noWrap/>
            <w:vAlign w:val="center"/>
            <w:hideMark/>
          </w:tcPr>
          <w:p w14:paraId="125E6904" w14:textId="77777777" w:rsidR="0058789F" w:rsidRPr="00076317" w:rsidRDefault="0058789F" w:rsidP="007E78B5">
            <w:pPr>
              <w:pStyle w:val="TableBodyTextrightalign"/>
            </w:pPr>
            <w:r w:rsidRPr="00076317">
              <w:t>1,105</w:t>
            </w:r>
          </w:p>
        </w:tc>
        <w:tc>
          <w:tcPr>
            <w:tcW w:w="391" w:type="pct"/>
            <w:tcBorders>
              <w:top w:val="nil"/>
              <w:left w:val="nil"/>
              <w:bottom w:val="dotted" w:sz="4" w:space="0" w:color="auto"/>
              <w:right w:val="nil"/>
            </w:tcBorders>
            <w:shd w:val="clear" w:color="auto" w:fill="auto"/>
            <w:noWrap/>
            <w:vAlign w:val="center"/>
            <w:hideMark/>
          </w:tcPr>
          <w:p w14:paraId="4AEF8B41" w14:textId="77777777" w:rsidR="0058789F" w:rsidRPr="00076317" w:rsidRDefault="0058789F" w:rsidP="007E78B5">
            <w:pPr>
              <w:pStyle w:val="TableBodyTextrightalign"/>
            </w:pPr>
            <w:r w:rsidRPr="00076317">
              <w:t>600</w:t>
            </w:r>
          </w:p>
        </w:tc>
        <w:tc>
          <w:tcPr>
            <w:tcW w:w="415" w:type="pct"/>
            <w:tcBorders>
              <w:top w:val="nil"/>
              <w:left w:val="nil"/>
              <w:bottom w:val="dotted" w:sz="4" w:space="0" w:color="auto"/>
              <w:right w:val="nil"/>
            </w:tcBorders>
            <w:shd w:val="clear" w:color="auto" w:fill="auto"/>
            <w:noWrap/>
            <w:vAlign w:val="center"/>
            <w:hideMark/>
          </w:tcPr>
          <w:p w14:paraId="62BE1D6B" w14:textId="77777777" w:rsidR="0058789F" w:rsidRPr="00076317" w:rsidRDefault="0058789F" w:rsidP="007E78B5">
            <w:pPr>
              <w:pStyle w:val="TableBodyTextrightalign"/>
            </w:pPr>
            <w:r w:rsidRPr="00076317">
              <w:t>70</w:t>
            </w:r>
          </w:p>
        </w:tc>
        <w:tc>
          <w:tcPr>
            <w:tcW w:w="642" w:type="pct"/>
            <w:tcBorders>
              <w:top w:val="nil"/>
              <w:left w:val="nil"/>
              <w:bottom w:val="dotted" w:sz="4" w:space="0" w:color="auto"/>
              <w:right w:val="nil"/>
            </w:tcBorders>
            <w:shd w:val="clear" w:color="auto" w:fill="auto"/>
            <w:noWrap/>
            <w:vAlign w:val="center"/>
            <w:hideMark/>
          </w:tcPr>
          <w:p w14:paraId="327B85C9" w14:textId="77777777" w:rsidR="0058789F" w:rsidRPr="00076317" w:rsidRDefault="0058789F" w:rsidP="007E78B5">
            <w:pPr>
              <w:pStyle w:val="TableBodyTextrightalign"/>
            </w:pPr>
            <w:r w:rsidRPr="00076317">
              <w:t>1,775</w:t>
            </w:r>
          </w:p>
        </w:tc>
        <w:tc>
          <w:tcPr>
            <w:tcW w:w="676" w:type="pct"/>
            <w:tcBorders>
              <w:top w:val="nil"/>
              <w:left w:val="nil"/>
              <w:bottom w:val="dotted" w:sz="4" w:space="0" w:color="auto"/>
              <w:right w:val="nil"/>
            </w:tcBorders>
            <w:shd w:val="clear" w:color="auto" w:fill="auto"/>
            <w:noWrap/>
            <w:vAlign w:val="center"/>
            <w:hideMark/>
          </w:tcPr>
          <w:p w14:paraId="47C849C9" w14:textId="77777777" w:rsidR="0058789F" w:rsidRPr="00076317" w:rsidRDefault="0058789F" w:rsidP="007E78B5">
            <w:pPr>
              <w:pStyle w:val="TableBodyTextrightalign"/>
            </w:pPr>
            <w:r w:rsidRPr="00076317">
              <w:t>1,105</w:t>
            </w:r>
          </w:p>
        </w:tc>
        <w:tc>
          <w:tcPr>
            <w:tcW w:w="504" w:type="pct"/>
            <w:tcBorders>
              <w:top w:val="nil"/>
              <w:left w:val="nil"/>
              <w:bottom w:val="dotted" w:sz="4" w:space="0" w:color="auto"/>
              <w:right w:val="nil"/>
            </w:tcBorders>
            <w:shd w:val="clear" w:color="auto" w:fill="auto"/>
            <w:noWrap/>
            <w:vAlign w:val="center"/>
            <w:hideMark/>
          </w:tcPr>
          <w:p w14:paraId="69C36EB9" w14:textId="77777777" w:rsidR="0058789F" w:rsidRPr="00076317" w:rsidRDefault="0058789F" w:rsidP="007E78B5">
            <w:pPr>
              <w:pStyle w:val="TableBodyTextrightalign"/>
            </w:pPr>
            <w:r w:rsidRPr="00076317">
              <w:t>670</w:t>
            </w:r>
          </w:p>
        </w:tc>
      </w:tr>
      <w:tr w:rsidR="0058789F" w:rsidRPr="00076317" w14:paraId="3AF2569D" w14:textId="77777777" w:rsidTr="00AD1066">
        <w:trPr>
          <w:trHeight w:val="315"/>
        </w:trPr>
        <w:tc>
          <w:tcPr>
            <w:tcW w:w="1215" w:type="pct"/>
            <w:tcBorders>
              <w:top w:val="dotted" w:sz="4" w:space="0" w:color="auto"/>
              <w:left w:val="nil"/>
              <w:bottom w:val="single" w:sz="4" w:space="0" w:color="auto"/>
              <w:right w:val="nil"/>
            </w:tcBorders>
            <w:shd w:val="clear" w:color="auto" w:fill="auto"/>
            <w:noWrap/>
            <w:vAlign w:val="center"/>
            <w:hideMark/>
          </w:tcPr>
          <w:p w14:paraId="63D23CB1" w14:textId="77777777" w:rsidR="0058789F" w:rsidRPr="007E78B5" w:rsidRDefault="0058789F" w:rsidP="007E78B5">
            <w:pPr>
              <w:pStyle w:val="TableBodyText"/>
              <w:rPr>
                <w:rStyle w:val="Characterbold"/>
              </w:rPr>
            </w:pPr>
            <w:r w:rsidRPr="007E78B5">
              <w:rPr>
                <w:rStyle w:val="Characterbold"/>
              </w:rPr>
              <w:t>Total</w:t>
            </w:r>
          </w:p>
        </w:tc>
        <w:tc>
          <w:tcPr>
            <w:tcW w:w="630" w:type="pct"/>
            <w:tcBorders>
              <w:top w:val="dotted" w:sz="4" w:space="0" w:color="auto"/>
              <w:left w:val="nil"/>
              <w:bottom w:val="single" w:sz="4" w:space="0" w:color="auto"/>
              <w:right w:val="nil"/>
            </w:tcBorders>
            <w:shd w:val="clear" w:color="auto" w:fill="auto"/>
            <w:noWrap/>
            <w:vAlign w:val="center"/>
            <w:hideMark/>
          </w:tcPr>
          <w:p w14:paraId="136F47F1" w14:textId="77777777" w:rsidR="0058789F" w:rsidRPr="007211D6" w:rsidRDefault="0058789F" w:rsidP="007211D6">
            <w:pPr>
              <w:pStyle w:val="TableBodyTextrightalign"/>
              <w:rPr>
                <w:rStyle w:val="Characterbold"/>
              </w:rPr>
            </w:pPr>
            <w:r w:rsidRPr="007211D6">
              <w:rPr>
                <w:rStyle w:val="Characterbold"/>
              </w:rPr>
              <w:t>54,895</w:t>
            </w:r>
          </w:p>
        </w:tc>
        <w:tc>
          <w:tcPr>
            <w:tcW w:w="527" w:type="pct"/>
            <w:tcBorders>
              <w:top w:val="dotted" w:sz="4" w:space="0" w:color="auto"/>
              <w:left w:val="nil"/>
              <w:bottom w:val="single" w:sz="4" w:space="0" w:color="auto"/>
              <w:right w:val="nil"/>
            </w:tcBorders>
            <w:shd w:val="clear" w:color="auto" w:fill="auto"/>
            <w:noWrap/>
            <w:vAlign w:val="center"/>
            <w:hideMark/>
          </w:tcPr>
          <w:p w14:paraId="2F27A2C5" w14:textId="77777777" w:rsidR="0058789F" w:rsidRPr="007211D6" w:rsidRDefault="0058789F" w:rsidP="007211D6">
            <w:pPr>
              <w:pStyle w:val="TableBodyTextrightalign"/>
              <w:rPr>
                <w:rStyle w:val="Characterbold"/>
              </w:rPr>
            </w:pPr>
            <w:r w:rsidRPr="007211D6">
              <w:rPr>
                <w:rStyle w:val="Characterbold"/>
              </w:rPr>
              <w:t>5,837</w:t>
            </w:r>
          </w:p>
        </w:tc>
        <w:tc>
          <w:tcPr>
            <w:tcW w:w="391" w:type="pct"/>
            <w:tcBorders>
              <w:top w:val="dotted" w:sz="4" w:space="0" w:color="auto"/>
              <w:left w:val="nil"/>
              <w:bottom w:val="single" w:sz="4" w:space="0" w:color="auto"/>
              <w:right w:val="nil"/>
            </w:tcBorders>
            <w:shd w:val="clear" w:color="auto" w:fill="auto"/>
            <w:noWrap/>
            <w:vAlign w:val="center"/>
            <w:hideMark/>
          </w:tcPr>
          <w:p w14:paraId="1E9C3E94" w14:textId="77777777" w:rsidR="0058789F" w:rsidRPr="007211D6" w:rsidRDefault="0058789F" w:rsidP="007211D6">
            <w:pPr>
              <w:pStyle w:val="TableBodyTextrightalign"/>
              <w:rPr>
                <w:rStyle w:val="Characterbold"/>
              </w:rPr>
            </w:pPr>
            <w:r w:rsidRPr="007211D6">
              <w:rPr>
                <w:rStyle w:val="Characterbold"/>
              </w:rPr>
              <w:t>–</w:t>
            </w:r>
          </w:p>
        </w:tc>
        <w:tc>
          <w:tcPr>
            <w:tcW w:w="415" w:type="pct"/>
            <w:tcBorders>
              <w:top w:val="dotted" w:sz="4" w:space="0" w:color="auto"/>
              <w:left w:val="nil"/>
              <w:bottom w:val="single" w:sz="4" w:space="0" w:color="auto"/>
              <w:right w:val="nil"/>
            </w:tcBorders>
            <w:shd w:val="clear" w:color="auto" w:fill="auto"/>
            <w:noWrap/>
            <w:vAlign w:val="center"/>
            <w:hideMark/>
          </w:tcPr>
          <w:p w14:paraId="6B197387" w14:textId="77777777" w:rsidR="0058789F" w:rsidRPr="007211D6" w:rsidRDefault="0058789F" w:rsidP="007211D6">
            <w:pPr>
              <w:pStyle w:val="TableBodyTextrightalign"/>
              <w:rPr>
                <w:rStyle w:val="Characterbold"/>
              </w:rPr>
            </w:pPr>
            <w:r w:rsidRPr="007211D6">
              <w:rPr>
                <w:rStyle w:val="Characterbold"/>
              </w:rPr>
              <w:t>70</w:t>
            </w:r>
          </w:p>
        </w:tc>
        <w:tc>
          <w:tcPr>
            <w:tcW w:w="642" w:type="pct"/>
            <w:tcBorders>
              <w:top w:val="dotted" w:sz="4" w:space="0" w:color="auto"/>
              <w:left w:val="nil"/>
              <w:bottom w:val="single" w:sz="4" w:space="0" w:color="auto"/>
              <w:right w:val="nil"/>
            </w:tcBorders>
            <w:shd w:val="clear" w:color="auto" w:fill="auto"/>
            <w:noWrap/>
            <w:vAlign w:val="center"/>
            <w:hideMark/>
          </w:tcPr>
          <w:p w14:paraId="4A71F1FC" w14:textId="77777777" w:rsidR="0058789F" w:rsidRPr="007211D6" w:rsidRDefault="0058789F" w:rsidP="007211D6">
            <w:pPr>
              <w:pStyle w:val="TableBodyTextrightalign"/>
              <w:rPr>
                <w:rStyle w:val="Characterbold"/>
              </w:rPr>
            </w:pPr>
            <w:r w:rsidRPr="007211D6">
              <w:rPr>
                <w:rStyle w:val="Characterbold"/>
              </w:rPr>
              <w:t>60,802</w:t>
            </w:r>
          </w:p>
        </w:tc>
        <w:tc>
          <w:tcPr>
            <w:tcW w:w="676" w:type="pct"/>
            <w:tcBorders>
              <w:top w:val="dotted" w:sz="4" w:space="0" w:color="auto"/>
              <w:left w:val="nil"/>
              <w:bottom w:val="single" w:sz="4" w:space="0" w:color="auto"/>
              <w:right w:val="nil"/>
            </w:tcBorders>
            <w:shd w:val="clear" w:color="auto" w:fill="auto"/>
            <w:noWrap/>
            <w:vAlign w:val="center"/>
            <w:hideMark/>
          </w:tcPr>
          <w:p w14:paraId="105D38C6" w14:textId="77777777" w:rsidR="0058789F" w:rsidRPr="007211D6" w:rsidRDefault="0058789F" w:rsidP="007211D6">
            <w:pPr>
              <w:pStyle w:val="TableBodyTextrightalign"/>
              <w:rPr>
                <w:rStyle w:val="Characterbold"/>
              </w:rPr>
            </w:pPr>
            <w:r w:rsidRPr="007211D6">
              <w:rPr>
                <w:rStyle w:val="Characterbold"/>
              </w:rPr>
              <w:t>60,132</w:t>
            </w:r>
          </w:p>
        </w:tc>
        <w:tc>
          <w:tcPr>
            <w:tcW w:w="504" w:type="pct"/>
            <w:tcBorders>
              <w:top w:val="dotted" w:sz="4" w:space="0" w:color="auto"/>
              <w:left w:val="nil"/>
              <w:bottom w:val="single" w:sz="4" w:space="0" w:color="auto"/>
              <w:right w:val="nil"/>
            </w:tcBorders>
            <w:shd w:val="clear" w:color="auto" w:fill="auto"/>
            <w:noWrap/>
            <w:vAlign w:val="center"/>
            <w:hideMark/>
          </w:tcPr>
          <w:p w14:paraId="6357D0CE" w14:textId="77777777" w:rsidR="0058789F" w:rsidRPr="007211D6" w:rsidRDefault="0058789F" w:rsidP="007211D6">
            <w:pPr>
              <w:pStyle w:val="TableBodyTextrightalign"/>
              <w:rPr>
                <w:rStyle w:val="Characterbold"/>
              </w:rPr>
            </w:pPr>
            <w:r w:rsidRPr="007211D6">
              <w:rPr>
                <w:rStyle w:val="Characterbold"/>
              </w:rPr>
              <w:t>670</w:t>
            </w:r>
          </w:p>
        </w:tc>
      </w:tr>
      <w:tr w:rsidR="0058789F" w:rsidRPr="00076317" w14:paraId="36F3455F" w14:textId="77777777" w:rsidTr="00AD1066">
        <w:trPr>
          <w:trHeight w:val="315"/>
        </w:trPr>
        <w:tc>
          <w:tcPr>
            <w:tcW w:w="5000" w:type="pct"/>
            <w:gridSpan w:val="8"/>
            <w:tcBorders>
              <w:top w:val="single" w:sz="4" w:space="0" w:color="auto"/>
              <w:left w:val="nil"/>
              <w:bottom w:val="dotted" w:sz="4" w:space="0" w:color="auto"/>
              <w:right w:val="nil"/>
            </w:tcBorders>
            <w:shd w:val="clear" w:color="auto" w:fill="auto"/>
            <w:noWrap/>
          </w:tcPr>
          <w:p w14:paraId="7DF18E76" w14:textId="77777777" w:rsidR="0058789F" w:rsidRPr="00076317" w:rsidRDefault="0058789F" w:rsidP="00AD1066">
            <w:pPr>
              <w:pStyle w:val="TableBodyTextsmall"/>
            </w:pPr>
          </w:p>
        </w:tc>
      </w:tr>
      <w:tr w:rsidR="0058789F" w:rsidRPr="00076317" w14:paraId="305E9971" w14:textId="77777777" w:rsidTr="00AD1066">
        <w:trPr>
          <w:trHeight w:val="315"/>
        </w:trPr>
        <w:tc>
          <w:tcPr>
            <w:tcW w:w="5000" w:type="pct"/>
            <w:gridSpan w:val="8"/>
            <w:tcBorders>
              <w:top w:val="nil"/>
              <w:left w:val="nil"/>
              <w:bottom w:val="dotted" w:sz="4" w:space="0" w:color="auto"/>
              <w:right w:val="nil"/>
            </w:tcBorders>
            <w:shd w:val="clear" w:color="auto" w:fill="D9D9D9"/>
            <w:noWrap/>
            <w:hideMark/>
          </w:tcPr>
          <w:p w14:paraId="2DB914C5" w14:textId="77777777" w:rsidR="0058789F" w:rsidRPr="00CC7D4F" w:rsidRDefault="0058789F" w:rsidP="00AD1066">
            <w:pPr>
              <w:pStyle w:val="TableHeading1"/>
            </w:pPr>
            <w:r w:rsidRPr="00076317">
              <w:t>2022</w:t>
            </w:r>
          </w:p>
        </w:tc>
      </w:tr>
      <w:tr w:rsidR="0058789F" w:rsidRPr="00076317" w14:paraId="1959DF57" w14:textId="77777777" w:rsidTr="00AD1066">
        <w:trPr>
          <w:trHeight w:val="300"/>
        </w:trPr>
        <w:tc>
          <w:tcPr>
            <w:tcW w:w="1215" w:type="pct"/>
            <w:tcBorders>
              <w:top w:val="nil"/>
              <w:left w:val="nil"/>
              <w:bottom w:val="dotted" w:sz="4" w:space="0" w:color="auto"/>
              <w:right w:val="nil"/>
            </w:tcBorders>
            <w:shd w:val="clear" w:color="auto" w:fill="auto"/>
            <w:noWrap/>
            <w:vAlign w:val="center"/>
            <w:hideMark/>
          </w:tcPr>
          <w:p w14:paraId="38314FA7" w14:textId="77777777" w:rsidR="0058789F" w:rsidRPr="00076317" w:rsidRDefault="0058789F" w:rsidP="007211D6">
            <w:pPr>
              <w:pStyle w:val="TableHeading1"/>
            </w:pPr>
            <w:r w:rsidRPr="00076317">
              <w:t>Controlled</w:t>
            </w:r>
          </w:p>
        </w:tc>
        <w:tc>
          <w:tcPr>
            <w:tcW w:w="630" w:type="pct"/>
            <w:tcBorders>
              <w:top w:val="nil"/>
              <w:left w:val="nil"/>
              <w:bottom w:val="dotted" w:sz="4" w:space="0" w:color="auto"/>
              <w:right w:val="nil"/>
            </w:tcBorders>
            <w:shd w:val="clear" w:color="auto" w:fill="auto"/>
            <w:noWrap/>
            <w:hideMark/>
          </w:tcPr>
          <w:p w14:paraId="56C99E12" w14:textId="77777777" w:rsidR="0058789F" w:rsidRPr="00076317" w:rsidRDefault="0058789F" w:rsidP="00254C0B">
            <w:pPr>
              <w:pStyle w:val="TableBodyText"/>
            </w:pPr>
            <w:r w:rsidRPr="00076317">
              <w:t> </w:t>
            </w:r>
          </w:p>
        </w:tc>
        <w:tc>
          <w:tcPr>
            <w:tcW w:w="527" w:type="pct"/>
            <w:tcBorders>
              <w:top w:val="nil"/>
              <w:left w:val="nil"/>
              <w:bottom w:val="dotted" w:sz="4" w:space="0" w:color="auto"/>
              <w:right w:val="nil"/>
            </w:tcBorders>
            <w:shd w:val="clear" w:color="auto" w:fill="auto"/>
            <w:noWrap/>
            <w:hideMark/>
          </w:tcPr>
          <w:p w14:paraId="0FC201AB" w14:textId="77777777" w:rsidR="0058789F" w:rsidRPr="00076317" w:rsidRDefault="0058789F" w:rsidP="00254C0B">
            <w:pPr>
              <w:pStyle w:val="TableBodyText"/>
            </w:pPr>
            <w:r w:rsidRPr="00076317">
              <w:t> </w:t>
            </w:r>
          </w:p>
        </w:tc>
        <w:tc>
          <w:tcPr>
            <w:tcW w:w="391" w:type="pct"/>
            <w:tcBorders>
              <w:top w:val="nil"/>
              <w:left w:val="nil"/>
              <w:bottom w:val="dotted" w:sz="4" w:space="0" w:color="auto"/>
              <w:right w:val="nil"/>
            </w:tcBorders>
            <w:shd w:val="clear" w:color="auto" w:fill="auto"/>
            <w:noWrap/>
            <w:hideMark/>
          </w:tcPr>
          <w:p w14:paraId="20C6AA88" w14:textId="77777777" w:rsidR="0058789F" w:rsidRPr="00076317" w:rsidRDefault="0058789F" w:rsidP="00254C0B">
            <w:pPr>
              <w:pStyle w:val="TableBodyText"/>
            </w:pPr>
            <w:r w:rsidRPr="00076317">
              <w:t> </w:t>
            </w:r>
          </w:p>
        </w:tc>
        <w:tc>
          <w:tcPr>
            <w:tcW w:w="415" w:type="pct"/>
            <w:tcBorders>
              <w:top w:val="nil"/>
              <w:left w:val="nil"/>
              <w:bottom w:val="dotted" w:sz="4" w:space="0" w:color="auto"/>
              <w:right w:val="nil"/>
            </w:tcBorders>
            <w:shd w:val="clear" w:color="auto" w:fill="auto"/>
            <w:noWrap/>
            <w:hideMark/>
          </w:tcPr>
          <w:p w14:paraId="0088D9BC" w14:textId="77777777" w:rsidR="0058789F" w:rsidRPr="00076317" w:rsidRDefault="0058789F" w:rsidP="00254C0B">
            <w:pPr>
              <w:pStyle w:val="TableBodyText"/>
            </w:pPr>
            <w:r w:rsidRPr="00076317">
              <w:t> </w:t>
            </w:r>
          </w:p>
        </w:tc>
        <w:tc>
          <w:tcPr>
            <w:tcW w:w="642" w:type="pct"/>
            <w:tcBorders>
              <w:top w:val="nil"/>
              <w:left w:val="nil"/>
              <w:bottom w:val="dotted" w:sz="4" w:space="0" w:color="auto"/>
              <w:right w:val="nil"/>
            </w:tcBorders>
            <w:shd w:val="clear" w:color="auto" w:fill="auto"/>
            <w:noWrap/>
            <w:hideMark/>
          </w:tcPr>
          <w:p w14:paraId="1D15A8DD" w14:textId="77777777" w:rsidR="0058789F" w:rsidRPr="00076317" w:rsidRDefault="0058789F" w:rsidP="00254C0B">
            <w:pPr>
              <w:pStyle w:val="TableBodyText"/>
            </w:pPr>
            <w:r w:rsidRPr="00076317">
              <w:t> </w:t>
            </w:r>
          </w:p>
        </w:tc>
        <w:tc>
          <w:tcPr>
            <w:tcW w:w="676" w:type="pct"/>
            <w:tcBorders>
              <w:top w:val="nil"/>
              <w:left w:val="nil"/>
              <w:bottom w:val="dotted" w:sz="4" w:space="0" w:color="auto"/>
              <w:right w:val="nil"/>
            </w:tcBorders>
            <w:shd w:val="clear" w:color="auto" w:fill="auto"/>
            <w:noWrap/>
            <w:hideMark/>
          </w:tcPr>
          <w:p w14:paraId="62FBD62A" w14:textId="77777777" w:rsidR="0058789F" w:rsidRPr="00076317" w:rsidRDefault="0058789F" w:rsidP="00254C0B">
            <w:pPr>
              <w:pStyle w:val="TableBodyText"/>
            </w:pPr>
            <w:r w:rsidRPr="00076317">
              <w:t> </w:t>
            </w:r>
          </w:p>
        </w:tc>
        <w:tc>
          <w:tcPr>
            <w:tcW w:w="504" w:type="pct"/>
            <w:tcBorders>
              <w:top w:val="nil"/>
              <w:left w:val="nil"/>
              <w:bottom w:val="dotted" w:sz="4" w:space="0" w:color="auto"/>
              <w:right w:val="nil"/>
            </w:tcBorders>
            <w:shd w:val="clear" w:color="auto" w:fill="auto"/>
            <w:noWrap/>
            <w:hideMark/>
          </w:tcPr>
          <w:p w14:paraId="7253F138" w14:textId="77777777" w:rsidR="0058789F" w:rsidRPr="00254C0B" w:rsidRDefault="0058789F" w:rsidP="00254C0B">
            <w:pPr>
              <w:pStyle w:val="TableBodyText"/>
            </w:pPr>
            <w:r w:rsidRPr="00076317">
              <w:t> </w:t>
            </w:r>
          </w:p>
        </w:tc>
      </w:tr>
      <w:tr w:rsidR="0058789F" w:rsidRPr="00076317" w14:paraId="6B3B916A" w14:textId="77777777" w:rsidTr="00AD1066">
        <w:trPr>
          <w:trHeight w:val="300"/>
        </w:trPr>
        <w:tc>
          <w:tcPr>
            <w:tcW w:w="1215" w:type="pct"/>
            <w:tcBorders>
              <w:top w:val="nil"/>
              <w:left w:val="nil"/>
              <w:bottom w:val="dotted" w:sz="4" w:space="0" w:color="auto"/>
              <w:right w:val="nil"/>
            </w:tcBorders>
            <w:shd w:val="clear" w:color="auto" w:fill="auto"/>
            <w:noWrap/>
            <w:vAlign w:val="center"/>
            <w:hideMark/>
          </w:tcPr>
          <w:p w14:paraId="27D9D8F6" w14:textId="77777777" w:rsidR="0058789F" w:rsidRPr="00076317" w:rsidRDefault="0058789F" w:rsidP="00ED79A2">
            <w:pPr>
              <w:pStyle w:val="TableBodyText"/>
            </w:pPr>
            <w:r w:rsidRPr="00076317">
              <w:t>Provision of outputs</w:t>
            </w:r>
          </w:p>
        </w:tc>
        <w:tc>
          <w:tcPr>
            <w:tcW w:w="630" w:type="pct"/>
            <w:tcBorders>
              <w:top w:val="nil"/>
              <w:left w:val="nil"/>
              <w:bottom w:val="dotted" w:sz="4" w:space="0" w:color="auto"/>
              <w:right w:val="nil"/>
            </w:tcBorders>
            <w:shd w:val="clear" w:color="auto" w:fill="auto"/>
            <w:noWrap/>
            <w:vAlign w:val="center"/>
            <w:hideMark/>
          </w:tcPr>
          <w:p w14:paraId="6B650C5D" w14:textId="77777777" w:rsidR="0058789F" w:rsidRPr="00076317" w:rsidRDefault="0058789F" w:rsidP="007E78B5">
            <w:pPr>
              <w:pStyle w:val="TableBodyTextrightalign"/>
            </w:pPr>
            <w:r w:rsidRPr="00076317">
              <w:t>52,988</w:t>
            </w:r>
          </w:p>
        </w:tc>
        <w:tc>
          <w:tcPr>
            <w:tcW w:w="527" w:type="pct"/>
            <w:tcBorders>
              <w:top w:val="nil"/>
              <w:left w:val="nil"/>
              <w:bottom w:val="dotted" w:sz="4" w:space="0" w:color="auto"/>
              <w:right w:val="nil"/>
            </w:tcBorders>
            <w:shd w:val="clear" w:color="auto" w:fill="auto"/>
            <w:noWrap/>
            <w:vAlign w:val="center"/>
            <w:hideMark/>
          </w:tcPr>
          <w:p w14:paraId="1E983211" w14:textId="77777777" w:rsidR="0058789F" w:rsidRPr="00076317" w:rsidRDefault="0058789F" w:rsidP="007E78B5">
            <w:pPr>
              <w:pStyle w:val="TableBodyTextrightalign"/>
            </w:pPr>
            <w:r w:rsidRPr="00076317">
              <w:t>610</w:t>
            </w:r>
          </w:p>
        </w:tc>
        <w:tc>
          <w:tcPr>
            <w:tcW w:w="391" w:type="pct"/>
            <w:tcBorders>
              <w:top w:val="nil"/>
              <w:left w:val="nil"/>
              <w:bottom w:val="dotted" w:sz="4" w:space="0" w:color="auto"/>
              <w:right w:val="nil"/>
            </w:tcBorders>
            <w:shd w:val="clear" w:color="auto" w:fill="auto"/>
            <w:noWrap/>
            <w:vAlign w:val="center"/>
            <w:hideMark/>
          </w:tcPr>
          <w:p w14:paraId="4FC56767" w14:textId="77777777" w:rsidR="0058789F" w:rsidRPr="00076317" w:rsidRDefault="0058789F" w:rsidP="007E78B5">
            <w:pPr>
              <w:pStyle w:val="TableBodyTextrightalign"/>
            </w:pPr>
            <w:r>
              <w:t>–</w:t>
            </w:r>
          </w:p>
        </w:tc>
        <w:tc>
          <w:tcPr>
            <w:tcW w:w="415" w:type="pct"/>
            <w:tcBorders>
              <w:top w:val="nil"/>
              <w:left w:val="nil"/>
              <w:bottom w:val="dotted" w:sz="4" w:space="0" w:color="auto"/>
              <w:right w:val="nil"/>
            </w:tcBorders>
            <w:shd w:val="clear" w:color="auto" w:fill="auto"/>
            <w:noWrap/>
            <w:vAlign w:val="center"/>
            <w:hideMark/>
          </w:tcPr>
          <w:p w14:paraId="631CC138" w14:textId="77777777" w:rsidR="0058789F" w:rsidRPr="00076317" w:rsidRDefault="0058789F" w:rsidP="007E78B5">
            <w:pPr>
              <w:pStyle w:val="TableBodyTextrightalign"/>
            </w:pPr>
            <w:r>
              <w:t>–</w:t>
            </w:r>
          </w:p>
        </w:tc>
        <w:tc>
          <w:tcPr>
            <w:tcW w:w="642" w:type="pct"/>
            <w:tcBorders>
              <w:top w:val="nil"/>
              <w:left w:val="nil"/>
              <w:bottom w:val="dotted" w:sz="4" w:space="0" w:color="auto"/>
              <w:right w:val="nil"/>
            </w:tcBorders>
            <w:shd w:val="clear" w:color="auto" w:fill="auto"/>
            <w:noWrap/>
            <w:vAlign w:val="center"/>
            <w:hideMark/>
          </w:tcPr>
          <w:p w14:paraId="612D6346" w14:textId="77777777" w:rsidR="0058789F" w:rsidRPr="00076317" w:rsidRDefault="0058789F" w:rsidP="007E78B5">
            <w:pPr>
              <w:pStyle w:val="TableBodyTextrightalign"/>
            </w:pPr>
            <w:r w:rsidRPr="00076317">
              <w:t>53,598</w:t>
            </w:r>
          </w:p>
        </w:tc>
        <w:tc>
          <w:tcPr>
            <w:tcW w:w="676" w:type="pct"/>
            <w:tcBorders>
              <w:top w:val="nil"/>
              <w:left w:val="nil"/>
              <w:bottom w:val="dotted" w:sz="4" w:space="0" w:color="auto"/>
              <w:right w:val="nil"/>
            </w:tcBorders>
            <w:shd w:val="clear" w:color="auto" w:fill="auto"/>
            <w:noWrap/>
            <w:vAlign w:val="center"/>
            <w:hideMark/>
          </w:tcPr>
          <w:p w14:paraId="25465DC8" w14:textId="77777777" w:rsidR="0058789F" w:rsidRPr="00076317" w:rsidRDefault="0058789F" w:rsidP="007E78B5">
            <w:pPr>
              <w:pStyle w:val="TableBodyTextrightalign"/>
            </w:pPr>
            <w:r w:rsidRPr="00076317">
              <w:t>53,598</w:t>
            </w:r>
          </w:p>
        </w:tc>
        <w:tc>
          <w:tcPr>
            <w:tcW w:w="504" w:type="pct"/>
            <w:tcBorders>
              <w:top w:val="nil"/>
              <w:left w:val="nil"/>
              <w:bottom w:val="dotted" w:sz="4" w:space="0" w:color="auto"/>
              <w:right w:val="nil"/>
            </w:tcBorders>
            <w:shd w:val="clear" w:color="auto" w:fill="auto"/>
            <w:noWrap/>
            <w:vAlign w:val="center"/>
            <w:hideMark/>
          </w:tcPr>
          <w:p w14:paraId="178883F8" w14:textId="77777777" w:rsidR="0058789F" w:rsidRPr="00076317" w:rsidRDefault="0058789F" w:rsidP="007E78B5">
            <w:pPr>
              <w:pStyle w:val="TableBodyTextrightalign"/>
            </w:pPr>
            <w:r>
              <w:t>–</w:t>
            </w:r>
          </w:p>
        </w:tc>
      </w:tr>
      <w:tr w:rsidR="0058789F" w:rsidRPr="00076317" w14:paraId="700A69AE" w14:textId="77777777" w:rsidTr="00AD1066">
        <w:trPr>
          <w:trHeight w:val="315"/>
        </w:trPr>
        <w:tc>
          <w:tcPr>
            <w:tcW w:w="1215" w:type="pct"/>
            <w:tcBorders>
              <w:top w:val="nil"/>
              <w:left w:val="nil"/>
              <w:bottom w:val="dotted" w:sz="4" w:space="0" w:color="auto"/>
              <w:right w:val="nil"/>
            </w:tcBorders>
            <w:shd w:val="clear" w:color="auto" w:fill="auto"/>
            <w:noWrap/>
            <w:vAlign w:val="center"/>
            <w:hideMark/>
          </w:tcPr>
          <w:p w14:paraId="674684EB" w14:textId="77777777" w:rsidR="0058789F" w:rsidRPr="00076317" w:rsidRDefault="0058789F" w:rsidP="00ED79A2">
            <w:pPr>
              <w:pStyle w:val="TableBodyText"/>
            </w:pPr>
            <w:r w:rsidRPr="00076317">
              <w:t>Additions to net asset base</w:t>
            </w:r>
          </w:p>
        </w:tc>
        <w:tc>
          <w:tcPr>
            <w:tcW w:w="630" w:type="pct"/>
            <w:tcBorders>
              <w:top w:val="nil"/>
              <w:left w:val="nil"/>
              <w:bottom w:val="dotted" w:sz="4" w:space="0" w:color="auto"/>
              <w:right w:val="nil"/>
            </w:tcBorders>
            <w:shd w:val="clear" w:color="auto" w:fill="auto"/>
            <w:noWrap/>
            <w:vAlign w:val="center"/>
            <w:hideMark/>
          </w:tcPr>
          <w:p w14:paraId="17661D7D" w14:textId="77777777" w:rsidR="0058789F" w:rsidRPr="00076317" w:rsidRDefault="0058789F" w:rsidP="007E78B5">
            <w:pPr>
              <w:pStyle w:val="TableBodyTextrightalign"/>
            </w:pPr>
            <w:r>
              <w:t>–</w:t>
            </w:r>
          </w:p>
        </w:tc>
        <w:tc>
          <w:tcPr>
            <w:tcW w:w="527" w:type="pct"/>
            <w:tcBorders>
              <w:top w:val="nil"/>
              <w:left w:val="nil"/>
              <w:bottom w:val="dotted" w:sz="4" w:space="0" w:color="auto"/>
              <w:right w:val="nil"/>
            </w:tcBorders>
            <w:shd w:val="clear" w:color="auto" w:fill="auto"/>
            <w:noWrap/>
            <w:vAlign w:val="center"/>
            <w:hideMark/>
          </w:tcPr>
          <w:p w14:paraId="43861063" w14:textId="77777777" w:rsidR="0058789F" w:rsidRPr="00076317" w:rsidRDefault="0058789F" w:rsidP="007E78B5">
            <w:pPr>
              <w:pStyle w:val="TableBodyTextrightalign"/>
            </w:pPr>
            <w:r>
              <w:t>–</w:t>
            </w:r>
          </w:p>
        </w:tc>
        <w:tc>
          <w:tcPr>
            <w:tcW w:w="391" w:type="pct"/>
            <w:tcBorders>
              <w:top w:val="nil"/>
              <w:left w:val="nil"/>
              <w:bottom w:val="dotted" w:sz="4" w:space="0" w:color="auto"/>
              <w:right w:val="nil"/>
            </w:tcBorders>
            <w:shd w:val="clear" w:color="auto" w:fill="auto"/>
            <w:noWrap/>
            <w:vAlign w:val="center"/>
            <w:hideMark/>
          </w:tcPr>
          <w:p w14:paraId="092F86DA" w14:textId="77777777" w:rsidR="0058789F" w:rsidRPr="00076317" w:rsidRDefault="0058789F" w:rsidP="007E78B5">
            <w:pPr>
              <w:pStyle w:val="TableBodyTextrightalign"/>
            </w:pPr>
            <w:r>
              <w:t>–</w:t>
            </w:r>
          </w:p>
        </w:tc>
        <w:tc>
          <w:tcPr>
            <w:tcW w:w="415" w:type="pct"/>
            <w:tcBorders>
              <w:top w:val="nil"/>
              <w:left w:val="nil"/>
              <w:bottom w:val="dotted" w:sz="4" w:space="0" w:color="auto"/>
              <w:right w:val="nil"/>
            </w:tcBorders>
            <w:shd w:val="clear" w:color="auto" w:fill="auto"/>
            <w:noWrap/>
            <w:vAlign w:val="center"/>
            <w:hideMark/>
          </w:tcPr>
          <w:p w14:paraId="7F550759" w14:textId="77777777" w:rsidR="0058789F" w:rsidRPr="00076317" w:rsidRDefault="0058789F" w:rsidP="007E78B5">
            <w:pPr>
              <w:pStyle w:val="TableBodyTextrightalign"/>
            </w:pPr>
            <w:r>
              <w:t>–</w:t>
            </w:r>
          </w:p>
        </w:tc>
        <w:tc>
          <w:tcPr>
            <w:tcW w:w="642" w:type="pct"/>
            <w:tcBorders>
              <w:top w:val="nil"/>
              <w:left w:val="nil"/>
              <w:bottom w:val="dotted" w:sz="4" w:space="0" w:color="auto"/>
              <w:right w:val="nil"/>
            </w:tcBorders>
            <w:shd w:val="clear" w:color="auto" w:fill="auto"/>
            <w:noWrap/>
            <w:vAlign w:val="center"/>
            <w:hideMark/>
          </w:tcPr>
          <w:p w14:paraId="7C07DD56" w14:textId="77777777" w:rsidR="0058789F" w:rsidRPr="00076317" w:rsidRDefault="0058789F" w:rsidP="007E78B5">
            <w:pPr>
              <w:pStyle w:val="TableBodyTextrightalign"/>
            </w:pPr>
            <w:r>
              <w:t>–</w:t>
            </w:r>
          </w:p>
        </w:tc>
        <w:tc>
          <w:tcPr>
            <w:tcW w:w="676" w:type="pct"/>
            <w:tcBorders>
              <w:top w:val="nil"/>
              <w:left w:val="nil"/>
              <w:bottom w:val="dotted" w:sz="4" w:space="0" w:color="auto"/>
              <w:right w:val="nil"/>
            </w:tcBorders>
            <w:shd w:val="clear" w:color="auto" w:fill="auto"/>
            <w:noWrap/>
            <w:vAlign w:val="center"/>
            <w:hideMark/>
          </w:tcPr>
          <w:p w14:paraId="54C31DC2" w14:textId="77777777" w:rsidR="0058789F" w:rsidRPr="00076317" w:rsidRDefault="0058789F" w:rsidP="007E78B5">
            <w:pPr>
              <w:pStyle w:val="TableBodyTextrightalign"/>
            </w:pPr>
            <w:r>
              <w:t>–</w:t>
            </w:r>
          </w:p>
        </w:tc>
        <w:tc>
          <w:tcPr>
            <w:tcW w:w="504" w:type="pct"/>
            <w:tcBorders>
              <w:top w:val="nil"/>
              <w:left w:val="nil"/>
              <w:bottom w:val="dotted" w:sz="4" w:space="0" w:color="auto"/>
              <w:right w:val="nil"/>
            </w:tcBorders>
            <w:shd w:val="clear" w:color="auto" w:fill="auto"/>
            <w:noWrap/>
            <w:vAlign w:val="center"/>
            <w:hideMark/>
          </w:tcPr>
          <w:p w14:paraId="5C597C82" w14:textId="77777777" w:rsidR="0058789F" w:rsidRPr="00076317" w:rsidRDefault="0058789F" w:rsidP="007E78B5">
            <w:pPr>
              <w:pStyle w:val="TableBodyTextrightalign"/>
            </w:pPr>
            <w:r>
              <w:t>–</w:t>
            </w:r>
          </w:p>
        </w:tc>
      </w:tr>
      <w:tr w:rsidR="0058789F" w:rsidRPr="00076317" w14:paraId="3BB1F9FB" w14:textId="77777777" w:rsidTr="00AD1066">
        <w:trPr>
          <w:trHeight w:val="315"/>
        </w:trPr>
        <w:tc>
          <w:tcPr>
            <w:tcW w:w="1215" w:type="pct"/>
            <w:tcBorders>
              <w:top w:val="dotted" w:sz="4" w:space="0" w:color="auto"/>
              <w:left w:val="nil"/>
              <w:bottom w:val="single" w:sz="4" w:space="0" w:color="auto"/>
              <w:right w:val="nil"/>
            </w:tcBorders>
            <w:shd w:val="clear" w:color="auto" w:fill="auto"/>
            <w:noWrap/>
            <w:vAlign w:val="center"/>
            <w:hideMark/>
          </w:tcPr>
          <w:p w14:paraId="5A852BF9" w14:textId="77777777" w:rsidR="0058789F" w:rsidRPr="007E78B5" w:rsidRDefault="0058789F" w:rsidP="007E78B5">
            <w:pPr>
              <w:pStyle w:val="TableBodyText"/>
              <w:rPr>
                <w:rStyle w:val="Characterbold"/>
              </w:rPr>
            </w:pPr>
            <w:r w:rsidRPr="007E78B5">
              <w:rPr>
                <w:rStyle w:val="Characterbold"/>
              </w:rPr>
              <w:t>Total</w:t>
            </w:r>
          </w:p>
        </w:tc>
        <w:tc>
          <w:tcPr>
            <w:tcW w:w="630" w:type="pct"/>
            <w:tcBorders>
              <w:top w:val="dotted" w:sz="4" w:space="0" w:color="auto"/>
              <w:left w:val="nil"/>
              <w:bottom w:val="single" w:sz="4" w:space="0" w:color="auto"/>
              <w:right w:val="nil"/>
            </w:tcBorders>
            <w:shd w:val="clear" w:color="auto" w:fill="auto"/>
            <w:noWrap/>
            <w:vAlign w:val="center"/>
            <w:hideMark/>
          </w:tcPr>
          <w:p w14:paraId="41F4E1B9" w14:textId="77777777" w:rsidR="0058789F" w:rsidRPr="007211D6" w:rsidRDefault="0058789F" w:rsidP="007211D6">
            <w:pPr>
              <w:pStyle w:val="TableBodyTextrightalign"/>
              <w:rPr>
                <w:rStyle w:val="Characterbold"/>
              </w:rPr>
            </w:pPr>
            <w:r w:rsidRPr="007211D6">
              <w:rPr>
                <w:rStyle w:val="Characterbold"/>
              </w:rPr>
              <w:t>52,988</w:t>
            </w:r>
          </w:p>
        </w:tc>
        <w:tc>
          <w:tcPr>
            <w:tcW w:w="527" w:type="pct"/>
            <w:tcBorders>
              <w:top w:val="dotted" w:sz="4" w:space="0" w:color="auto"/>
              <w:left w:val="nil"/>
              <w:bottom w:val="single" w:sz="4" w:space="0" w:color="auto"/>
              <w:right w:val="nil"/>
            </w:tcBorders>
            <w:shd w:val="clear" w:color="auto" w:fill="auto"/>
            <w:noWrap/>
            <w:vAlign w:val="center"/>
            <w:hideMark/>
          </w:tcPr>
          <w:p w14:paraId="6A84501E" w14:textId="77777777" w:rsidR="0058789F" w:rsidRPr="007211D6" w:rsidRDefault="0058789F" w:rsidP="007211D6">
            <w:pPr>
              <w:pStyle w:val="TableBodyTextrightalign"/>
              <w:rPr>
                <w:rStyle w:val="Characterbold"/>
              </w:rPr>
            </w:pPr>
            <w:r w:rsidRPr="007211D6">
              <w:rPr>
                <w:rStyle w:val="Characterbold"/>
              </w:rPr>
              <w:t>610</w:t>
            </w:r>
          </w:p>
        </w:tc>
        <w:tc>
          <w:tcPr>
            <w:tcW w:w="391" w:type="pct"/>
            <w:tcBorders>
              <w:top w:val="dotted" w:sz="4" w:space="0" w:color="auto"/>
              <w:left w:val="nil"/>
              <w:bottom w:val="single" w:sz="4" w:space="0" w:color="auto"/>
              <w:right w:val="nil"/>
            </w:tcBorders>
            <w:shd w:val="clear" w:color="auto" w:fill="auto"/>
            <w:noWrap/>
            <w:vAlign w:val="center"/>
            <w:hideMark/>
          </w:tcPr>
          <w:p w14:paraId="71028DE6" w14:textId="77777777" w:rsidR="0058789F" w:rsidRPr="007211D6" w:rsidRDefault="0058789F" w:rsidP="007211D6">
            <w:pPr>
              <w:pStyle w:val="TableBodyTextrightalign"/>
              <w:rPr>
                <w:rStyle w:val="Characterbold"/>
              </w:rPr>
            </w:pPr>
            <w:r w:rsidRPr="007211D6">
              <w:rPr>
                <w:rStyle w:val="Characterbold"/>
              </w:rPr>
              <w:t>–</w:t>
            </w:r>
          </w:p>
        </w:tc>
        <w:tc>
          <w:tcPr>
            <w:tcW w:w="415" w:type="pct"/>
            <w:tcBorders>
              <w:top w:val="dotted" w:sz="4" w:space="0" w:color="auto"/>
              <w:left w:val="nil"/>
              <w:bottom w:val="single" w:sz="4" w:space="0" w:color="auto"/>
              <w:right w:val="nil"/>
            </w:tcBorders>
            <w:shd w:val="clear" w:color="auto" w:fill="auto"/>
            <w:noWrap/>
            <w:vAlign w:val="center"/>
            <w:hideMark/>
          </w:tcPr>
          <w:p w14:paraId="0A0AAC31" w14:textId="77777777" w:rsidR="0058789F" w:rsidRPr="007211D6" w:rsidRDefault="0058789F" w:rsidP="007211D6">
            <w:pPr>
              <w:pStyle w:val="TableBodyTextrightalign"/>
              <w:rPr>
                <w:rStyle w:val="Characterbold"/>
              </w:rPr>
            </w:pPr>
            <w:r w:rsidRPr="007211D6">
              <w:rPr>
                <w:rStyle w:val="Characterbold"/>
              </w:rPr>
              <w:t>–</w:t>
            </w:r>
          </w:p>
        </w:tc>
        <w:tc>
          <w:tcPr>
            <w:tcW w:w="642" w:type="pct"/>
            <w:tcBorders>
              <w:top w:val="dotted" w:sz="4" w:space="0" w:color="auto"/>
              <w:left w:val="nil"/>
              <w:bottom w:val="single" w:sz="4" w:space="0" w:color="auto"/>
              <w:right w:val="nil"/>
            </w:tcBorders>
            <w:shd w:val="clear" w:color="auto" w:fill="auto"/>
            <w:noWrap/>
            <w:vAlign w:val="center"/>
            <w:hideMark/>
          </w:tcPr>
          <w:p w14:paraId="567C7C30" w14:textId="77777777" w:rsidR="0058789F" w:rsidRPr="007211D6" w:rsidRDefault="0058789F" w:rsidP="007211D6">
            <w:pPr>
              <w:pStyle w:val="TableBodyTextrightalign"/>
              <w:rPr>
                <w:rStyle w:val="Characterbold"/>
              </w:rPr>
            </w:pPr>
            <w:r w:rsidRPr="007211D6">
              <w:rPr>
                <w:rStyle w:val="Characterbold"/>
              </w:rPr>
              <w:t>53,598</w:t>
            </w:r>
          </w:p>
        </w:tc>
        <w:tc>
          <w:tcPr>
            <w:tcW w:w="676" w:type="pct"/>
            <w:tcBorders>
              <w:top w:val="dotted" w:sz="4" w:space="0" w:color="auto"/>
              <w:left w:val="nil"/>
              <w:bottom w:val="single" w:sz="4" w:space="0" w:color="auto"/>
              <w:right w:val="nil"/>
            </w:tcBorders>
            <w:shd w:val="clear" w:color="auto" w:fill="auto"/>
            <w:noWrap/>
            <w:vAlign w:val="center"/>
            <w:hideMark/>
          </w:tcPr>
          <w:p w14:paraId="00B5139C" w14:textId="77777777" w:rsidR="0058789F" w:rsidRPr="007211D6" w:rsidRDefault="0058789F" w:rsidP="007211D6">
            <w:pPr>
              <w:pStyle w:val="TableBodyTextrightalign"/>
              <w:rPr>
                <w:rStyle w:val="Characterbold"/>
              </w:rPr>
            </w:pPr>
            <w:r w:rsidRPr="007211D6">
              <w:rPr>
                <w:rStyle w:val="Characterbold"/>
              </w:rPr>
              <w:t>53,598</w:t>
            </w:r>
          </w:p>
        </w:tc>
        <w:tc>
          <w:tcPr>
            <w:tcW w:w="504" w:type="pct"/>
            <w:tcBorders>
              <w:top w:val="dotted" w:sz="4" w:space="0" w:color="auto"/>
              <w:left w:val="nil"/>
              <w:bottom w:val="single" w:sz="4" w:space="0" w:color="auto"/>
              <w:right w:val="nil"/>
            </w:tcBorders>
            <w:shd w:val="clear" w:color="auto" w:fill="auto"/>
            <w:noWrap/>
            <w:vAlign w:val="center"/>
            <w:hideMark/>
          </w:tcPr>
          <w:p w14:paraId="3DBDF6CD" w14:textId="77777777" w:rsidR="0058789F" w:rsidRPr="007211D6" w:rsidRDefault="0058789F" w:rsidP="007211D6">
            <w:pPr>
              <w:pStyle w:val="TableBodyTextrightalign"/>
              <w:rPr>
                <w:rStyle w:val="Characterbold"/>
              </w:rPr>
            </w:pPr>
            <w:r w:rsidRPr="007211D6">
              <w:rPr>
                <w:rStyle w:val="Characterbold"/>
              </w:rPr>
              <w:t>–</w:t>
            </w:r>
          </w:p>
        </w:tc>
      </w:tr>
    </w:tbl>
    <w:p w14:paraId="35CFD984" w14:textId="538AFD9A" w:rsidR="0058789F" w:rsidRDefault="009057FB" w:rsidP="0058789F">
      <w:pPr>
        <w:pStyle w:val="TableNote"/>
      </w:pPr>
      <w:bookmarkStart w:id="169" w:name="_Ref120788257"/>
      <w:r>
        <w:t>Note</w:t>
      </w:r>
      <w:r w:rsidR="0058789F">
        <w:t xml:space="preserve"> </w:t>
      </w:r>
    </w:p>
    <w:p w14:paraId="01D873CD" w14:textId="6536B1F1" w:rsidR="0058789F" w:rsidRPr="00152A3A" w:rsidRDefault="0058789F" w:rsidP="0058789F">
      <w:pPr>
        <w:pStyle w:val="TableNote"/>
      </w:pPr>
      <w:r>
        <w:t>The variance relates to Treasurer’s approval of a transfer of $600,000 from operating to capital funding over two years under sections 30 and 32 of the FM</w:t>
      </w:r>
      <w:r w:rsidR="003C3938">
        <w:t xml:space="preserve"> </w:t>
      </w:r>
      <w:r>
        <w:t>A</w:t>
      </w:r>
      <w:r w:rsidR="003C3938">
        <w:t>ct</w:t>
      </w:r>
      <w:r>
        <w:t>. The total a</w:t>
      </w:r>
      <w:r w:rsidRPr="00DC5E26">
        <w:t xml:space="preserve">dditions </w:t>
      </w:r>
      <w:r>
        <w:t xml:space="preserve">to </w:t>
      </w:r>
      <w:r w:rsidRPr="00DC5E26">
        <w:t>net asset base</w:t>
      </w:r>
      <w:r>
        <w:t xml:space="preserve"> for 2022/23 include $120,000 approved for 2022/23 and the remaining $480,000 will be applied in 2023/24.</w:t>
      </w:r>
    </w:p>
    <w:p w14:paraId="67DF2097" w14:textId="77777777" w:rsidR="0058789F" w:rsidRPr="007211D6" w:rsidRDefault="0058789F" w:rsidP="007211D6">
      <w:pPr>
        <w:pStyle w:val="BodyText"/>
      </w:pPr>
      <w:r>
        <w:br w:type="page"/>
      </w:r>
    </w:p>
    <w:p w14:paraId="75F225A2" w14:textId="77777777" w:rsidR="0058789F" w:rsidRPr="00B570E6" w:rsidRDefault="0058789F" w:rsidP="0058789F">
      <w:pPr>
        <w:pStyle w:val="NotesHeading1"/>
        <w:numPr>
          <w:ilvl w:val="0"/>
          <w:numId w:val="22"/>
        </w:numPr>
      </w:pPr>
      <w:r w:rsidRPr="00B570E6">
        <w:t>The cost of delivering services</w:t>
      </w:r>
      <w:bookmarkEnd w:id="169"/>
    </w:p>
    <w:p w14:paraId="659AB475" w14:textId="77777777" w:rsidR="0058789F" w:rsidRPr="00903085" w:rsidRDefault="0058789F" w:rsidP="0058789F">
      <w:pPr>
        <w:pStyle w:val="BodyText"/>
      </w:pPr>
      <w:r w:rsidRPr="00903085">
        <w:t xml:space="preserve">This section provides an account of the expenses incurred by IBAC in delivering services and outputs. In </w:t>
      </w:r>
      <w:r>
        <w:t xml:space="preserve">Note </w:t>
      </w:r>
      <w:r>
        <w:fldChar w:fldCharType="begin"/>
      </w:r>
      <w:r>
        <w:instrText xml:space="preserve"> REF _Ref82091474 \r \h </w:instrText>
      </w:r>
      <w:r>
        <w:fldChar w:fldCharType="separate"/>
      </w:r>
      <w:r>
        <w:t>1</w:t>
      </w:r>
      <w:r>
        <w:fldChar w:fldCharType="end"/>
      </w:r>
      <w:r w:rsidRPr="00903085">
        <w:t>, the funds that enable the provision of services were disclosed and, in this note, the cost</w:t>
      </w:r>
      <w:r>
        <w:t>s</w:t>
      </w:r>
      <w:r w:rsidRPr="00903085">
        <w:t xml:space="preserve"> associated with provision of services are recorded.</w:t>
      </w:r>
    </w:p>
    <w:p w14:paraId="41726AFC" w14:textId="77777777" w:rsidR="0058789F" w:rsidRDefault="0058789F" w:rsidP="003345B2">
      <w:pPr>
        <w:pStyle w:val="NotesHeading2"/>
      </w:pPr>
      <w:bookmarkStart w:id="170" w:name="_Ref82070610"/>
      <w:bookmarkStart w:id="171" w:name="_Ref149164402"/>
      <w:r w:rsidRPr="001541AB">
        <w:t>Expenses</w:t>
      </w:r>
      <w:r>
        <w:t xml:space="preserve"> incurred in </w:t>
      </w:r>
      <w:r w:rsidRPr="006F399C">
        <w:t>the</w:t>
      </w:r>
      <w:r>
        <w:t xml:space="preserve"> delivery of services</w:t>
      </w:r>
      <w:bookmarkEnd w:id="170"/>
      <w:bookmarkEnd w:id="171"/>
    </w:p>
    <w:p w14:paraId="5D7F242E" w14:textId="77777777" w:rsidR="0058789F" w:rsidRDefault="0058789F" w:rsidP="006F399C">
      <w:pPr>
        <w:pStyle w:val="NotesHeading3"/>
      </w:pPr>
      <w:r w:rsidRPr="00E3621C">
        <w:t xml:space="preserve">Employee benefits in the comprehensive operating </w:t>
      </w:r>
      <w:r w:rsidRPr="006F399C">
        <w:t>statement</w:t>
      </w:r>
    </w:p>
    <w:tbl>
      <w:tblPr>
        <w:tblStyle w:val="CustomTabledetailed"/>
        <w:tblW w:w="5000" w:type="pct"/>
        <w:tblLook w:val="0660" w:firstRow="1" w:lastRow="1" w:firstColumn="0" w:lastColumn="0" w:noHBand="1" w:noVBand="1"/>
      </w:tblPr>
      <w:tblGrid>
        <w:gridCol w:w="1678"/>
        <w:gridCol w:w="2320"/>
        <w:gridCol w:w="1677"/>
        <w:gridCol w:w="1677"/>
        <w:gridCol w:w="1675"/>
      </w:tblGrid>
      <w:tr w:rsidR="006F399C" w:rsidRPr="00E53B3D" w14:paraId="11A8E301" w14:textId="77777777" w:rsidTr="006F399C">
        <w:trPr>
          <w:cnfStyle w:val="100000000000" w:firstRow="1" w:lastRow="0" w:firstColumn="0" w:lastColumn="0" w:oddVBand="0" w:evenVBand="0" w:oddHBand="0" w:evenHBand="0" w:firstRowFirstColumn="0" w:firstRowLastColumn="0" w:lastRowFirstColumn="0" w:lastRowLastColumn="0"/>
          <w:trHeight w:val="300"/>
        </w:trPr>
        <w:tc>
          <w:tcPr>
            <w:tcW w:w="2214" w:type="pct"/>
            <w:gridSpan w:val="2"/>
            <w:noWrap/>
            <w:hideMark/>
          </w:tcPr>
          <w:p w14:paraId="719BE25B" w14:textId="77777777" w:rsidR="006F399C" w:rsidRPr="00E53B3D" w:rsidRDefault="006F399C" w:rsidP="00AD1066">
            <w:pPr>
              <w:pStyle w:val="TableHeading1"/>
            </w:pPr>
            <w:r w:rsidRPr="00E53B3D">
              <w:t> </w:t>
            </w:r>
          </w:p>
        </w:tc>
        <w:tc>
          <w:tcPr>
            <w:tcW w:w="929" w:type="pct"/>
          </w:tcPr>
          <w:p w14:paraId="3A468B2C" w14:textId="77777777" w:rsidR="006F399C" w:rsidRPr="00E53B3D" w:rsidRDefault="006F399C" w:rsidP="00AD1066">
            <w:pPr>
              <w:pStyle w:val="TableHeading3rightalign"/>
            </w:pPr>
          </w:p>
        </w:tc>
        <w:tc>
          <w:tcPr>
            <w:tcW w:w="929" w:type="pct"/>
            <w:noWrap/>
            <w:hideMark/>
          </w:tcPr>
          <w:p w14:paraId="0447C19C" w14:textId="330DFA42" w:rsidR="006F399C" w:rsidRDefault="006F399C" w:rsidP="00AD1066">
            <w:pPr>
              <w:pStyle w:val="TableHeading3rightalign"/>
            </w:pPr>
            <w:r w:rsidRPr="00E53B3D">
              <w:t>202</w:t>
            </w:r>
            <w:r>
              <w:t>3</w:t>
            </w:r>
          </w:p>
          <w:p w14:paraId="4FDB3D96" w14:textId="77777777" w:rsidR="006F399C" w:rsidRPr="00E53B3D" w:rsidRDefault="006F399C" w:rsidP="00AD1066">
            <w:pPr>
              <w:pStyle w:val="TableHeading3rightalign"/>
            </w:pPr>
            <w:r>
              <w:t>(</w:t>
            </w:r>
            <w:r w:rsidRPr="00C13377">
              <w:t>$’000</w:t>
            </w:r>
            <w:r>
              <w:t>)</w:t>
            </w:r>
          </w:p>
        </w:tc>
        <w:tc>
          <w:tcPr>
            <w:tcW w:w="928" w:type="pct"/>
            <w:noWrap/>
            <w:hideMark/>
          </w:tcPr>
          <w:p w14:paraId="28D67B03" w14:textId="77777777" w:rsidR="006F399C" w:rsidRDefault="006F399C" w:rsidP="00AD1066">
            <w:pPr>
              <w:pStyle w:val="TableHeading3rightalign"/>
            </w:pPr>
            <w:r w:rsidRPr="00E53B3D">
              <w:t>202</w:t>
            </w:r>
            <w:r>
              <w:t>2</w:t>
            </w:r>
          </w:p>
          <w:p w14:paraId="4739DB8F" w14:textId="77777777" w:rsidR="006F399C" w:rsidRPr="00E53B3D" w:rsidRDefault="006F399C" w:rsidP="00AD1066">
            <w:pPr>
              <w:pStyle w:val="TableHeading3rightalign"/>
            </w:pPr>
            <w:r>
              <w:t>(</w:t>
            </w:r>
            <w:r w:rsidRPr="00C13377">
              <w:t>$’000</w:t>
            </w:r>
            <w:r>
              <w:t>)</w:t>
            </w:r>
          </w:p>
        </w:tc>
      </w:tr>
      <w:tr w:rsidR="006F399C" w:rsidRPr="00E53B3D" w14:paraId="4383BFA7" w14:textId="77777777" w:rsidTr="006F399C">
        <w:trPr>
          <w:trHeight w:val="300"/>
        </w:trPr>
        <w:tc>
          <w:tcPr>
            <w:tcW w:w="929" w:type="pct"/>
          </w:tcPr>
          <w:p w14:paraId="5C4A1FC0" w14:textId="77777777" w:rsidR="006F399C" w:rsidRDefault="006F399C" w:rsidP="00AD1066">
            <w:pPr>
              <w:pStyle w:val="TableBodyTextsmall"/>
            </w:pPr>
          </w:p>
        </w:tc>
        <w:tc>
          <w:tcPr>
            <w:tcW w:w="4071" w:type="pct"/>
            <w:gridSpan w:val="4"/>
            <w:noWrap/>
            <w:hideMark/>
          </w:tcPr>
          <w:p w14:paraId="17195FFA" w14:textId="3F55DE9E" w:rsidR="006F399C" w:rsidRPr="00E35127" w:rsidRDefault="006F399C" w:rsidP="00AD1066">
            <w:pPr>
              <w:pStyle w:val="TableBodyTextsmall"/>
            </w:pPr>
            <w:r>
              <w:t xml:space="preserve"> </w:t>
            </w:r>
          </w:p>
        </w:tc>
      </w:tr>
      <w:tr w:rsidR="006F399C" w:rsidRPr="00E53B3D" w14:paraId="00FC7B27" w14:textId="77777777" w:rsidTr="006F399C">
        <w:trPr>
          <w:trHeight w:val="300"/>
        </w:trPr>
        <w:tc>
          <w:tcPr>
            <w:tcW w:w="2214" w:type="pct"/>
            <w:gridSpan w:val="2"/>
            <w:noWrap/>
            <w:hideMark/>
          </w:tcPr>
          <w:p w14:paraId="305C4E99" w14:textId="77777777" w:rsidR="006F399C" w:rsidRPr="00E53B3D" w:rsidRDefault="006F399C" w:rsidP="00AD1066">
            <w:pPr>
              <w:pStyle w:val="TableBodyText"/>
            </w:pPr>
            <w:r w:rsidRPr="00E53B3D">
              <w:t xml:space="preserve">Salaries, wages </w:t>
            </w:r>
            <w:r>
              <w:t>and leave expenses</w:t>
            </w:r>
          </w:p>
        </w:tc>
        <w:tc>
          <w:tcPr>
            <w:tcW w:w="929" w:type="pct"/>
            <w:shd w:val="clear" w:color="auto" w:fill="F2F2F2" w:themeFill="background1" w:themeFillShade="F2"/>
          </w:tcPr>
          <w:p w14:paraId="7778A672" w14:textId="77777777" w:rsidR="006F399C" w:rsidRDefault="006F399C" w:rsidP="00AD1066">
            <w:pPr>
              <w:pStyle w:val="TableBodyTextrightalign"/>
            </w:pPr>
          </w:p>
        </w:tc>
        <w:tc>
          <w:tcPr>
            <w:tcW w:w="929" w:type="pct"/>
            <w:shd w:val="clear" w:color="auto" w:fill="F2F2F2" w:themeFill="background1" w:themeFillShade="F2"/>
            <w:noWrap/>
          </w:tcPr>
          <w:p w14:paraId="604010C2" w14:textId="22B0E61D" w:rsidR="006F399C" w:rsidRPr="00E53B3D" w:rsidRDefault="006F399C" w:rsidP="00AD1066">
            <w:pPr>
              <w:pStyle w:val="TableBodyTextrightalign"/>
            </w:pPr>
            <w:r>
              <w:t>35,496</w:t>
            </w:r>
          </w:p>
        </w:tc>
        <w:tc>
          <w:tcPr>
            <w:tcW w:w="928" w:type="pct"/>
            <w:noWrap/>
            <w:hideMark/>
          </w:tcPr>
          <w:p w14:paraId="14CFBFC4" w14:textId="77777777" w:rsidR="006F399C" w:rsidRPr="00E53B3D" w:rsidRDefault="006F399C" w:rsidP="00AD1066">
            <w:pPr>
              <w:pStyle w:val="TableBodyTextrightalign"/>
            </w:pPr>
            <w:r>
              <w:t>32,776</w:t>
            </w:r>
          </w:p>
        </w:tc>
      </w:tr>
      <w:tr w:rsidR="006F399C" w:rsidRPr="00E53B3D" w14:paraId="442179C6" w14:textId="77777777" w:rsidTr="006F399C">
        <w:trPr>
          <w:trHeight w:val="300"/>
        </w:trPr>
        <w:tc>
          <w:tcPr>
            <w:tcW w:w="2214" w:type="pct"/>
            <w:gridSpan w:val="2"/>
            <w:noWrap/>
            <w:hideMark/>
          </w:tcPr>
          <w:p w14:paraId="710D3C70" w14:textId="77777777" w:rsidR="006F399C" w:rsidRPr="00E53B3D" w:rsidRDefault="006F399C" w:rsidP="00AD1066">
            <w:pPr>
              <w:pStyle w:val="TableBodyText"/>
            </w:pPr>
            <w:r w:rsidRPr="00E53B3D">
              <w:t>Defined contribution superannuation expense</w:t>
            </w:r>
          </w:p>
        </w:tc>
        <w:tc>
          <w:tcPr>
            <w:tcW w:w="929" w:type="pct"/>
            <w:shd w:val="clear" w:color="auto" w:fill="F2F2F2" w:themeFill="background1" w:themeFillShade="F2"/>
          </w:tcPr>
          <w:p w14:paraId="261F5A15" w14:textId="77777777" w:rsidR="006F399C" w:rsidRDefault="006F399C" w:rsidP="00AD1066">
            <w:pPr>
              <w:pStyle w:val="TableBodyTextrightalign"/>
            </w:pPr>
          </w:p>
        </w:tc>
        <w:tc>
          <w:tcPr>
            <w:tcW w:w="929" w:type="pct"/>
            <w:shd w:val="clear" w:color="auto" w:fill="F2F2F2" w:themeFill="background1" w:themeFillShade="F2"/>
            <w:noWrap/>
          </w:tcPr>
          <w:p w14:paraId="23D49A83" w14:textId="6A96614B" w:rsidR="006F399C" w:rsidRPr="00E53B3D" w:rsidRDefault="006F399C" w:rsidP="00AD1066">
            <w:pPr>
              <w:pStyle w:val="TableBodyTextrightalign"/>
            </w:pPr>
            <w:r>
              <w:t>3,271</w:t>
            </w:r>
          </w:p>
        </w:tc>
        <w:tc>
          <w:tcPr>
            <w:tcW w:w="928" w:type="pct"/>
            <w:noWrap/>
            <w:hideMark/>
          </w:tcPr>
          <w:p w14:paraId="2E386257" w14:textId="77777777" w:rsidR="006F399C" w:rsidRPr="00E53B3D" w:rsidRDefault="006F399C" w:rsidP="00AD1066">
            <w:pPr>
              <w:pStyle w:val="TableBodyTextrightalign"/>
            </w:pPr>
            <w:r>
              <w:t>2,850</w:t>
            </w:r>
          </w:p>
        </w:tc>
      </w:tr>
      <w:tr w:rsidR="006F399C" w:rsidRPr="00E53B3D" w14:paraId="0B9B5DB1" w14:textId="77777777" w:rsidTr="006F399C">
        <w:trPr>
          <w:trHeight w:val="300"/>
        </w:trPr>
        <w:tc>
          <w:tcPr>
            <w:tcW w:w="2214" w:type="pct"/>
            <w:gridSpan w:val="2"/>
            <w:noWrap/>
            <w:hideMark/>
          </w:tcPr>
          <w:p w14:paraId="5349766C" w14:textId="77777777" w:rsidR="006F399C" w:rsidRPr="00E53B3D" w:rsidRDefault="006F399C" w:rsidP="00AD1066">
            <w:pPr>
              <w:pStyle w:val="TableBodyText"/>
            </w:pPr>
            <w:r w:rsidRPr="00E53B3D">
              <w:t>Termination benefits</w:t>
            </w:r>
          </w:p>
        </w:tc>
        <w:tc>
          <w:tcPr>
            <w:tcW w:w="929" w:type="pct"/>
            <w:shd w:val="clear" w:color="auto" w:fill="F2F2F2" w:themeFill="background1" w:themeFillShade="F2"/>
          </w:tcPr>
          <w:p w14:paraId="05ECE767" w14:textId="77777777" w:rsidR="006F399C" w:rsidRDefault="006F399C" w:rsidP="00AD1066">
            <w:pPr>
              <w:pStyle w:val="TableBodyTextrightalign"/>
            </w:pPr>
          </w:p>
        </w:tc>
        <w:tc>
          <w:tcPr>
            <w:tcW w:w="929" w:type="pct"/>
            <w:shd w:val="clear" w:color="auto" w:fill="F2F2F2" w:themeFill="background1" w:themeFillShade="F2"/>
            <w:noWrap/>
          </w:tcPr>
          <w:p w14:paraId="4450F0BD" w14:textId="1BCF9752" w:rsidR="006F399C" w:rsidRPr="00623E5E" w:rsidRDefault="006F399C" w:rsidP="00AD1066">
            <w:pPr>
              <w:pStyle w:val="TableBodyTextrightalign"/>
            </w:pPr>
            <w:r>
              <w:t>54</w:t>
            </w:r>
          </w:p>
        </w:tc>
        <w:tc>
          <w:tcPr>
            <w:tcW w:w="928" w:type="pct"/>
            <w:noWrap/>
            <w:hideMark/>
          </w:tcPr>
          <w:p w14:paraId="703064E3" w14:textId="77777777" w:rsidR="006F399C" w:rsidRPr="00623E5E" w:rsidRDefault="006F399C" w:rsidP="00AD1066">
            <w:pPr>
              <w:pStyle w:val="TableBodyTextrightalign"/>
            </w:pPr>
            <w:r>
              <w:t xml:space="preserve">122 </w:t>
            </w:r>
          </w:p>
        </w:tc>
      </w:tr>
      <w:tr w:rsidR="006F399C" w:rsidRPr="00E53B3D" w14:paraId="50657D81" w14:textId="77777777" w:rsidTr="006F399C">
        <w:trPr>
          <w:trHeight w:val="300"/>
        </w:trPr>
        <w:tc>
          <w:tcPr>
            <w:tcW w:w="2214" w:type="pct"/>
            <w:gridSpan w:val="2"/>
            <w:tcBorders>
              <w:bottom w:val="dotted" w:sz="4" w:space="0" w:color="auto"/>
            </w:tcBorders>
            <w:noWrap/>
            <w:hideMark/>
          </w:tcPr>
          <w:p w14:paraId="62660147" w14:textId="77777777" w:rsidR="006F399C" w:rsidRPr="00E53B3D" w:rsidRDefault="006F399C" w:rsidP="00AD1066">
            <w:pPr>
              <w:pStyle w:val="TableBodyText"/>
            </w:pPr>
            <w:r w:rsidRPr="00E53B3D">
              <w:t>Defined benefit superannuation expense</w:t>
            </w:r>
          </w:p>
        </w:tc>
        <w:tc>
          <w:tcPr>
            <w:tcW w:w="929" w:type="pct"/>
            <w:tcBorders>
              <w:bottom w:val="dotted" w:sz="4" w:space="0" w:color="auto"/>
            </w:tcBorders>
            <w:shd w:val="clear" w:color="auto" w:fill="F2F2F2" w:themeFill="background1" w:themeFillShade="F2"/>
          </w:tcPr>
          <w:p w14:paraId="0AC01C2F" w14:textId="77777777" w:rsidR="006F399C" w:rsidRDefault="006F399C" w:rsidP="00AD1066">
            <w:pPr>
              <w:pStyle w:val="TableBodyTextrightalign"/>
            </w:pPr>
          </w:p>
        </w:tc>
        <w:tc>
          <w:tcPr>
            <w:tcW w:w="929" w:type="pct"/>
            <w:tcBorders>
              <w:bottom w:val="dotted" w:sz="4" w:space="0" w:color="auto"/>
            </w:tcBorders>
            <w:shd w:val="clear" w:color="auto" w:fill="F2F2F2" w:themeFill="background1" w:themeFillShade="F2"/>
            <w:noWrap/>
          </w:tcPr>
          <w:p w14:paraId="7E4BE08C" w14:textId="6C762040" w:rsidR="006F399C" w:rsidRPr="00E53B3D" w:rsidRDefault="006F399C" w:rsidP="00AD1066">
            <w:pPr>
              <w:pStyle w:val="TableBodyTextrightalign"/>
            </w:pPr>
            <w:r>
              <w:t>16</w:t>
            </w:r>
          </w:p>
        </w:tc>
        <w:tc>
          <w:tcPr>
            <w:tcW w:w="928" w:type="pct"/>
            <w:tcBorders>
              <w:bottom w:val="dotted" w:sz="4" w:space="0" w:color="auto"/>
            </w:tcBorders>
            <w:noWrap/>
            <w:hideMark/>
          </w:tcPr>
          <w:p w14:paraId="3FF2604F" w14:textId="77777777" w:rsidR="006F399C" w:rsidRPr="00E53B3D" w:rsidRDefault="006F399C" w:rsidP="00AD1066">
            <w:pPr>
              <w:pStyle w:val="TableBodyTextrightalign"/>
            </w:pPr>
            <w:r>
              <w:t>14</w:t>
            </w:r>
          </w:p>
        </w:tc>
      </w:tr>
      <w:tr w:rsidR="006F399C" w:rsidRPr="00E53B3D" w14:paraId="531125A3" w14:textId="77777777" w:rsidTr="006F399C">
        <w:trPr>
          <w:cnfStyle w:val="010000000000" w:firstRow="0" w:lastRow="1" w:firstColumn="0" w:lastColumn="0" w:oddVBand="0" w:evenVBand="0" w:oddHBand="0" w:evenHBand="0" w:firstRowFirstColumn="0" w:firstRowLastColumn="0" w:lastRowFirstColumn="0" w:lastRowLastColumn="0"/>
          <w:trHeight w:val="315"/>
        </w:trPr>
        <w:tc>
          <w:tcPr>
            <w:tcW w:w="2214" w:type="pct"/>
            <w:gridSpan w:val="2"/>
            <w:tcBorders>
              <w:top w:val="dotted" w:sz="4" w:space="0" w:color="auto"/>
            </w:tcBorders>
            <w:noWrap/>
            <w:hideMark/>
          </w:tcPr>
          <w:p w14:paraId="608CB0A7" w14:textId="77777777" w:rsidR="006F399C" w:rsidRPr="00355504" w:rsidRDefault="006F399C" w:rsidP="00AD1066">
            <w:pPr>
              <w:pStyle w:val="TableBodyText"/>
            </w:pPr>
            <w:r w:rsidRPr="00355504">
              <w:t>Total employee expenses</w:t>
            </w:r>
          </w:p>
        </w:tc>
        <w:tc>
          <w:tcPr>
            <w:tcW w:w="929" w:type="pct"/>
            <w:tcBorders>
              <w:top w:val="dotted" w:sz="4" w:space="0" w:color="auto"/>
            </w:tcBorders>
            <w:shd w:val="clear" w:color="auto" w:fill="F2F2F2" w:themeFill="background1" w:themeFillShade="F2"/>
          </w:tcPr>
          <w:p w14:paraId="07210AA0" w14:textId="77777777" w:rsidR="006F399C" w:rsidRDefault="006F399C" w:rsidP="00AD1066">
            <w:pPr>
              <w:pStyle w:val="TableBodyTextrightalign"/>
            </w:pPr>
          </w:p>
        </w:tc>
        <w:tc>
          <w:tcPr>
            <w:tcW w:w="929" w:type="pct"/>
            <w:tcBorders>
              <w:top w:val="dotted" w:sz="4" w:space="0" w:color="auto"/>
            </w:tcBorders>
            <w:shd w:val="clear" w:color="auto" w:fill="F2F2F2" w:themeFill="background1" w:themeFillShade="F2"/>
            <w:noWrap/>
          </w:tcPr>
          <w:p w14:paraId="1061DB00" w14:textId="0705DDF7" w:rsidR="006F399C" w:rsidRPr="00355504" w:rsidRDefault="006F399C" w:rsidP="00AD1066">
            <w:pPr>
              <w:pStyle w:val="TableBodyTextrightalign"/>
            </w:pPr>
            <w:r>
              <w:t>38,837</w:t>
            </w:r>
          </w:p>
        </w:tc>
        <w:tc>
          <w:tcPr>
            <w:tcW w:w="928" w:type="pct"/>
            <w:tcBorders>
              <w:top w:val="dotted" w:sz="4" w:space="0" w:color="auto"/>
            </w:tcBorders>
            <w:noWrap/>
            <w:hideMark/>
          </w:tcPr>
          <w:p w14:paraId="151B4ACC" w14:textId="77777777" w:rsidR="006F399C" w:rsidRPr="00355504" w:rsidRDefault="006F399C" w:rsidP="00AD1066">
            <w:pPr>
              <w:pStyle w:val="TableBodyTextrightalign"/>
            </w:pPr>
            <w:r>
              <w:t>35,762</w:t>
            </w:r>
          </w:p>
        </w:tc>
      </w:tr>
    </w:tbl>
    <w:p w14:paraId="53DDBA87" w14:textId="77777777" w:rsidR="0058789F" w:rsidRDefault="0058789F" w:rsidP="0058789F">
      <w:pPr>
        <w:pStyle w:val="TableNote"/>
      </w:pPr>
    </w:p>
    <w:p w14:paraId="7C499E7D" w14:textId="77777777" w:rsidR="0058789F" w:rsidRDefault="0058789F" w:rsidP="0058789F">
      <w:pPr>
        <w:pStyle w:val="BodyText"/>
      </w:pPr>
      <w:r w:rsidRPr="004C1692">
        <w:t>Employee expenses include all costs related to employment</w:t>
      </w:r>
      <w:r>
        <w:t>,</w:t>
      </w:r>
      <w:r w:rsidRPr="004C1692">
        <w:t xml:space="preserve"> including wages and salaries, superannuation, f</w:t>
      </w:r>
      <w:r w:rsidRPr="00DB7D9F">
        <w:t>ringe benefits and payroll tax, leave entitlements, termination payments and Work</w:t>
      </w:r>
      <w:r>
        <w:t>C</w:t>
      </w:r>
      <w:r w:rsidRPr="00DB7D9F">
        <w:t>over premiums.</w:t>
      </w:r>
      <w:r w:rsidRPr="008274BC">
        <w:t xml:space="preserve"> Employee expenses are recognised in the period in which the employee expenses are incurred.</w:t>
      </w:r>
    </w:p>
    <w:p w14:paraId="2F520C42" w14:textId="77777777" w:rsidR="0058789F" w:rsidRPr="004C1692" w:rsidRDefault="0058789F" w:rsidP="0058789F">
      <w:pPr>
        <w:pStyle w:val="BodyText"/>
      </w:pPr>
      <w:r w:rsidRPr="004C1692">
        <w:t>Termination benefits are payable when employment is terminated before the normal retirement date, or when an employee accepts an offer of benefits in exchange for the termination of employment. Termination benefits are recognised when IBAC is either demonstrably committed to terminating the employment of current employees according to a detailed formal plan which has no possibility of withdrawal</w:t>
      </w:r>
      <w:r>
        <w:t xml:space="preserve"> or</w:t>
      </w:r>
      <w:r w:rsidRPr="004C1692">
        <w:t xml:space="preserve"> providing termination benefits because of an offer made to encourage voluntary redundancy.</w:t>
      </w:r>
    </w:p>
    <w:p w14:paraId="79AD1AB6" w14:textId="77777777" w:rsidR="0058789F" w:rsidRPr="00371E4C" w:rsidRDefault="0058789F" w:rsidP="006F399C">
      <w:pPr>
        <w:pStyle w:val="NotesHeading3"/>
      </w:pPr>
      <w:bookmarkStart w:id="172" w:name="_Ref82072579"/>
      <w:r w:rsidRPr="007211D6">
        <w:t xml:space="preserve"> </w:t>
      </w:r>
      <w:r w:rsidRPr="00371E4C">
        <w:t>Employee benefits in the balance sheet</w:t>
      </w:r>
      <w:bookmarkEnd w:id="172"/>
    </w:p>
    <w:p w14:paraId="00E6B70D" w14:textId="77777777" w:rsidR="0058789F" w:rsidRPr="004C1692" w:rsidRDefault="0058789F" w:rsidP="0058789F">
      <w:pPr>
        <w:pStyle w:val="BodyText"/>
      </w:pPr>
      <w:r w:rsidRPr="00957FA5">
        <w:t xml:space="preserve">Provision is made for benefits accruing to employees in respect of wages and salaries, annual leave and </w:t>
      </w:r>
      <w:r>
        <w:t xml:space="preserve">long service leave (LSL) </w:t>
      </w:r>
      <w:r w:rsidRPr="00957FA5">
        <w:t>for services rendered to the reporting date and recorded as an expense during the period the services are delivered. Assumptions for employee benefit provisions are made based on likely tenure of existing staff, patterns of leave claims, future salary movements and future discount rates.</w:t>
      </w:r>
    </w:p>
    <w:p w14:paraId="2E0915D0" w14:textId="77777777" w:rsidR="0058789F" w:rsidRDefault="0058789F" w:rsidP="0058789F">
      <w:pPr>
        <w:pStyle w:val="Caption"/>
      </w:pPr>
      <w:r>
        <w:t xml:space="preserve"> </w:t>
      </w:r>
    </w:p>
    <w:p w14:paraId="2D9686DC" w14:textId="77777777" w:rsidR="0058789F" w:rsidRDefault="0058789F" w:rsidP="0058789F">
      <w:pPr>
        <w:pStyle w:val="BodyText"/>
      </w:pPr>
    </w:p>
    <w:p w14:paraId="02C0710B" w14:textId="77777777" w:rsidR="0058789F" w:rsidRDefault="0058789F" w:rsidP="0058789F">
      <w:pPr>
        <w:pStyle w:val="BodyText"/>
      </w:pPr>
    </w:p>
    <w:p w14:paraId="2BBD56ED" w14:textId="77777777" w:rsidR="0058789F" w:rsidRDefault="0058789F" w:rsidP="0058789F">
      <w:pPr>
        <w:pStyle w:val="BodyText"/>
      </w:pPr>
    </w:p>
    <w:p w14:paraId="19BC8C78" w14:textId="77777777" w:rsidR="0058789F" w:rsidRDefault="0058789F" w:rsidP="0058789F">
      <w:pPr>
        <w:pStyle w:val="BodyText"/>
      </w:pPr>
    </w:p>
    <w:p w14:paraId="71659991" w14:textId="77777777" w:rsidR="0058789F" w:rsidRDefault="0058789F" w:rsidP="0058789F">
      <w:pPr>
        <w:pStyle w:val="BodyText"/>
      </w:pPr>
    </w:p>
    <w:p w14:paraId="61C13A2F" w14:textId="77777777" w:rsidR="0058789F" w:rsidRDefault="0058789F" w:rsidP="0058789F">
      <w:pPr>
        <w:pStyle w:val="BodyText"/>
      </w:pPr>
    </w:p>
    <w:p w14:paraId="4CE211E3" w14:textId="77777777" w:rsidR="0058789F" w:rsidRDefault="0058789F" w:rsidP="0058789F">
      <w:pPr>
        <w:pStyle w:val="BodyText"/>
      </w:pPr>
    </w:p>
    <w:tbl>
      <w:tblPr>
        <w:tblStyle w:val="CustomTabledetailed"/>
        <w:tblW w:w="5000" w:type="pct"/>
        <w:tblLook w:val="0660" w:firstRow="1" w:lastRow="1" w:firstColumn="0" w:lastColumn="0" w:noHBand="1" w:noVBand="1"/>
      </w:tblPr>
      <w:tblGrid>
        <w:gridCol w:w="5347"/>
        <w:gridCol w:w="1840"/>
        <w:gridCol w:w="1840"/>
      </w:tblGrid>
      <w:tr w:rsidR="0058789F" w:rsidRPr="00172E6E" w14:paraId="1B455C93"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962" w:type="pct"/>
            <w:noWrap/>
            <w:hideMark/>
          </w:tcPr>
          <w:p w14:paraId="17D51220" w14:textId="77777777" w:rsidR="0058789F" w:rsidRPr="00172E6E" w:rsidRDefault="0058789F" w:rsidP="00AD1066">
            <w:pPr>
              <w:pStyle w:val="TableHeading1"/>
            </w:pPr>
            <w:r w:rsidRPr="00172E6E">
              <w:t xml:space="preserve"> </w:t>
            </w:r>
          </w:p>
        </w:tc>
        <w:tc>
          <w:tcPr>
            <w:tcW w:w="1019" w:type="pct"/>
            <w:noWrap/>
            <w:hideMark/>
          </w:tcPr>
          <w:p w14:paraId="6425153D" w14:textId="77777777" w:rsidR="0058789F" w:rsidRDefault="0058789F" w:rsidP="00254C0B">
            <w:pPr>
              <w:pStyle w:val="TableHeading3rightalign"/>
            </w:pPr>
            <w:r w:rsidRPr="00172E6E">
              <w:t>202</w:t>
            </w:r>
            <w:r>
              <w:t>3</w:t>
            </w:r>
          </w:p>
          <w:p w14:paraId="7DACA72A" w14:textId="77777777" w:rsidR="0058789F" w:rsidRPr="00172E6E" w:rsidRDefault="0058789F" w:rsidP="00254C0B">
            <w:pPr>
              <w:pStyle w:val="TableHeading3rightalign"/>
            </w:pPr>
            <w:r>
              <w:t>(</w:t>
            </w:r>
            <w:r w:rsidRPr="00C13377">
              <w:t>$’000</w:t>
            </w:r>
            <w:r>
              <w:t>)</w:t>
            </w:r>
          </w:p>
        </w:tc>
        <w:tc>
          <w:tcPr>
            <w:tcW w:w="1019" w:type="pct"/>
            <w:noWrap/>
            <w:hideMark/>
          </w:tcPr>
          <w:p w14:paraId="6395E693" w14:textId="77777777" w:rsidR="0058789F" w:rsidRDefault="0058789F" w:rsidP="00254C0B">
            <w:pPr>
              <w:pStyle w:val="TableHeading3rightalign"/>
            </w:pPr>
            <w:r w:rsidRPr="00172E6E">
              <w:t>202</w:t>
            </w:r>
            <w:r>
              <w:t>2</w:t>
            </w:r>
          </w:p>
          <w:p w14:paraId="08BB7A09" w14:textId="77777777" w:rsidR="0058789F" w:rsidRPr="00172E6E" w:rsidRDefault="0058789F" w:rsidP="00254C0B">
            <w:pPr>
              <w:pStyle w:val="TableHeading3rightalign"/>
            </w:pPr>
            <w:r>
              <w:t>(</w:t>
            </w:r>
            <w:r w:rsidRPr="00C13377">
              <w:t>$’000</w:t>
            </w:r>
            <w:r>
              <w:t>)</w:t>
            </w:r>
          </w:p>
        </w:tc>
      </w:tr>
      <w:tr w:rsidR="0058789F" w:rsidRPr="00172E6E" w14:paraId="63C5F502" w14:textId="77777777" w:rsidTr="00AD1066">
        <w:trPr>
          <w:trHeight w:val="255"/>
        </w:trPr>
        <w:tc>
          <w:tcPr>
            <w:tcW w:w="5000" w:type="pct"/>
            <w:gridSpan w:val="3"/>
            <w:noWrap/>
            <w:hideMark/>
          </w:tcPr>
          <w:p w14:paraId="4EFD3ACF" w14:textId="77777777" w:rsidR="0058789F" w:rsidRPr="00172E6E" w:rsidRDefault="0058789F" w:rsidP="00AD1066">
            <w:pPr>
              <w:pStyle w:val="TableBodyTextsmall"/>
            </w:pPr>
            <w:r>
              <w:t xml:space="preserve"> </w:t>
            </w:r>
          </w:p>
        </w:tc>
      </w:tr>
      <w:tr w:rsidR="0058789F" w:rsidRPr="00172E6E" w14:paraId="2C3D1BEF" w14:textId="77777777" w:rsidTr="00AD1066">
        <w:trPr>
          <w:trHeight w:val="255"/>
        </w:trPr>
        <w:tc>
          <w:tcPr>
            <w:tcW w:w="5000" w:type="pct"/>
            <w:gridSpan w:val="3"/>
            <w:shd w:val="clear" w:color="auto" w:fill="D9D9D9" w:themeFill="background1" w:themeFillShade="D9"/>
            <w:noWrap/>
            <w:hideMark/>
          </w:tcPr>
          <w:p w14:paraId="3C553773" w14:textId="77777777" w:rsidR="0058789F" w:rsidRPr="00172E6E" w:rsidRDefault="0058789F" w:rsidP="00AD1066">
            <w:pPr>
              <w:pStyle w:val="TableHeading1"/>
            </w:pPr>
            <w:r w:rsidRPr="00852FA8">
              <w:t>Current provisions</w:t>
            </w:r>
          </w:p>
        </w:tc>
      </w:tr>
      <w:tr w:rsidR="0058789F" w:rsidRPr="00172E6E" w14:paraId="2E75B46C" w14:textId="77777777" w:rsidTr="00AD1066">
        <w:trPr>
          <w:trHeight w:val="300"/>
        </w:trPr>
        <w:tc>
          <w:tcPr>
            <w:tcW w:w="5000" w:type="pct"/>
            <w:gridSpan w:val="3"/>
            <w:noWrap/>
            <w:hideMark/>
          </w:tcPr>
          <w:p w14:paraId="3F655B8B" w14:textId="77777777" w:rsidR="0058789F" w:rsidRPr="00172E6E" w:rsidRDefault="0058789F" w:rsidP="00AD1066">
            <w:pPr>
              <w:pStyle w:val="TableHeading1"/>
            </w:pPr>
            <w:r w:rsidRPr="00172E6E">
              <w:t>Current employee benefits – annual leave </w:t>
            </w:r>
          </w:p>
        </w:tc>
      </w:tr>
      <w:tr w:rsidR="0058789F" w:rsidRPr="00172E6E" w14:paraId="3EA31ED1" w14:textId="77777777" w:rsidTr="00AD1066">
        <w:trPr>
          <w:trHeight w:val="255"/>
        </w:trPr>
        <w:tc>
          <w:tcPr>
            <w:tcW w:w="2962" w:type="pct"/>
            <w:noWrap/>
            <w:hideMark/>
          </w:tcPr>
          <w:p w14:paraId="74974D4D" w14:textId="77777777" w:rsidR="0058789F" w:rsidRPr="00172E6E" w:rsidRDefault="0058789F" w:rsidP="00AD1066">
            <w:pPr>
              <w:pStyle w:val="TableBodyText"/>
            </w:pPr>
            <w:r w:rsidRPr="00172E6E">
              <w:t>Unconditional and expected to settle within 12 months</w:t>
            </w:r>
          </w:p>
        </w:tc>
        <w:tc>
          <w:tcPr>
            <w:tcW w:w="1019" w:type="pct"/>
            <w:shd w:val="clear" w:color="auto" w:fill="F2F2F2" w:themeFill="background1" w:themeFillShade="F2"/>
            <w:noWrap/>
          </w:tcPr>
          <w:p w14:paraId="6B7D7A68" w14:textId="77777777" w:rsidR="0058789F" w:rsidRPr="00172E6E" w:rsidRDefault="0058789F" w:rsidP="00AD1066">
            <w:pPr>
              <w:pStyle w:val="TableBodyTextrightalign"/>
            </w:pPr>
            <w:r>
              <w:t>1,929</w:t>
            </w:r>
          </w:p>
        </w:tc>
        <w:tc>
          <w:tcPr>
            <w:tcW w:w="1019" w:type="pct"/>
            <w:noWrap/>
            <w:hideMark/>
          </w:tcPr>
          <w:p w14:paraId="47CDD64D" w14:textId="77777777" w:rsidR="0058789F" w:rsidRPr="00172E6E" w:rsidRDefault="0058789F" w:rsidP="00AD1066">
            <w:pPr>
              <w:pStyle w:val="TableBodyTextrightalign"/>
            </w:pPr>
            <w:r>
              <w:t>1,834</w:t>
            </w:r>
          </w:p>
        </w:tc>
      </w:tr>
      <w:tr w:rsidR="0058789F" w:rsidRPr="00172E6E" w14:paraId="7EFBF2C0" w14:textId="77777777" w:rsidTr="00AD1066">
        <w:trPr>
          <w:trHeight w:val="255"/>
        </w:trPr>
        <w:tc>
          <w:tcPr>
            <w:tcW w:w="2962" w:type="pct"/>
            <w:noWrap/>
            <w:hideMark/>
          </w:tcPr>
          <w:p w14:paraId="12E1FF69" w14:textId="77777777" w:rsidR="0058789F" w:rsidRPr="00172E6E" w:rsidRDefault="0058789F" w:rsidP="00AD1066">
            <w:pPr>
              <w:pStyle w:val="TableBodyText"/>
            </w:pPr>
            <w:r w:rsidRPr="00172E6E">
              <w:t>Unconditional and expected to settle after 12 months</w:t>
            </w:r>
          </w:p>
        </w:tc>
        <w:tc>
          <w:tcPr>
            <w:tcW w:w="1019" w:type="pct"/>
            <w:shd w:val="clear" w:color="auto" w:fill="F2F2F2" w:themeFill="background1" w:themeFillShade="F2"/>
            <w:noWrap/>
          </w:tcPr>
          <w:p w14:paraId="03101D90" w14:textId="77777777" w:rsidR="0058789F" w:rsidRPr="00172E6E" w:rsidRDefault="0058789F" w:rsidP="00AD1066">
            <w:pPr>
              <w:pStyle w:val="TableBodyTextrightalign"/>
            </w:pPr>
            <w:r>
              <w:t>617</w:t>
            </w:r>
          </w:p>
        </w:tc>
        <w:tc>
          <w:tcPr>
            <w:tcW w:w="1019" w:type="pct"/>
            <w:noWrap/>
            <w:hideMark/>
          </w:tcPr>
          <w:p w14:paraId="1C4ADC8E" w14:textId="77777777" w:rsidR="0058789F" w:rsidRPr="00172E6E" w:rsidRDefault="0058789F" w:rsidP="00AD1066">
            <w:pPr>
              <w:pStyle w:val="TableBodyTextrightalign"/>
            </w:pPr>
            <w:r>
              <w:t>679</w:t>
            </w:r>
          </w:p>
        </w:tc>
      </w:tr>
      <w:tr w:rsidR="0058789F" w:rsidRPr="00172E6E" w14:paraId="6E7EC7C0" w14:textId="77777777" w:rsidTr="00AD1066">
        <w:trPr>
          <w:trHeight w:val="65"/>
        </w:trPr>
        <w:tc>
          <w:tcPr>
            <w:tcW w:w="5000" w:type="pct"/>
            <w:gridSpan w:val="3"/>
            <w:noWrap/>
            <w:hideMark/>
          </w:tcPr>
          <w:p w14:paraId="229CA551" w14:textId="77777777" w:rsidR="0058789F" w:rsidRPr="00172E6E" w:rsidRDefault="0058789F" w:rsidP="00AD1066">
            <w:pPr>
              <w:pStyle w:val="TableBodyTextsmall"/>
            </w:pPr>
            <w:r>
              <w:t xml:space="preserve">   </w:t>
            </w:r>
          </w:p>
        </w:tc>
      </w:tr>
      <w:tr w:rsidR="0058789F" w:rsidRPr="00172E6E" w14:paraId="7CC13876" w14:textId="77777777" w:rsidTr="00AD1066">
        <w:trPr>
          <w:trHeight w:val="300"/>
        </w:trPr>
        <w:tc>
          <w:tcPr>
            <w:tcW w:w="5000" w:type="pct"/>
            <w:gridSpan w:val="3"/>
            <w:noWrap/>
            <w:hideMark/>
          </w:tcPr>
          <w:p w14:paraId="10C1FADA" w14:textId="77777777" w:rsidR="0058789F" w:rsidRPr="001D0398" w:rsidRDefault="0058789F" w:rsidP="00AD1066">
            <w:pPr>
              <w:pStyle w:val="TableHeading1"/>
            </w:pPr>
            <w:r w:rsidRPr="001D0398">
              <w:t xml:space="preserve">Current employee benefits – </w:t>
            </w:r>
            <w:r>
              <w:t>LSL</w:t>
            </w:r>
            <w:r w:rsidRPr="001D0398">
              <w:t xml:space="preserve"> </w:t>
            </w:r>
          </w:p>
        </w:tc>
      </w:tr>
      <w:tr w:rsidR="0058789F" w:rsidRPr="00172E6E" w14:paraId="4E069147" w14:textId="77777777" w:rsidTr="00AD1066">
        <w:trPr>
          <w:trHeight w:val="255"/>
        </w:trPr>
        <w:tc>
          <w:tcPr>
            <w:tcW w:w="2962" w:type="pct"/>
            <w:noWrap/>
            <w:hideMark/>
          </w:tcPr>
          <w:p w14:paraId="1B9FFAB5" w14:textId="77777777" w:rsidR="0058789F" w:rsidRPr="00172E6E" w:rsidRDefault="0058789F" w:rsidP="00AD1066">
            <w:pPr>
              <w:pStyle w:val="TableBodyText"/>
            </w:pPr>
            <w:r w:rsidRPr="00172E6E">
              <w:t>Unconditional and expected to settle within 12 months</w:t>
            </w:r>
          </w:p>
        </w:tc>
        <w:tc>
          <w:tcPr>
            <w:tcW w:w="1019" w:type="pct"/>
            <w:shd w:val="clear" w:color="auto" w:fill="F2F2F2" w:themeFill="background1" w:themeFillShade="F2"/>
            <w:noWrap/>
          </w:tcPr>
          <w:p w14:paraId="6361C4B3" w14:textId="77777777" w:rsidR="0058789F" w:rsidRPr="00172E6E" w:rsidRDefault="0058789F" w:rsidP="00AD1066">
            <w:pPr>
              <w:pStyle w:val="TableBodyTextrightalign"/>
            </w:pPr>
            <w:r>
              <w:t>456</w:t>
            </w:r>
          </w:p>
        </w:tc>
        <w:tc>
          <w:tcPr>
            <w:tcW w:w="1019" w:type="pct"/>
            <w:noWrap/>
            <w:hideMark/>
          </w:tcPr>
          <w:p w14:paraId="38C3E3CA" w14:textId="77777777" w:rsidR="0058789F" w:rsidRPr="00172E6E" w:rsidRDefault="0058789F" w:rsidP="00AD1066">
            <w:pPr>
              <w:pStyle w:val="TableBodyTextrightalign"/>
            </w:pPr>
            <w:r>
              <w:t>563</w:t>
            </w:r>
          </w:p>
        </w:tc>
      </w:tr>
      <w:tr w:rsidR="0058789F" w:rsidRPr="00172E6E" w14:paraId="00513BC1" w14:textId="77777777" w:rsidTr="00AD1066">
        <w:trPr>
          <w:trHeight w:val="255"/>
        </w:trPr>
        <w:tc>
          <w:tcPr>
            <w:tcW w:w="2962" w:type="pct"/>
            <w:tcBorders>
              <w:bottom w:val="dotted" w:sz="4" w:space="0" w:color="auto"/>
            </w:tcBorders>
            <w:noWrap/>
            <w:hideMark/>
          </w:tcPr>
          <w:p w14:paraId="6D0022E9" w14:textId="77777777" w:rsidR="0058789F" w:rsidRPr="00172E6E" w:rsidRDefault="0058789F" w:rsidP="00AD1066">
            <w:pPr>
              <w:pStyle w:val="TableBodyText"/>
            </w:pPr>
            <w:r w:rsidRPr="00172E6E">
              <w:t xml:space="preserve">Unconditional and expected to settle after 12 months </w:t>
            </w:r>
          </w:p>
        </w:tc>
        <w:tc>
          <w:tcPr>
            <w:tcW w:w="1019" w:type="pct"/>
            <w:tcBorders>
              <w:bottom w:val="dotted" w:sz="4" w:space="0" w:color="auto"/>
            </w:tcBorders>
            <w:shd w:val="clear" w:color="auto" w:fill="F2F2F2" w:themeFill="background1" w:themeFillShade="F2"/>
            <w:noWrap/>
          </w:tcPr>
          <w:p w14:paraId="394847D8" w14:textId="77777777" w:rsidR="0058789F" w:rsidRPr="00172E6E" w:rsidRDefault="0058789F" w:rsidP="00AD1066">
            <w:pPr>
              <w:pStyle w:val="TableBodyTextrightalign"/>
            </w:pPr>
            <w:r>
              <w:t>3,089</w:t>
            </w:r>
          </w:p>
        </w:tc>
        <w:tc>
          <w:tcPr>
            <w:tcW w:w="1019" w:type="pct"/>
            <w:tcBorders>
              <w:bottom w:val="dotted" w:sz="4" w:space="0" w:color="auto"/>
            </w:tcBorders>
            <w:noWrap/>
            <w:hideMark/>
          </w:tcPr>
          <w:p w14:paraId="24F90568" w14:textId="77777777" w:rsidR="0058789F" w:rsidRPr="00172E6E" w:rsidRDefault="0058789F" w:rsidP="00AD1066">
            <w:pPr>
              <w:pStyle w:val="TableBodyTextrightalign"/>
            </w:pPr>
            <w:r>
              <w:t>2,635</w:t>
            </w:r>
          </w:p>
        </w:tc>
      </w:tr>
      <w:tr w:rsidR="0058789F" w:rsidRPr="00172E6E" w14:paraId="6415C9D2" w14:textId="77777777" w:rsidTr="00AD1066">
        <w:trPr>
          <w:trHeight w:val="255"/>
        </w:trPr>
        <w:tc>
          <w:tcPr>
            <w:tcW w:w="5000" w:type="pct"/>
            <w:gridSpan w:val="3"/>
            <w:tcBorders>
              <w:top w:val="dotted" w:sz="4" w:space="0" w:color="auto"/>
              <w:bottom w:val="dotted" w:sz="4" w:space="0" w:color="auto"/>
            </w:tcBorders>
            <w:noWrap/>
          </w:tcPr>
          <w:p w14:paraId="476E0DD7" w14:textId="77777777" w:rsidR="0058789F" w:rsidRDefault="0058789F" w:rsidP="00AD1066">
            <w:pPr>
              <w:pStyle w:val="TableBodyTextsmall"/>
              <w:rPr>
                <w:rStyle w:val="Characterbold"/>
              </w:rPr>
            </w:pPr>
            <w:r>
              <w:rPr>
                <w:rStyle w:val="Characterbold"/>
              </w:rPr>
              <w:t xml:space="preserve"> </w:t>
            </w:r>
          </w:p>
        </w:tc>
      </w:tr>
      <w:tr w:rsidR="0058789F" w:rsidRPr="00172E6E" w14:paraId="37D5E4AA" w14:textId="77777777" w:rsidTr="00AD1066">
        <w:trPr>
          <w:trHeight w:val="255"/>
        </w:trPr>
        <w:tc>
          <w:tcPr>
            <w:tcW w:w="2962" w:type="pct"/>
            <w:tcBorders>
              <w:top w:val="dotted" w:sz="4" w:space="0" w:color="auto"/>
              <w:bottom w:val="single" w:sz="4" w:space="0" w:color="auto"/>
            </w:tcBorders>
            <w:noWrap/>
            <w:hideMark/>
          </w:tcPr>
          <w:p w14:paraId="32EC67EA" w14:textId="77777777" w:rsidR="0058789F" w:rsidRPr="0034016B" w:rsidRDefault="0058789F" w:rsidP="00AD1066">
            <w:pPr>
              <w:pStyle w:val="TableBodyText"/>
              <w:rPr>
                <w:rStyle w:val="Characterbold"/>
              </w:rPr>
            </w:pPr>
            <w:r w:rsidRPr="0034016B">
              <w:rPr>
                <w:rStyle w:val="Characterbold"/>
              </w:rPr>
              <w:t>Total current employee benefits</w:t>
            </w:r>
          </w:p>
        </w:tc>
        <w:tc>
          <w:tcPr>
            <w:tcW w:w="1019" w:type="pct"/>
            <w:tcBorders>
              <w:top w:val="dotted" w:sz="4" w:space="0" w:color="auto"/>
              <w:bottom w:val="single" w:sz="4" w:space="0" w:color="auto"/>
            </w:tcBorders>
            <w:shd w:val="clear" w:color="auto" w:fill="F2F2F2" w:themeFill="background1" w:themeFillShade="F2"/>
            <w:noWrap/>
          </w:tcPr>
          <w:p w14:paraId="325B41B1" w14:textId="77777777" w:rsidR="0058789F" w:rsidRPr="007E78B5" w:rsidRDefault="0058789F" w:rsidP="007E78B5">
            <w:pPr>
              <w:pStyle w:val="TableBodyTextrightalign"/>
              <w:rPr>
                <w:rStyle w:val="Characterbold"/>
              </w:rPr>
            </w:pPr>
            <w:r w:rsidRPr="007E78B5">
              <w:rPr>
                <w:rStyle w:val="Characterbold"/>
              </w:rPr>
              <w:t>6,090</w:t>
            </w:r>
          </w:p>
        </w:tc>
        <w:tc>
          <w:tcPr>
            <w:tcW w:w="1019" w:type="pct"/>
            <w:tcBorders>
              <w:top w:val="dotted" w:sz="4" w:space="0" w:color="auto"/>
              <w:bottom w:val="single" w:sz="4" w:space="0" w:color="auto"/>
            </w:tcBorders>
            <w:noWrap/>
            <w:hideMark/>
          </w:tcPr>
          <w:p w14:paraId="71F3FA4A" w14:textId="77777777" w:rsidR="0058789F" w:rsidRPr="0034016B" w:rsidRDefault="0058789F" w:rsidP="00AD1066">
            <w:pPr>
              <w:pStyle w:val="TableBodyTextrightalign"/>
              <w:rPr>
                <w:rStyle w:val="Characterbold"/>
              </w:rPr>
            </w:pPr>
            <w:r>
              <w:rPr>
                <w:rStyle w:val="Characterbold"/>
              </w:rPr>
              <w:t>5,710</w:t>
            </w:r>
          </w:p>
        </w:tc>
      </w:tr>
      <w:tr w:rsidR="0058789F" w:rsidRPr="00172E6E" w14:paraId="050D659A" w14:textId="77777777" w:rsidTr="00AD1066">
        <w:trPr>
          <w:trHeight w:val="267"/>
        </w:trPr>
        <w:tc>
          <w:tcPr>
            <w:tcW w:w="5000" w:type="pct"/>
            <w:gridSpan w:val="3"/>
            <w:tcBorders>
              <w:top w:val="single" w:sz="4" w:space="0" w:color="auto"/>
            </w:tcBorders>
            <w:noWrap/>
            <w:hideMark/>
          </w:tcPr>
          <w:p w14:paraId="23B22A4C" w14:textId="77777777" w:rsidR="0058789F" w:rsidRPr="00172E6E" w:rsidRDefault="0058789F" w:rsidP="00AD1066">
            <w:pPr>
              <w:pStyle w:val="TableBodyTextsmall"/>
            </w:pPr>
            <w:r>
              <w:t xml:space="preserve"> </w:t>
            </w:r>
            <w:r w:rsidRPr="00172E6E">
              <w:t> </w:t>
            </w:r>
          </w:p>
        </w:tc>
      </w:tr>
      <w:tr w:rsidR="0058789F" w:rsidRPr="00172E6E" w14:paraId="7D6DD0E2" w14:textId="77777777" w:rsidTr="00AD1066">
        <w:trPr>
          <w:trHeight w:val="255"/>
        </w:trPr>
        <w:tc>
          <w:tcPr>
            <w:tcW w:w="5000" w:type="pct"/>
            <w:gridSpan w:val="3"/>
            <w:noWrap/>
            <w:hideMark/>
          </w:tcPr>
          <w:p w14:paraId="6DFF7D10" w14:textId="77777777" w:rsidR="0058789F" w:rsidRPr="001D0398" w:rsidRDefault="0058789F" w:rsidP="00AD1066">
            <w:pPr>
              <w:pStyle w:val="TableHeading1"/>
            </w:pPr>
            <w:r w:rsidRPr="001D0398">
              <w:t>Current provisions for on-costs</w:t>
            </w:r>
          </w:p>
        </w:tc>
      </w:tr>
      <w:tr w:rsidR="0058789F" w:rsidRPr="00172E6E" w14:paraId="0BC33EF4" w14:textId="77777777" w:rsidTr="00AD1066">
        <w:trPr>
          <w:trHeight w:val="255"/>
        </w:trPr>
        <w:tc>
          <w:tcPr>
            <w:tcW w:w="2962" w:type="pct"/>
            <w:noWrap/>
            <w:hideMark/>
          </w:tcPr>
          <w:p w14:paraId="78F37AE4" w14:textId="77777777" w:rsidR="0058789F" w:rsidRPr="00172E6E" w:rsidRDefault="0058789F" w:rsidP="00AD1066">
            <w:pPr>
              <w:pStyle w:val="TableBodyText"/>
            </w:pPr>
            <w:r w:rsidRPr="00172E6E">
              <w:t xml:space="preserve">Unconditional and expected to settle within 12 months </w:t>
            </w:r>
          </w:p>
        </w:tc>
        <w:tc>
          <w:tcPr>
            <w:tcW w:w="1019" w:type="pct"/>
            <w:shd w:val="clear" w:color="auto" w:fill="F2F2F2" w:themeFill="background1" w:themeFillShade="F2"/>
            <w:noWrap/>
          </w:tcPr>
          <w:p w14:paraId="2FBE625B" w14:textId="77777777" w:rsidR="0058789F" w:rsidRPr="00172E6E" w:rsidRDefault="0058789F" w:rsidP="00AD1066">
            <w:pPr>
              <w:pStyle w:val="TableBodyTextrightalign"/>
            </w:pPr>
            <w:r>
              <w:t>411</w:t>
            </w:r>
          </w:p>
        </w:tc>
        <w:tc>
          <w:tcPr>
            <w:tcW w:w="1019" w:type="pct"/>
            <w:noWrap/>
            <w:hideMark/>
          </w:tcPr>
          <w:p w14:paraId="35D01BB2" w14:textId="77777777" w:rsidR="0058789F" w:rsidRPr="00172E6E" w:rsidRDefault="0058789F" w:rsidP="00AD1066">
            <w:pPr>
              <w:pStyle w:val="TableBodyTextrightalign"/>
            </w:pPr>
            <w:r>
              <w:t>420</w:t>
            </w:r>
          </w:p>
        </w:tc>
      </w:tr>
      <w:tr w:rsidR="0058789F" w:rsidRPr="00172E6E" w14:paraId="0FB6CA06" w14:textId="77777777" w:rsidTr="00AD1066">
        <w:trPr>
          <w:trHeight w:val="255"/>
        </w:trPr>
        <w:tc>
          <w:tcPr>
            <w:tcW w:w="2962" w:type="pct"/>
            <w:tcBorders>
              <w:bottom w:val="dotted" w:sz="4" w:space="0" w:color="auto"/>
            </w:tcBorders>
            <w:noWrap/>
            <w:hideMark/>
          </w:tcPr>
          <w:p w14:paraId="5C52CE76" w14:textId="77777777" w:rsidR="0058789F" w:rsidRPr="00172E6E" w:rsidRDefault="0058789F" w:rsidP="00AD1066">
            <w:pPr>
              <w:pStyle w:val="TableBodyText"/>
            </w:pPr>
            <w:r w:rsidRPr="00172E6E">
              <w:t xml:space="preserve">Unconditional and expected to settle after 12 months </w:t>
            </w:r>
          </w:p>
        </w:tc>
        <w:tc>
          <w:tcPr>
            <w:tcW w:w="1019" w:type="pct"/>
            <w:tcBorders>
              <w:bottom w:val="dotted" w:sz="4" w:space="0" w:color="auto"/>
            </w:tcBorders>
            <w:shd w:val="clear" w:color="auto" w:fill="F2F2F2" w:themeFill="background1" w:themeFillShade="F2"/>
            <w:noWrap/>
          </w:tcPr>
          <w:p w14:paraId="6FC76B11" w14:textId="77777777" w:rsidR="0058789F" w:rsidRPr="00172E6E" w:rsidRDefault="0058789F" w:rsidP="00AD1066">
            <w:pPr>
              <w:pStyle w:val="TableBodyTextrightalign"/>
            </w:pPr>
            <w:r>
              <w:t>645</w:t>
            </w:r>
          </w:p>
        </w:tc>
        <w:tc>
          <w:tcPr>
            <w:tcW w:w="1019" w:type="pct"/>
            <w:tcBorders>
              <w:bottom w:val="dotted" w:sz="4" w:space="0" w:color="auto"/>
            </w:tcBorders>
            <w:noWrap/>
            <w:hideMark/>
          </w:tcPr>
          <w:p w14:paraId="50636216" w14:textId="77777777" w:rsidR="0058789F" w:rsidRPr="00172E6E" w:rsidRDefault="0058789F" w:rsidP="00AD1066">
            <w:pPr>
              <w:pStyle w:val="TableBodyTextrightalign"/>
            </w:pPr>
            <w:r>
              <w:t>581</w:t>
            </w:r>
          </w:p>
        </w:tc>
      </w:tr>
      <w:tr w:rsidR="0058789F" w:rsidRPr="00172E6E" w14:paraId="5E4AE8B8" w14:textId="77777777" w:rsidTr="00AD1066">
        <w:trPr>
          <w:trHeight w:val="255"/>
        </w:trPr>
        <w:tc>
          <w:tcPr>
            <w:tcW w:w="2962" w:type="pct"/>
            <w:tcBorders>
              <w:top w:val="dotted" w:sz="4" w:space="0" w:color="auto"/>
              <w:bottom w:val="single" w:sz="4" w:space="0" w:color="auto"/>
            </w:tcBorders>
            <w:noWrap/>
            <w:hideMark/>
          </w:tcPr>
          <w:p w14:paraId="72710E76" w14:textId="77777777" w:rsidR="0058789F" w:rsidRPr="0034016B" w:rsidRDefault="0058789F" w:rsidP="00AD1066">
            <w:pPr>
              <w:pStyle w:val="TableBodyText"/>
              <w:rPr>
                <w:rStyle w:val="Characterbold"/>
              </w:rPr>
            </w:pPr>
            <w:r w:rsidRPr="0034016B">
              <w:rPr>
                <w:rStyle w:val="Characterbold"/>
              </w:rPr>
              <w:t>Total current on-costs</w:t>
            </w:r>
          </w:p>
        </w:tc>
        <w:tc>
          <w:tcPr>
            <w:tcW w:w="1019" w:type="pct"/>
            <w:tcBorders>
              <w:top w:val="dotted" w:sz="4" w:space="0" w:color="auto"/>
              <w:bottom w:val="single" w:sz="4" w:space="0" w:color="auto"/>
            </w:tcBorders>
            <w:shd w:val="clear" w:color="auto" w:fill="F2F2F2" w:themeFill="background1" w:themeFillShade="F2"/>
            <w:noWrap/>
          </w:tcPr>
          <w:p w14:paraId="7644AD3D" w14:textId="77777777" w:rsidR="0058789F" w:rsidRPr="007E78B5" w:rsidRDefault="0058789F" w:rsidP="007E78B5">
            <w:pPr>
              <w:pStyle w:val="TableBodyTextrightalign"/>
              <w:rPr>
                <w:rStyle w:val="Characterbold"/>
              </w:rPr>
            </w:pPr>
            <w:r w:rsidRPr="007E78B5">
              <w:rPr>
                <w:rStyle w:val="Characterbold"/>
              </w:rPr>
              <w:t>1,055</w:t>
            </w:r>
          </w:p>
        </w:tc>
        <w:tc>
          <w:tcPr>
            <w:tcW w:w="1019" w:type="pct"/>
            <w:tcBorders>
              <w:top w:val="dotted" w:sz="4" w:space="0" w:color="auto"/>
              <w:bottom w:val="single" w:sz="4" w:space="0" w:color="auto"/>
            </w:tcBorders>
            <w:noWrap/>
            <w:hideMark/>
          </w:tcPr>
          <w:p w14:paraId="43B6FE69" w14:textId="77777777" w:rsidR="0058789F" w:rsidRPr="0034016B" w:rsidRDefault="0058789F" w:rsidP="00AD1066">
            <w:pPr>
              <w:pStyle w:val="TableBodyTextrightalign"/>
              <w:rPr>
                <w:rStyle w:val="Characterbold"/>
              </w:rPr>
            </w:pPr>
            <w:r>
              <w:rPr>
                <w:rStyle w:val="Characterbold"/>
              </w:rPr>
              <w:t>1,001</w:t>
            </w:r>
          </w:p>
        </w:tc>
      </w:tr>
      <w:tr w:rsidR="0058789F" w:rsidRPr="00172E6E" w14:paraId="6ACAA325" w14:textId="77777777" w:rsidTr="00AD1066">
        <w:trPr>
          <w:trHeight w:val="255"/>
        </w:trPr>
        <w:tc>
          <w:tcPr>
            <w:tcW w:w="5000" w:type="pct"/>
            <w:gridSpan w:val="3"/>
            <w:tcBorders>
              <w:top w:val="single" w:sz="4" w:space="0" w:color="auto"/>
              <w:bottom w:val="dotted" w:sz="4" w:space="0" w:color="auto"/>
            </w:tcBorders>
            <w:noWrap/>
          </w:tcPr>
          <w:p w14:paraId="7ACECE3B" w14:textId="77777777" w:rsidR="0058789F" w:rsidRPr="003E3E97" w:rsidRDefault="0058789F" w:rsidP="00AD1066">
            <w:pPr>
              <w:pStyle w:val="TableBodyTextsmall"/>
            </w:pPr>
            <w:r>
              <w:t xml:space="preserve"> </w:t>
            </w:r>
          </w:p>
        </w:tc>
      </w:tr>
      <w:tr w:rsidR="0058789F" w:rsidRPr="00172E6E" w14:paraId="7B287813" w14:textId="77777777" w:rsidTr="00AD1066">
        <w:trPr>
          <w:trHeight w:val="255"/>
        </w:trPr>
        <w:tc>
          <w:tcPr>
            <w:tcW w:w="2962" w:type="pct"/>
            <w:tcBorders>
              <w:top w:val="dotted" w:sz="4" w:space="0" w:color="auto"/>
              <w:bottom w:val="single" w:sz="4" w:space="0" w:color="auto"/>
            </w:tcBorders>
            <w:noWrap/>
            <w:hideMark/>
          </w:tcPr>
          <w:p w14:paraId="7AE1AA10" w14:textId="77777777" w:rsidR="0058789F" w:rsidRPr="0034016B" w:rsidRDefault="0058789F" w:rsidP="00AD1066">
            <w:pPr>
              <w:pStyle w:val="TableBodyText"/>
              <w:rPr>
                <w:rStyle w:val="Characterbold"/>
              </w:rPr>
            </w:pPr>
            <w:r w:rsidRPr="0034016B">
              <w:rPr>
                <w:rStyle w:val="Characterbold"/>
              </w:rPr>
              <w:t>Total current provisions</w:t>
            </w:r>
          </w:p>
        </w:tc>
        <w:tc>
          <w:tcPr>
            <w:tcW w:w="1019" w:type="pct"/>
            <w:tcBorders>
              <w:top w:val="dotted" w:sz="4" w:space="0" w:color="auto"/>
              <w:bottom w:val="single" w:sz="4" w:space="0" w:color="auto"/>
            </w:tcBorders>
            <w:shd w:val="clear" w:color="auto" w:fill="F2F2F2" w:themeFill="background1" w:themeFillShade="F2"/>
            <w:noWrap/>
          </w:tcPr>
          <w:p w14:paraId="3E46301C" w14:textId="77777777" w:rsidR="0058789F" w:rsidRPr="007E78B5" w:rsidRDefault="0058789F" w:rsidP="007E78B5">
            <w:pPr>
              <w:pStyle w:val="TableBodyTextrightalign"/>
              <w:rPr>
                <w:rStyle w:val="Characterbold"/>
              </w:rPr>
            </w:pPr>
            <w:r w:rsidRPr="007E78B5">
              <w:rPr>
                <w:rStyle w:val="Characterbold"/>
              </w:rPr>
              <w:t>7,146</w:t>
            </w:r>
          </w:p>
        </w:tc>
        <w:tc>
          <w:tcPr>
            <w:tcW w:w="1019" w:type="pct"/>
            <w:tcBorders>
              <w:top w:val="dotted" w:sz="4" w:space="0" w:color="auto"/>
              <w:bottom w:val="single" w:sz="4" w:space="0" w:color="auto"/>
            </w:tcBorders>
            <w:noWrap/>
            <w:hideMark/>
          </w:tcPr>
          <w:p w14:paraId="25B0653C" w14:textId="77777777" w:rsidR="0058789F" w:rsidRPr="0034016B" w:rsidRDefault="0058789F" w:rsidP="00AD1066">
            <w:pPr>
              <w:pStyle w:val="TableBodyTextrightalign"/>
              <w:rPr>
                <w:rStyle w:val="Characterbold"/>
              </w:rPr>
            </w:pPr>
            <w:r>
              <w:rPr>
                <w:rStyle w:val="Characterbold"/>
              </w:rPr>
              <w:t>6,711</w:t>
            </w:r>
          </w:p>
        </w:tc>
      </w:tr>
      <w:tr w:rsidR="0058789F" w:rsidRPr="00172E6E" w14:paraId="635BC217" w14:textId="77777777" w:rsidTr="00AD1066">
        <w:trPr>
          <w:trHeight w:val="255"/>
        </w:trPr>
        <w:tc>
          <w:tcPr>
            <w:tcW w:w="5000" w:type="pct"/>
            <w:gridSpan w:val="3"/>
            <w:tcBorders>
              <w:top w:val="single" w:sz="4" w:space="0" w:color="auto"/>
            </w:tcBorders>
            <w:noWrap/>
            <w:hideMark/>
          </w:tcPr>
          <w:p w14:paraId="5A936377" w14:textId="77777777" w:rsidR="0058789F" w:rsidRPr="00172E6E" w:rsidRDefault="0058789F" w:rsidP="00AD1066">
            <w:pPr>
              <w:pStyle w:val="TableBodyTextsmall"/>
            </w:pPr>
            <w:r w:rsidRPr="00172E6E">
              <w:t xml:space="preserve"> </w:t>
            </w:r>
          </w:p>
        </w:tc>
      </w:tr>
      <w:tr w:rsidR="0058789F" w:rsidRPr="00172E6E" w14:paraId="5EB1EE1D" w14:textId="77777777" w:rsidTr="00AD1066">
        <w:trPr>
          <w:trHeight w:val="255"/>
        </w:trPr>
        <w:tc>
          <w:tcPr>
            <w:tcW w:w="5000" w:type="pct"/>
            <w:gridSpan w:val="3"/>
            <w:shd w:val="clear" w:color="auto" w:fill="D9D9D9" w:themeFill="background1" w:themeFillShade="D9"/>
            <w:noWrap/>
            <w:hideMark/>
          </w:tcPr>
          <w:p w14:paraId="5231E1D8" w14:textId="77777777" w:rsidR="0058789F" w:rsidRPr="008C7697" w:rsidRDefault="0058789F" w:rsidP="00AD1066">
            <w:pPr>
              <w:pStyle w:val="TableHeading1"/>
            </w:pPr>
            <w:r w:rsidRPr="008C7697">
              <w:t>Non-current provisions</w:t>
            </w:r>
          </w:p>
        </w:tc>
      </w:tr>
      <w:tr w:rsidR="0058789F" w:rsidRPr="00172E6E" w14:paraId="466279A4" w14:textId="77777777" w:rsidTr="00AD1066">
        <w:trPr>
          <w:trHeight w:val="300"/>
        </w:trPr>
        <w:tc>
          <w:tcPr>
            <w:tcW w:w="2962" w:type="pct"/>
            <w:noWrap/>
            <w:hideMark/>
          </w:tcPr>
          <w:p w14:paraId="6B08B5C9" w14:textId="77777777" w:rsidR="0058789F" w:rsidRPr="00172E6E" w:rsidRDefault="0058789F" w:rsidP="00AD1066">
            <w:pPr>
              <w:pStyle w:val="TableBodyText"/>
            </w:pPr>
            <w:r w:rsidRPr="00172E6E">
              <w:t xml:space="preserve">Employee benefits </w:t>
            </w:r>
          </w:p>
        </w:tc>
        <w:tc>
          <w:tcPr>
            <w:tcW w:w="1019" w:type="pct"/>
            <w:shd w:val="clear" w:color="auto" w:fill="F2F2F2" w:themeFill="background1" w:themeFillShade="F2"/>
            <w:noWrap/>
          </w:tcPr>
          <w:p w14:paraId="4832C566" w14:textId="77777777" w:rsidR="0058789F" w:rsidRPr="00172E6E" w:rsidRDefault="0058789F" w:rsidP="00AD1066">
            <w:pPr>
              <w:pStyle w:val="TableBodyTextrightalign"/>
            </w:pPr>
            <w:r>
              <w:t>912</w:t>
            </w:r>
          </w:p>
        </w:tc>
        <w:tc>
          <w:tcPr>
            <w:tcW w:w="1019" w:type="pct"/>
            <w:noWrap/>
            <w:hideMark/>
          </w:tcPr>
          <w:p w14:paraId="5ECBAAC0" w14:textId="77777777" w:rsidR="0058789F" w:rsidRPr="00172E6E" w:rsidRDefault="0058789F" w:rsidP="00AD1066">
            <w:pPr>
              <w:pStyle w:val="TableBodyTextrightalign"/>
            </w:pPr>
            <w:r>
              <w:t>659</w:t>
            </w:r>
          </w:p>
        </w:tc>
      </w:tr>
      <w:tr w:rsidR="0058789F" w:rsidRPr="00172E6E" w14:paraId="21F7C96D" w14:textId="77777777" w:rsidTr="00AD1066">
        <w:trPr>
          <w:trHeight w:val="255"/>
        </w:trPr>
        <w:tc>
          <w:tcPr>
            <w:tcW w:w="2962" w:type="pct"/>
            <w:tcBorders>
              <w:bottom w:val="dotted" w:sz="4" w:space="0" w:color="auto"/>
            </w:tcBorders>
            <w:noWrap/>
            <w:hideMark/>
          </w:tcPr>
          <w:p w14:paraId="4AE16603" w14:textId="77777777" w:rsidR="0058789F" w:rsidRPr="00172E6E" w:rsidRDefault="0058789F" w:rsidP="00AD1066">
            <w:pPr>
              <w:pStyle w:val="TableBodyText"/>
            </w:pPr>
            <w:r w:rsidRPr="00172E6E">
              <w:t xml:space="preserve">On-costs </w:t>
            </w:r>
          </w:p>
        </w:tc>
        <w:tc>
          <w:tcPr>
            <w:tcW w:w="1019" w:type="pct"/>
            <w:tcBorders>
              <w:bottom w:val="dotted" w:sz="4" w:space="0" w:color="auto"/>
            </w:tcBorders>
            <w:shd w:val="clear" w:color="auto" w:fill="F2F2F2" w:themeFill="background1" w:themeFillShade="F2"/>
            <w:noWrap/>
          </w:tcPr>
          <w:p w14:paraId="44136E56" w14:textId="77777777" w:rsidR="0058789F" w:rsidRPr="00172E6E" w:rsidRDefault="0058789F" w:rsidP="00AD1066">
            <w:pPr>
              <w:pStyle w:val="TableBodyTextrightalign"/>
            </w:pPr>
            <w:r>
              <w:t>152</w:t>
            </w:r>
          </w:p>
        </w:tc>
        <w:tc>
          <w:tcPr>
            <w:tcW w:w="1019" w:type="pct"/>
            <w:tcBorders>
              <w:bottom w:val="dotted" w:sz="4" w:space="0" w:color="auto"/>
            </w:tcBorders>
            <w:noWrap/>
            <w:hideMark/>
          </w:tcPr>
          <w:p w14:paraId="387CACA3" w14:textId="77777777" w:rsidR="0058789F" w:rsidRPr="00172E6E" w:rsidRDefault="0058789F" w:rsidP="00AD1066">
            <w:pPr>
              <w:pStyle w:val="TableBodyTextrightalign"/>
            </w:pPr>
            <w:r>
              <w:t>116</w:t>
            </w:r>
          </w:p>
        </w:tc>
      </w:tr>
      <w:tr w:rsidR="0058789F" w:rsidRPr="00172E6E" w14:paraId="773CB17D" w14:textId="77777777" w:rsidTr="00AD1066">
        <w:trPr>
          <w:trHeight w:val="255"/>
        </w:trPr>
        <w:tc>
          <w:tcPr>
            <w:tcW w:w="2962" w:type="pct"/>
            <w:tcBorders>
              <w:top w:val="dotted" w:sz="4" w:space="0" w:color="auto"/>
              <w:bottom w:val="dotted" w:sz="4" w:space="0" w:color="auto"/>
            </w:tcBorders>
            <w:noWrap/>
            <w:hideMark/>
          </w:tcPr>
          <w:p w14:paraId="39F716C4" w14:textId="77777777" w:rsidR="0058789F" w:rsidRPr="0034016B" w:rsidRDefault="0058789F" w:rsidP="00AD1066">
            <w:pPr>
              <w:pStyle w:val="TableBodyText"/>
              <w:rPr>
                <w:rStyle w:val="Characterbold"/>
              </w:rPr>
            </w:pPr>
            <w:r w:rsidRPr="0034016B">
              <w:rPr>
                <w:rStyle w:val="Characterbold"/>
              </w:rPr>
              <w:t>Total non-current provisions</w:t>
            </w:r>
          </w:p>
        </w:tc>
        <w:tc>
          <w:tcPr>
            <w:tcW w:w="1019" w:type="pct"/>
            <w:tcBorders>
              <w:top w:val="dotted" w:sz="4" w:space="0" w:color="auto"/>
              <w:bottom w:val="dotted" w:sz="4" w:space="0" w:color="auto"/>
            </w:tcBorders>
            <w:shd w:val="clear" w:color="auto" w:fill="F2F2F2" w:themeFill="background1" w:themeFillShade="F2"/>
            <w:noWrap/>
          </w:tcPr>
          <w:p w14:paraId="57313192" w14:textId="77777777" w:rsidR="0058789F" w:rsidRPr="007E78B5" w:rsidRDefault="0058789F" w:rsidP="007E78B5">
            <w:pPr>
              <w:pStyle w:val="TableBodyTextrightalign"/>
              <w:rPr>
                <w:rStyle w:val="Characterbold"/>
              </w:rPr>
            </w:pPr>
            <w:r w:rsidRPr="007E78B5">
              <w:rPr>
                <w:rStyle w:val="Characterbold"/>
              </w:rPr>
              <w:t>1,064</w:t>
            </w:r>
          </w:p>
        </w:tc>
        <w:tc>
          <w:tcPr>
            <w:tcW w:w="1019" w:type="pct"/>
            <w:tcBorders>
              <w:top w:val="dotted" w:sz="4" w:space="0" w:color="auto"/>
              <w:bottom w:val="dotted" w:sz="4" w:space="0" w:color="auto"/>
            </w:tcBorders>
            <w:noWrap/>
            <w:hideMark/>
          </w:tcPr>
          <w:p w14:paraId="15479C1D" w14:textId="77777777" w:rsidR="0058789F" w:rsidRPr="0034016B" w:rsidRDefault="0058789F" w:rsidP="00AD1066">
            <w:pPr>
              <w:pStyle w:val="TableBodyTextrightalign"/>
              <w:rPr>
                <w:rStyle w:val="Characterbold"/>
              </w:rPr>
            </w:pPr>
            <w:r>
              <w:rPr>
                <w:rStyle w:val="Characterbold"/>
              </w:rPr>
              <w:t>775</w:t>
            </w:r>
          </w:p>
        </w:tc>
      </w:tr>
      <w:tr w:rsidR="0058789F" w:rsidRPr="0034016B" w14:paraId="27AA41D1" w14:textId="77777777" w:rsidTr="00AD1066">
        <w:trPr>
          <w:trHeight w:val="270"/>
        </w:trPr>
        <w:tc>
          <w:tcPr>
            <w:tcW w:w="5000" w:type="pct"/>
            <w:gridSpan w:val="3"/>
            <w:tcBorders>
              <w:top w:val="dotted" w:sz="4" w:space="0" w:color="auto"/>
            </w:tcBorders>
            <w:noWrap/>
          </w:tcPr>
          <w:p w14:paraId="6E720803" w14:textId="77777777" w:rsidR="0058789F" w:rsidRDefault="0058789F" w:rsidP="00AD1066">
            <w:pPr>
              <w:pStyle w:val="TableBodyTextsmall"/>
            </w:pPr>
            <w:r>
              <w:t xml:space="preserve"> </w:t>
            </w:r>
          </w:p>
        </w:tc>
      </w:tr>
      <w:tr w:rsidR="0058789F" w:rsidRPr="0034016B" w14:paraId="59B24AAC"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2962" w:type="pct"/>
            <w:tcBorders>
              <w:top w:val="dotted" w:sz="4" w:space="0" w:color="auto"/>
            </w:tcBorders>
            <w:noWrap/>
            <w:hideMark/>
          </w:tcPr>
          <w:p w14:paraId="49ABC9F7" w14:textId="77777777" w:rsidR="0058789F" w:rsidRPr="007576BC" w:rsidRDefault="0058789F" w:rsidP="00AD1066">
            <w:pPr>
              <w:pStyle w:val="TableBodyText"/>
            </w:pPr>
            <w:r w:rsidRPr="007576BC">
              <w:t>Total provisions</w:t>
            </w:r>
          </w:p>
        </w:tc>
        <w:tc>
          <w:tcPr>
            <w:tcW w:w="1019" w:type="pct"/>
            <w:tcBorders>
              <w:top w:val="dotted" w:sz="4" w:space="0" w:color="auto"/>
            </w:tcBorders>
            <w:shd w:val="clear" w:color="auto" w:fill="F2F2F2" w:themeFill="background1" w:themeFillShade="F2"/>
            <w:noWrap/>
          </w:tcPr>
          <w:p w14:paraId="5E6FD6CE" w14:textId="77777777" w:rsidR="0058789F" w:rsidRPr="007576BC" w:rsidRDefault="0058789F" w:rsidP="00AD1066">
            <w:pPr>
              <w:pStyle w:val="TableBodyTextrightalign"/>
            </w:pPr>
            <w:r>
              <w:t>8,210</w:t>
            </w:r>
          </w:p>
        </w:tc>
        <w:tc>
          <w:tcPr>
            <w:tcW w:w="1019" w:type="pct"/>
            <w:tcBorders>
              <w:top w:val="dotted" w:sz="4" w:space="0" w:color="auto"/>
            </w:tcBorders>
            <w:noWrap/>
            <w:hideMark/>
          </w:tcPr>
          <w:p w14:paraId="03908105" w14:textId="77777777" w:rsidR="0058789F" w:rsidRPr="007576BC" w:rsidRDefault="0058789F" w:rsidP="00AD1066">
            <w:pPr>
              <w:pStyle w:val="TableBodyTextrightalign"/>
            </w:pPr>
            <w:r>
              <w:t>7,486</w:t>
            </w:r>
          </w:p>
        </w:tc>
      </w:tr>
    </w:tbl>
    <w:p w14:paraId="27E7889F" w14:textId="77777777" w:rsidR="0058789F" w:rsidRDefault="0058789F" w:rsidP="0058789F">
      <w:pPr>
        <w:pStyle w:val="TableNote"/>
      </w:pPr>
    </w:p>
    <w:p w14:paraId="7870F0F5" w14:textId="77777777" w:rsidR="0058789F" w:rsidRDefault="0058789F" w:rsidP="0058789F">
      <w:pPr>
        <w:pStyle w:val="Caption"/>
      </w:pPr>
      <w:r w:rsidRPr="00FF1444">
        <w:t>Reconciliation of movement in on-cost provision</w:t>
      </w:r>
    </w:p>
    <w:tbl>
      <w:tblPr>
        <w:tblStyle w:val="CustomTabledetailed"/>
        <w:tblW w:w="5000" w:type="pct"/>
        <w:tblLook w:val="0660" w:firstRow="1" w:lastRow="1" w:firstColumn="0" w:lastColumn="0" w:noHBand="1" w:noVBand="1"/>
      </w:tblPr>
      <w:tblGrid>
        <w:gridCol w:w="5192"/>
        <w:gridCol w:w="1918"/>
        <w:gridCol w:w="1917"/>
      </w:tblGrid>
      <w:tr w:rsidR="0058789F" w:rsidRPr="009B1E76" w14:paraId="2D6B1020"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0" w:type="pct"/>
            <w:noWrap/>
            <w:hideMark/>
          </w:tcPr>
          <w:p w14:paraId="1FD8E5DC" w14:textId="77777777" w:rsidR="0058789F" w:rsidRPr="009B1E76" w:rsidRDefault="0058789F" w:rsidP="00AD1066">
            <w:pPr>
              <w:pStyle w:val="TableHeading1"/>
            </w:pPr>
          </w:p>
        </w:tc>
        <w:tc>
          <w:tcPr>
            <w:tcW w:w="0" w:type="pct"/>
            <w:noWrap/>
            <w:hideMark/>
          </w:tcPr>
          <w:p w14:paraId="5EF6F054" w14:textId="77777777" w:rsidR="0058789F" w:rsidRDefault="0058789F" w:rsidP="00254C0B">
            <w:pPr>
              <w:pStyle w:val="TableHeading3rightalign"/>
            </w:pPr>
            <w:r w:rsidRPr="009B1E76">
              <w:t>202</w:t>
            </w:r>
            <w:r>
              <w:t>3</w:t>
            </w:r>
          </w:p>
          <w:p w14:paraId="426EA453" w14:textId="77777777" w:rsidR="0058789F" w:rsidRPr="009B1E76" w:rsidRDefault="0058789F" w:rsidP="00254C0B">
            <w:pPr>
              <w:pStyle w:val="TableHeading3rightalign"/>
            </w:pPr>
            <w:r>
              <w:t>(</w:t>
            </w:r>
            <w:r w:rsidRPr="00A154E2">
              <w:t>$’000</w:t>
            </w:r>
            <w:r>
              <w:t>)</w:t>
            </w:r>
          </w:p>
        </w:tc>
        <w:tc>
          <w:tcPr>
            <w:tcW w:w="0" w:type="pct"/>
            <w:noWrap/>
            <w:hideMark/>
          </w:tcPr>
          <w:p w14:paraId="29A2EDE1" w14:textId="77777777" w:rsidR="0058789F" w:rsidRDefault="0058789F" w:rsidP="00254C0B">
            <w:pPr>
              <w:pStyle w:val="TableHeading3rightalign"/>
            </w:pPr>
            <w:r w:rsidRPr="009B1E76">
              <w:t>202</w:t>
            </w:r>
            <w:r>
              <w:t>2</w:t>
            </w:r>
          </w:p>
          <w:p w14:paraId="6A8C8F87" w14:textId="77777777" w:rsidR="0058789F" w:rsidRPr="009B1E76" w:rsidRDefault="0058789F" w:rsidP="00254C0B">
            <w:pPr>
              <w:pStyle w:val="TableHeading3rightalign"/>
            </w:pPr>
            <w:r>
              <w:t>(</w:t>
            </w:r>
            <w:r w:rsidRPr="00A154E2">
              <w:t>$’000</w:t>
            </w:r>
            <w:r>
              <w:t>)</w:t>
            </w:r>
          </w:p>
        </w:tc>
      </w:tr>
      <w:tr w:rsidR="0058789F" w:rsidRPr="009B1E76" w14:paraId="318F174B" w14:textId="77777777" w:rsidTr="00AD1066">
        <w:trPr>
          <w:trHeight w:val="255"/>
        </w:trPr>
        <w:tc>
          <w:tcPr>
            <w:tcW w:w="0" w:type="pct"/>
            <w:gridSpan w:val="3"/>
            <w:tcBorders>
              <w:bottom w:val="dotted" w:sz="4" w:space="0" w:color="auto"/>
            </w:tcBorders>
            <w:noWrap/>
            <w:hideMark/>
          </w:tcPr>
          <w:p w14:paraId="7F566C8B" w14:textId="77777777" w:rsidR="0058789F" w:rsidRPr="009B1E76" w:rsidRDefault="0058789F" w:rsidP="00AD1066">
            <w:pPr>
              <w:pStyle w:val="TableBodyTextsmall"/>
            </w:pPr>
            <w:r>
              <w:t xml:space="preserve"> </w:t>
            </w:r>
          </w:p>
        </w:tc>
      </w:tr>
      <w:tr w:rsidR="0058789F" w:rsidRPr="009B1E76" w14:paraId="284F4E83" w14:textId="77777777" w:rsidTr="00AD1066">
        <w:trPr>
          <w:trHeight w:val="255"/>
        </w:trPr>
        <w:tc>
          <w:tcPr>
            <w:tcW w:w="0" w:type="pct"/>
            <w:tcBorders>
              <w:top w:val="dotted" w:sz="4" w:space="0" w:color="auto"/>
              <w:bottom w:val="single" w:sz="4" w:space="0" w:color="auto"/>
            </w:tcBorders>
            <w:noWrap/>
            <w:hideMark/>
          </w:tcPr>
          <w:p w14:paraId="597D6964" w14:textId="77777777" w:rsidR="0058789F" w:rsidRPr="00A154E2" w:rsidRDefault="0058789F" w:rsidP="00AD1066">
            <w:pPr>
              <w:pStyle w:val="TableBodyText"/>
              <w:rPr>
                <w:rStyle w:val="Characterbold"/>
              </w:rPr>
            </w:pPr>
            <w:r w:rsidRPr="00A154E2">
              <w:rPr>
                <w:rStyle w:val="Characterbold"/>
              </w:rPr>
              <w:t>Opening balance</w:t>
            </w:r>
          </w:p>
        </w:tc>
        <w:tc>
          <w:tcPr>
            <w:tcW w:w="0" w:type="pct"/>
            <w:tcBorders>
              <w:top w:val="dotted" w:sz="4" w:space="0" w:color="auto"/>
              <w:bottom w:val="single" w:sz="4" w:space="0" w:color="auto"/>
            </w:tcBorders>
            <w:shd w:val="clear" w:color="auto" w:fill="F2F2F2" w:themeFill="background1" w:themeFillShade="F2"/>
            <w:noWrap/>
          </w:tcPr>
          <w:p w14:paraId="3B4116AB" w14:textId="77777777" w:rsidR="0058789F" w:rsidRPr="00A154E2" w:rsidRDefault="0058789F" w:rsidP="00AD1066">
            <w:pPr>
              <w:pStyle w:val="TableBodyTextrightalign"/>
              <w:rPr>
                <w:rStyle w:val="Characterbold"/>
              </w:rPr>
            </w:pPr>
            <w:r>
              <w:rPr>
                <w:rStyle w:val="Characterbold"/>
              </w:rPr>
              <w:t>1,117</w:t>
            </w:r>
          </w:p>
        </w:tc>
        <w:tc>
          <w:tcPr>
            <w:tcW w:w="0" w:type="pct"/>
            <w:tcBorders>
              <w:top w:val="dotted" w:sz="4" w:space="0" w:color="auto"/>
              <w:bottom w:val="single" w:sz="4" w:space="0" w:color="auto"/>
            </w:tcBorders>
            <w:noWrap/>
            <w:hideMark/>
          </w:tcPr>
          <w:p w14:paraId="4B0F62D4" w14:textId="77777777" w:rsidR="0058789F" w:rsidRPr="00A154E2" w:rsidRDefault="0058789F" w:rsidP="00AD1066">
            <w:pPr>
              <w:pStyle w:val="TableBodyTextrightalign"/>
              <w:rPr>
                <w:rStyle w:val="Characterbold"/>
              </w:rPr>
            </w:pPr>
            <w:r>
              <w:rPr>
                <w:rStyle w:val="Characterbold"/>
              </w:rPr>
              <w:t>933</w:t>
            </w:r>
          </w:p>
        </w:tc>
      </w:tr>
      <w:tr w:rsidR="0058789F" w:rsidRPr="009B1E76" w14:paraId="7554F821" w14:textId="77777777" w:rsidTr="00AD1066">
        <w:trPr>
          <w:trHeight w:val="255"/>
        </w:trPr>
        <w:tc>
          <w:tcPr>
            <w:tcW w:w="0" w:type="pct"/>
            <w:tcBorders>
              <w:top w:val="single" w:sz="4" w:space="0" w:color="auto"/>
            </w:tcBorders>
            <w:noWrap/>
            <w:hideMark/>
          </w:tcPr>
          <w:p w14:paraId="0583B5DC" w14:textId="77777777" w:rsidR="0058789F" w:rsidRPr="009B1E76" w:rsidRDefault="0058789F" w:rsidP="00AD1066">
            <w:pPr>
              <w:pStyle w:val="TableBodyText"/>
            </w:pPr>
            <w:r w:rsidRPr="009B1E76">
              <w:t>Additional provisions recognised</w:t>
            </w:r>
          </w:p>
        </w:tc>
        <w:tc>
          <w:tcPr>
            <w:tcW w:w="0" w:type="pct"/>
            <w:tcBorders>
              <w:top w:val="single" w:sz="4" w:space="0" w:color="auto"/>
            </w:tcBorders>
            <w:shd w:val="clear" w:color="auto" w:fill="F2F2F2" w:themeFill="background1" w:themeFillShade="F2"/>
            <w:noWrap/>
          </w:tcPr>
          <w:p w14:paraId="28E46A3A" w14:textId="77777777" w:rsidR="0058789F" w:rsidRPr="009B1E76" w:rsidRDefault="0058789F" w:rsidP="00AD1066">
            <w:pPr>
              <w:pStyle w:val="TableBodyTextrightalign"/>
            </w:pPr>
            <w:r>
              <w:t>572</w:t>
            </w:r>
          </w:p>
        </w:tc>
        <w:tc>
          <w:tcPr>
            <w:tcW w:w="0" w:type="pct"/>
            <w:tcBorders>
              <w:top w:val="single" w:sz="4" w:space="0" w:color="auto"/>
            </w:tcBorders>
            <w:noWrap/>
            <w:hideMark/>
          </w:tcPr>
          <w:p w14:paraId="5DCBFA7A" w14:textId="77777777" w:rsidR="0058789F" w:rsidRPr="009B1E76" w:rsidRDefault="0058789F" w:rsidP="00AD1066">
            <w:pPr>
              <w:pStyle w:val="TableBodyTextrightalign"/>
            </w:pPr>
            <w:r>
              <w:t>642</w:t>
            </w:r>
          </w:p>
        </w:tc>
      </w:tr>
      <w:tr w:rsidR="0058789F" w:rsidRPr="009B1E76" w14:paraId="581F23C4" w14:textId="77777777" w:rsidTr="00AD1066">
        <w:trPr>
          <w:trHeight w:val="255"/>
        </w:trPr>
        <w:tc>
          <w:tcPr>
            <w:tcW w:w="0" w:type="pct"/>
            <w:noWrap/>
            <w:hideMark/>
          </w:tcPr>
          <w:p w14:paraId="57BFF3B6" w14:textId="77777777" w:rsidR="0058789F" w:rsidRPr="009B1E76" w:rsidRDefault="0058789F" w:rsidP="00AD1066">
            <w:pPr>
              <w:pStyle w:val="TableBodyText"/>
            </w:pPr>
            <w:r w:rsidRPr="009B1E76">
              <w:t>Increase/(reduction) resulting from remeasurement</w:t>
            </w:r>
          </w:p>
        </w:tc>
        <w:tc>
          <w:tcPr>
            <w:tcW w:w="0" w:type="pct"/>
            <w:shd w:val="clear" w:color="auto" w:fill="F2F2F2" w:themeFill="background1" w:themeFillShade="F2"/>
            <w:noWrap/>
          </w:tcPr>
          <w:p w14:paraId="79F57258" w14:textId="77777777" w:rsidR="0058789F" w:rsidRPr="009B1E76" w:rsidRDefault="0058789F" w:rsidP="00AD1066">
            <w:pPr>
              <w:pStyle w:val="TableBodyTextrightalign"/>
            </w:pPr>
            <w:r>
              <w:t>46</w:t>
            </w:r>
          </w:p>
        </w:tc>
        <w:tc>
          <w:tcPr>
            <w:tcW w:w="0" w:type="pct"/>
            <w:noWrap/>
            <w:hideMark/>
          </w:tcPr>
          <w:p w14:paraId="58308304" w14:textId="77777777" w:rsidR="0058789F" w:rsidRPr="009B1E76" w:rsidRDefault="0058789F" w:rsidP="00AD1066">
            <w:pPr>
              <w:pStyle w:val="TableBodyTextrightalign"/>
            </w:pPr>
            <w:r>
              <w:t>(35)</w:t>
            </w:r>
          </w:p>
        </w:tc>
      </w:tr>
      <w:tr w:rsidR="0058789F" w:rsidRPr="009B1E76" w14:paraId="534DEC63" w14:textId="77777777" w:rsidTr="00AD1066">
        <w:trPr>
          <w:trHeight w:val="510"/>
        </w:trPr>
        <w:tc>
          <w:tcPr>
            <w:tcW w:w="0" w:type="pct"/>
            <w:tcBorders>
              <w:bottom w:val="dotted" w:sz="4" w:space="0" w:color="auto"/>
            </w:tcBorders>
            <w:hideMark/>
          </w:tcPr>
          <w:p w14:paraId="3DAC04F3" w14:textId="77777777" w:rsidR="0058789F" w:rsidRPr="009B1E76" w:rsidRDefault="0058789F" w:rsidP="00AD1066">
            <w:pPr>
              <w:pStyle w:val="TableBodyText"/>
            </w:pPr>
            <w:r w:rsidRPr="009B1E76">
              <w:t>Reductions arising from payments/other sacrifices of future economic benefits</w:t>
            </w:r>
          </w:p>
        </w:tc>
        <w:tc>
          <w:tcPr>
            <w:tcW w:w="0" w:type="pct"/>
            <w:tcBorders>
              <w:bottom w:val="dotted" w:sz="4" w:space="0" w:color="auto"/>
            </w:tcBorders>
            <w:shd w:val="clear" w:color="auto" w:fill="F2F2F2" w:themeFill="background1" w:themeFillShade="F2"/>
            <w:noWrap/>
          </w:tcPr>
          <w:p w14:paraId="0B46A397" w14:textId="77777777" w:rsidR="0058789F" w:rsidRPr="009B1E76" w:rsidRDefault="0058789F" w:rsidP="00AD1066">
            <w:pPr>
              <w:pStyle w:val="TableBodyTextrightalign"/>
            </w:pPr>
            <w:r>
              <w:t>(527)</w:t>
            </w:r>
          </w:p>
        </w:tc>
        <w:tc>
          <w:tcPr>
            <w:tcW w:w="0" w:type="pct"/>
            <w:tcBorders>
              <w:bottom w:val="dotted" w:sz="4" w:space="0" w:color="auto"/>
            </w:tcBorders>
            <w:noWrap/>
            <w:hideMark/>
          </w:tcPr>
          <w:p w14:paraId="2FFE8C02" w14:textId="77777777" w:rsidR="0058789F" w:rsidRPr="009B1E76" w:rsidRDefault="0058789F" w:rsidP="00AD1066">
            <w:pPr>
              <w:pStyle w:val="TableBodyTextrightalign"/>
            </w:pPr>
            <w:r>
              <w:t>(424)</w:t>
            </w:r>
          </w:p>
        </w:tc>
      </w:tr>
      <w:tr w:rsidR="0058789F" w:rsidRPr="00A154E2" w14:paraId="0EB698BA" w14:textId="77777777" w:rsidTr="00AD1066">
        <w:trPr>
          <w:trHeight w:val="255"/>
        </w:trPr>
        <w:tc>
          <w:tcPr>
            <w:tcW w:w="0" w:type="pct"/>
            <w:tcBorders>
              <w:top w:val="dotted" w:sz="4" w:space="0" w:color="auto"/>
              <w:bottom w:val="single" w:sz="4" w:space="0" w:color="auto"/>
            </w:tcBorders>
            <w:noWrap/>
            <w:hideMark/>
          </w:tcPr>
          <w:p w14:paraId="6F726CA0" w14:textId="77777777" w:rsidR="0058789F" w:rsidRPr="00A154E2" w:rsidRDefault="0058789F" w:rsidP="00AD1066">
            <w:pPr>
              <w:pStyle w:val="TableBodyText"/>
              <w:rPr>
                <w:rStyle w:val="Characterbold"/>
              </w:rPr>
            </w:pPr>
            <w:r w:rsidRPr="00A154E2">
              <w:rPr>
                <w:rStyle w:val="Characterbold"/>
              </w:rPr>
              <w:t>Closing balance</w:t>
            </w:r>
          </w:p>
        </w:tc>
        <w:tc>
          <w:tcPr>
            <w:tcW w:w="0" w:type="pct"/>
            <w:tcBorders>
              <w:top w:val="dotted" w:sz="4" w:space="0" w:color="auto"/>
              <w:bottom w:val="single" w:sz="4" w:space="0" w:color="auto"/>
            </w:tcBorders>
            <w:shd w:val="clear" w:color="auto" w:fill="F2F2F2" w:themeFill="background1" w:themeFillShade="F2"/>
            <w:noWrap/>
          </w:tcPr>
          <w:p w14:paraId="13BE2E17" w14:textId="77777777" w:rsidR="0058789F" w:rsidRPr="007E78B5" w:rsidRDefault="0058789F" w:rsidP="007E78B5">
            <w:pPr>
              <w:pStyle w:val="TableBodyTextrightalign"/>
              <w:rPr>
                <w:rStyle w:val="Characterbold"/>
              </w:rPr>
            </w:pPr>
            <w:r w:rsidRPr="007E78B5">
              <w:rPr>
                <w:rStyle w:val="Characterbold"/>
              </w:rPr>
              <w:t>1,208</w:t>
            </w:r>
          </w:p>
        </w:tc>
        <w:tc>
          <w:tcPr>
            <w:tcW w:w="0" w:type="pct"/>
            <w:tcBorders>
              <w:top w:val="dotted" w:sz="4" w:space="0" w:color="auto"/>
              <w:bottom w:val="single" w:sz="4" w:space="0" w:color="auto"/>
            </w:tcBorders>
            <w:noWrap/>
            <w:hideMark/>
          </w:tcPr>
          <w:p w14:paraId="01FAD47E" w14:textId="77777777" w:rsidR="0058789F" w:rsidRPr="00A154E2" w:rsidRDefault="0058789F" w:rsidP="00AD1066">
            <w:pPr>
              <w:pStyle w:val="TableBodyTextrightalign"/>
              <w:rPr>
                <w:rStyle w:val="Characterbold"/>
              </w:rPr>
            </w:pPr>
            <w:r>
              <w:rPr>
                <w:rStyle w:val="Characterbold"/>
              </w:rPr>
              <w:t>1,117</w:t>
            </w:r>
          </w:p>
        </w:tc>
      </w:tr>
      <w:tr w:rsidR="0058789F" w:rsidRPr="009B1E76" w14:paraId="452A51E4" w14:textId="77777777" w:rsidTr="00AD1066">
        <w:trPr>
          <w:trHeight w:val="255"/>
        </w:trPr>
        <w:tc>
          <w:tcPr>
            <w:tcW w:w="0" w:type="pct"/>
            <w:gridSpan w:val="3"/>
            <w:tcBorders>
              <w:top w:val="single" w:sz="4" w:space="0" w:color="auto"/>
            </w:tcBorders>
            <w:noWrap/>
            <w:hideMark/>
          </w:tcPr>
          <w:p w14:paraId="0E0DDED5" w14:textId="77777777" w:rsidR="0058789F" w:rsidRPr="009B1E76" w:rsidRDefault="0058789F" w:rsidP="00AD1066">
            <w:pPr>
              <w:pStyle w:val="TableBodyTextsmall"/>
            </w:pPr>
            <w:r>
              <w:t xml:space="preserve"> </w:t>
            </w:r>
          </w:p>
        </w:tc>
      </w:tr>
      <w:tr w:rsidR="0058789F" w:rsidRPr="009B1E76" w14:paraId="2BBD04D9" w14:textId="77777777" w:rsidTr="00AD1066">
        <w:trPr>
          <w:trHeight w:val="255"/>
        </w:trPr>
        <w:tc>
          <w:tcPr>
            <w:tcW w:w="0" w:type="pct"/>
            <w:noWrap/>
            <w:hideMark/>
          </w:tcPr>
          <w:p w14:paraId="039480BB" w14:textId="77777777" w:rsidR="0058789F" w:rsidRPr="009B1E76" w:rsidRDefault="0058789F" w:rsidP="00AD1066">
            <w:pPr>
              <w:pStyle w:val="TableBodyText"/>
            </w:pPr>
            <w:r w:rsidRPr="009B1E76">
              <w:t>Current</w:t>
            </w:r>
          </w:p>
        </w:tc>
        <w:tc>
          <w:tcPr>
            <w:tcW w:w="0" w:type="pct"/>
            <w:shd w:val="clear" w:color="auto" w:fill="F2F2F2" w:themeFill="background1" w:themeFillShade="F2"/>
            <w:noWrap/>
          </w:tcPr>
          <w:p w14:paraId="731B44CC" w14:textId="77777777" w:rsidR="0058789F" w:rsidRPr="009B1E76" w:rsidRDefault="0058789F" w:rsidP="00AD1066">
            <w:pPr>
              <w:pStyle w:val="TableBodyTextrightalign"/>
            </w:pPr>
            <w:r>
              <w:t>1,055</w:t>
            </w:r>
          </w:p>
        </w:tc>
        <w:tc>
          <w:tcPr>
            <w:tcW w:w="0" w:type="pct"/>
            <w:noWrap/>
            <w:hideMark/>
          </w:tcPr>
          <w:p w14:paraId="782B2F28" w14:textId="77777777" w:rsidR="0058789F" w:rsidRPr="009B1E76" w:rsidRDefault="0058789F" w:rsidP="00AD1066">
            <w:pPr>
              <w:pStyle w:val="TableBodyTextrightalign"/>
            </w:pPr>
            <w:r>
              <w:t>1,001</w:t>
            </w:r>
          </w:p>
        </w:tc>
      </w:tr>
      <w:tr w:rsidR="0058789F" w:rsidRPr="009B1E76" w14:paraId="2C8E09EB" w14:textId="77777777" w:rsidTr="00AD1066">
        <w:trPr>
          <w:trHeight w:val="255"/>
        </w:trPr>
        <w:tc>
          <w:tcPr>
            <w:tcW w:w="0" w:type="pct"/>
            <w:tcBorders>
              <w:bottom w:val="dotted" w:sz="4" w:space="0" w:color="auto"/>
            </w:tcBorders>
            <w:noWrap/>
            <w:hideMark/>
          </w:tcPr>
          <w:p w14:paraId="0D6FC14B" w14:textId="77777777" w:rsidR="0058789F" w:rsidRPr="009B1E76" w:rsidRDefault="0058789F" w:rsidP="00AD1066">
            <w:pPr>
              <w:pStyle w:val="TableBodyText"/>
            </w:pPr>
            <w:r w:rsidRPr="009B1E76">
              <w:t>Non-current</w:t>
            </w:r>
          </w:p>
        </w:tc>
        <w:tc>
          <w:tcPr>
            <w:tcW w:w="0" w:type="pct"/>
            <w:tcBorders>
              <w:bottom w:val="dotted" w:sz="4" w:space="0" w:color="auto"/>
            </w:tcBorders>
            <w:shd w:val="clear" w:color="auto" w:fill="F2F2F2" w:themeFill="background1" w:themeFillShade="F2"/>
            <w:noWrap/>
          </w:tcPr>
          <w:p w14:paraId="1357002A" w14:textId="77777777" w:rsidR="0058789F" w:rsidRPr="009B1E76" w:rsidRDefault="0058789F" w:rsidP="00AD1066">
            <w:pPr>
              <w:pStyle w:val="TableBodyTextrightalign"/>
            </w:pPr>
            <w:r>
              <w:t>152</w:t>
            </w:r>
          </w:p>
        </w:tc>
        <w:tc>
          <w:tcPr>
            <w:tcW w:w="0" w:type="pct"/>
            <w:tcBorders>
              <w:bottom w:val="dotted" w:sz="4" w:space="0" w:color="auto"/>
            </w:tcBorders>
            <w:noWrap/>
            <w:hideMark/>
          </w:tcPr>
          <w:p w14:paraId="0BADFB4A" w14:textId="77777777" w:rsidR="0058789F" w:rsidRPr="009B1E76" w:rsidRDefault="0058789F" w:rsidP="00AD1066">
            <w:pPr>
              <w:pStyle w:val="TableBodyTextrightalign"/>
            </w:pPr>
            <w:r>
              <w:t>116</w:t>
            </w:r>
          </w:p>
        </w:tc>
      </w:tr>
      <w:tr w:rsidR="0058789F" w:rsidRPr="00CA74AF" w14:paraId="51EAD35B"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0" w:type="pct"/>
            <w:tcBorders>
              <w:top w:val="dotted" w:sz="4" w:space="0" w:color="auto"/>
            </w:tcBorders>
            <w:noWrap/>
            <w:hideMark/>
          </w:tcPr>
          <w:p w14:paraId="601F5383" w14:textId="77777777" w:rsidR="0058789F" w:rsidRPr="00A154E2" w:rsidRDefault="0058789F" w:rsidP="00AD1066">
            <w:pPr>
              <w:pStyle w:val="TableBodyText"/>
            </w:pPr>
            <w:r w:rsidRPr="00A154E2">
              <w:t xml:space="preserve"> Total</w:t>
            </w:r>
          </w:p>
        </w:tc>
        <w:tc>
          <w:tcPr>
            <w:tcW w:w="0" w:type="pct"/>
            <w:tcBorders>
              <w:top w:val="dotted" w:sz="4" w:space="0" w:color="auto"/>
            </w:tcBorders>
            <w:shd w:val="clear" w:color="auto" w:fill="F2F2F2" w:themeFill="background1" w:themeFillShade="F2"/>
            <w:noWrap/>
          </w:tcPr>
          <w:p w14:paraId="2CD3ABF2" w14:textId="77777777" w:rsidR="0058789F" w:rsidRPr="00A154E2" w:rsidRDefault="0058789F" w:rsidP="00AD1066">
            <w:pPr>
              <w:pStyle w:val="TableBodyTextrightalign"/>
            </w:pPr>
            <w:r>
              <w:t>1,208</w:t>
            </w:r>
          </w:p>
        </w:tc>
        <w:tc>
          <w:tcPr>
            <w:tcW w:w="0" w:type="pct"/>
            <w:tcBorders>
              <w:top w:val="dotted" w:sz="4" w:space="0" w:color="auto"/>
            </w:tcBorders>
            <w:noWrap/>
            <w:hideMark/>
          </w:tcPr>
          <w:p w14:paraId="4F783735" w14:textId="77777777" w:rsidR="0058789F" w:rsidRPr="00A154E2" w:rsidRDefault="0058789F" w:rsidP="00AD1066">
            <w:pPr>
              <w:pStyle w:val="TableBodyTextrightalign"/>
            </w:pPr>
            <w:r>
              <w:t>1,117</w:t>
            </w:r>
          </w:p>
        </w:tc>
      </w:tr>
    </w:tbl>
    <w:p w14:paraId="38BB2180" w14:textId="77777777" w:rsidR="0058789F" w:rsidRDefault="0058789F" w:rsidP="0058789F">
      <w:pPr>
        <w:pStyle w:val="TableBodyText"/>
      </w:pPr>
    </w:p>
    <w:p w14:paraId="7E01045D" w14:textId="77777777" w:rsidR="0058789F" w:rsidRPr="00AD2CAD" w:rsidRDefault="0058789F" w:rsidP="0058789F">
      <w:pPr>
        <w:pStyle w:val="Heading5"/>
      </w:pPr>
      <w:r w:rsidRPr="00AD2CAD">
        <w:t>Wages and salaries, annual leave and sick leave</w:t>
      </w:r>
    </w:p>
    <w:p w14:paraId="08114DF6" w14:textId="77777777" w:rsidR="0058789F" w:rsidRDefault="0058789F" w:rsidP="0058789F">
      <w:pPr>
        <w:pStyle w:val="BodyText"/>
      </w:pPr>
      <w:r w:rsidRPr="00AD2CAD">
        <w:t>Liabilities for wages and salaries (including non-monetary benefits, and annual leave and on-costs) are recognised as part of employee benefit provision as current liabilities and measured at undiscounted rates</w:t>
      </w:r>
      <w:r>
        <w:t xml:space="preserve"> </w:t>
      </w:r>
      <w:r w:rsidRPr="00AD2CAD">
        <w:t>because IBAC does not have an unconditional right to defer settlements of these liabilities</w:t>
      </w:r>
      <w:r w:rsidRPr="00684C78">
        <w:t xml:space="preserve"> </w:t>
      </w:r>
      <w:r>
        <w:t>and expects these liabilities to be wholly settled within 12 months of the reporting date.</w:t>
      </w:r>
    </w:p>
    <w:p w14:paraId="1AE898AE" w14:textId="77777777" w:rsidR="0058789F" w:rsidRPr="00AD2CAD" w:rsidRDefault="0058789F" w:rsidP="0058789F">
      <w:pPr>
        <w:pStyle w:val="BodyText"/>
      </w:pPr>
      <w:r w:rsidRPr="00AD2CAD">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w:t>
      </w:r>
      <w:r>
        <w:t>Statement of C</w:t>
      </w:r>
      <w:r w:rsidRPr="00AD2CAD">
        <w:t xml:space="preserve">omprehensive </w:t>
      </w:r>
      <w:r>
        <w:t>Income</w:t>
      </w:r>
      <w:r w:rsidRPr="00AD2CAD">
        <w:t xml:space="preserve"> as it is taken.</w:t>
      </w:r>
    </w:p>
    <w:p w14:paraId="68361B88" w14:textId="77777777" w:rsidR="0058789F" w:rsidRDefault="0058789F" w:rsidP="0058789F">
      <w:pPr>
        <w:pStyle w:val="BodyText"/>
      </w:pPr>
      <w:r w:rsidRPr="00AD2CAD">
        <w:t>Employment on-costs such as payroll tax, workers</w:t>
      </w:r>
      <w:r>
        <w:t xml:space="preserve"> </w:t>
      </w:r>
      <w:r w:rsidRPr="00AD2CAD">
        <w:t>compensation and superannuation are not employee benefits. They are disclosed separately as a component of the provision for employee benefits when the employment to which they relate has occurred.</w:t>
      </w:r>
    </w:p>
    <w:p w14:paraId="7ECB25D1" w14:textId="77777777" w:rsidR="0058789F" w:rsidRPr="00BB1D62" w:rsidRDefault="0058789F" w:rsidP="0058789F">
      <w:pPr>
        <w:pStyle w:val="Heading5"/>
      </w:pPr>
      <w:r w:rsidRPr="00BB1D62">
        <w:t>Long service leave</w:t>
      </w:r>
    </w:p>
    <w:p w14:paraId="5276B4F7" w14:textId="77777777" w:rsidR="0058789F" w:rsidRPr="00BB1D62" w:rsidRDefault="0058789F" w:rsidP="0058789F">
      <w:pPr>
        <w:pStyle w:val="BodyText"/>
      </w:pPr>
      <w:r w:rsidRPr="00BB1D62">
        <w:t>Unconditional LSL is disclosed as a current liability, even where IBAC does not expect to settle the liability within 12 months</w:t>
      </w:r>
      <w:r>
        <w:t>,</w:t>
      </w:r>
      <w:r w:rsidRPr="00BB1D62">
        <w:t xml:space="preserve"> because it will not have the unconditional right to defer the settlement of the entitlement should an employee take leave within 12 months.</w:t>
      </w:r>
    </w:p>
    <w:p w14:paraId="2F095341" w14:textId="77777777" w:rsidR="0058789F" w:rsidRPr="00BB1D62" w:rsidRDefault="0058789F" w:rsidP="0058789F">
      <w:pPr>
        <w:pStyle w:val="BodyText"/>
      </w:pPr>
      <w:r w:rsidRPr="00BB1D62">
        <w:t>The components of this current LSL liability are measured at:</w:t>
      </w:r>
    </w:p>
    <w:p w14:paraId="13CBB131" w14:textId="77777777" w:rsidR="0058789F" w:rsidRPr="00BB1D62" w:rsidRDefault="0058789F" w:rsidP="0058789F">
      <w:pPr>
        <w:pStyle w:val="ListBullet"/>
        <w:ind w:left="357" w:hanging="357"/>
      </w:pPr>
      <w:r w:rsidRPr="00BB1D62">
        <w:t>undiscounted value – if IBAC expects to wholly settle within 12 months</w:t>
      </w:r>
    </w:p>
    <w:p w14:paraId="085970B5" w14:textId="77777777" w:rsidR="0058789F" w:rsidRPr="00BB1D62" w:rsidRDefault="0058789F" w:rsidP="0058789F">
      <w:pPr>
        <w:pStyle w:val="ListBullet"/>
        <w:ind w:left="357" w:hanging="357"/>
      </w:pPr>
      <w:r w:rsidRPr="00BB1D62">
        <w:t>present value – if IBAC does not expect to wholly settle within 12 months.</w:t>
      </w:r>
    </w:p>
    <w:p w14:paraId="6A45834D" w14:textId="77777777" w:rsidR="0058789F" w:rsidRPr="00BB1D62" w:rsidRDefault="0058789F" w:rsidP="0058789F">
      <w:pPr>
        <w:pStyle w:val="BodyText"/>
      </w:pPr>
      <w:r w:rsidRPr="00BB1D62">
        <w:t>Conditional LSL is disclosed as a non-current liability. There is a conditional right to defer the settlement of the entitlement until the employee has completed the requisite years of service. This non-current LSL liability is measured at present value.</w:t>
      </w:r>
    </w:p>
    <w:p w14:paraId="07CB1FFB" w14:textId="77777777" w:rsidR="0058789F" w:rsidRDefault="0058789F" w:rsidP="0058789F">
      <w:pPr>
        <w:pStyle w:val="BodyText"/>
      </w:pPr>
      <w:r w:rsidRPr="00BB1D62">
        <w:t>Any gain or loss following revaluation of the present value of non-current LSL liability is recognised as a transaction, except to the extent that a gain or loss arises due to changes in bond interest rates</w:t>
      </w:r>
      <w:r>
        <w:t>,</w:t>
      </w:r>
      <w:r w:rsidRPr="00BB1D62">
        <w:t xml:space="preserve"> for which it is then recognised as an</w:t>
      </w:r>
      <w:r>
        <w:t xml:space="preserve"> ‘</w:t>
      </w:r>
      <w:r w:rsidRPr="00BB1D62">
        <w:t>other economic flow</w:t>
      </w:r>
      <w:r>
        <w:t>’</w:t>
      </w:r>
      <w:r w:rsidRPr="00BB1D62">
        <w:t xml:space="preserve"> in the net result.</w:t>
      </w:r>
    </w:p>
    <w:p w14:paraId="16968F17" w14:textId="77777777" w:rsidR="0058789F" w:rsidRPr="004C6E70" w:rsidRDefault="0058789F" w:rsidP="006F399C">
      <w:pPr>
        <w:pStyle w:val="NotesHeading3"/>
      </w:pPr>
      <w:r w:rsidRPr="007211D6">
        <w:t xml:space="preserve"> </w:t>
      </w:r>
      <w:bookmarkStart w:id="173" w:name="_Ref149164427"/>
      <w:r w:rsidRPr="004C6E70">
        <w:t>Superannuation contributions</w:t>
      </w:r>
      <w:bookmarkEnd w:id="173"/>
    </w:p>
    <w:p w14:paraId="28FC33F5" w14:textId="77777777" w:rsidR="0058789F" w:rsidRPr="00D92200" w:rsidRDefault="0058789F" w:rsidP="0058789F">
      <w:pPr>
        <w:pStyle w:val="BodyText"/>
      </w:pPr>
      <w:r>
        <w:t>Employees of IBAC are entitled to receive superannuation benefits and</w:t>
      </w:r>
      <w:r w:rsidRPr="00D92200">
        <w:t xml:space="preserve"> IBAC contributes to both defined benefit and defined contribution plans for its employees. The defined benefit plan provides benefits based on years of service and final average salary</w:t>
      </w:r>
      <w:r>
        <w:t>,</w:t>
      </w:r>
      <w:r w:rsidRPr="00D92200">
        <w:t xml:space="preserve"> while the defined contribution plan</w:t>
      </w:r>
      <w:r>
        <w:t xml:space="preserve"> provides benefits based on the amount contributed into the fund by</w:t>
      </w:r>
      <w:r w:rsidRPr="00D92200">
        <w:t xml:space="preserve"> IBAC based on a fixed percentage of the employees’ salaries</w:t>
      </w:r>
      <w:r>
        <w:t xml:space="preserve">.   </w:t>
      </w:r>
    </w:p>
    <w:p w14:paraId="6E62063B" w14:textId="77777777" w:rsidR="0058789F" w:rsidRPr="00D92200" w:rsidRDefault="0058789F" w:rsidP="0058789F">
      <w:pPr>
        <w:pStyle w:val="BodyText"/>
      </w:pPr>
      <w:r w:rsidRPr="00D92200">
        <w:t xml:space="preserve">Superannuation contributions paid or payable for the reporting period are included as part of employee benefits in </w:t>
      </w:r>
      <w:r>
        <w:t>IBAC’s</w:t>
      </w:r>
      <w:r w:rsidRPr="00D92200">
        <w:t xml:space="preserve"> comprehensive operating statement.</w:t>
      </w:r>
    </w:p>
    <w:p w14:paraId="41960988" w14:textId="2F956528" w:rsidR="00292FA7" w:rsidRDefault="0058789F" w:rsidP="0058789F">
      <w:pPr>
        <w:pStyle w:val="BodyText"/>
      </w:pPr>
      <w:r w:rsidRPr="00D92200">
        <w:t xml:space="preserve">The name, details and amounts expensed in relation to the major employee superannuation funds and contributions made by IBAC are </w:t>
      </w:r>
      <w:r>
        <w:t>shown in the following table.</w:t>
      </w:r>
    </w:p>
    <w:p w14:paraId="11567F1C" w14:textId="77777777" w:rsidR="00292FA7" w:rsidRDefault="00292FA7" w:rsidP="007211D6">
      <w:pPr>
        <w:pStyle w:val="BodyText"/>
      </w:pPr>
      <w:r>
        <w:br w:type="page"/>
      </w:r>
    </w:p>
    <w:p w14:paraId="638CE761" w14:textId="77777777" w:rsidR="0058789F" w:rsidRDefault="0058789F" w:rsidP="0058789F">
      <w:pPr>
        <w:pStyle w:val="BodyText"/>
      </w:pPr>
    </w:p>
    <w:tbl>
      <w:tblPr>
        <w:tblStyle w:val="CustomTabledetailed"/>
        <w:tblW w:w="9147" w:type="dxa"/>
        <w:tblLayout w:type="fixed"/>
        <w:tblLook w:val="0660" w:firstRow="1" w:lastRow="1" w:firstColumn="0" w:lastColumn="0" w:noHBand="1" w:noVBand="1"/>
      </w:tblPr>
      <w:tblGrid>
        <w:gridCol w:w="3686"/>
        <w:gridCol w:w="1365"/>
        <w:gridCol w:w="1365"/>
        <w:gridCol w:w="1365"/>
        <w:gridCol w:w="1366"/>
      </w:tblGrid>
      <w:tr w:rsidR="0058789F" w:rsidRPr="00355DC0" w14:paraId="31EB8D2A" w14:textId="77777777" w:rsidTr="00AD1066">
        <w:trPr>
          <w:cnfStyle w:val="100000000000" w:firstRow="1" w:lastRow="0" w:firstColumn="0" w:lastColumn="0" w:oddVBand="0" w:evenVBand="0" w:oddHBand="0" w:evenHBand="0" w:firstRowFirstColumn="0" w:firstRowLastColumn="0" w:lastRowFirstColumn="0" w:lastRowLastColumn="0"/>
          <w:trHeight w:val="600"/>
        </w:trPr>
        <w:tc>
          <w:tcPr>
            <w:tcW w:w="3686" w:type="dxa"/>
          </w:tcPr>
          <w:p w14:paraId="33F8893D" w14:textId="77777777" w:rsidR="0058789F" w:rsidRPr="00355DC0" w:rsidRDefault="0058789F" w:rsidP="00AD1066">
            <w:pPr>
              <w:pStyle w:val="TableHeading1"/>
            </w:pPr>
            <w:bookmarkStart w:id="174" w:name="_Hlk143756966"/>
          </w:p>
        </w:tc>
        <w:tc>
          <w:tcPr>
            <w:tcW w:w="2730" w:type="dxa"/>
            <w:gridSpan w:val="2"/>
            <w:hideMark/>
          </w:tcPr>
          <w:p w14:paraId="60B5B30A" w14:textId="77777777" w:rsidR="0058789F" w:rsidRPr="00355DC0" w:rsidRDefault="0058789F" w:rsidP="00AD1066">
            <w:pPr>
              <w:pStyle w:val="TableHeading3rightalign"/>
            </w:pPr>
            <w:r w:rsidRPr="00355DC0">
              <w:t>Paid contribution for the year</w:t>
            </w:r>
          </w:p>
        </w:tc>
        <w:tc>
          <w:tcPr>
            <w:tcW w:w="2731" w:type="dxa"/>
            <w:gridSpan w:val="2"/>
            <w:hideMark/>
          </w:tcPr>
          <w:p w14:paraId="35A26438" w14:textId="5E173719" w:rsidR="0058789F" w:rsidRPr="00355DC0" w:rsidRDefault="0058789F" w:rsidP="00AD1066">
            <w:pPr>
              <w:pStyle w:val="TableHeading3rightalign"/>
            </w:pPr>
            <w:r w:rsidRPr="00355DC0">
              <w:t xml:space="preserve">Contributions outstanding  at year end </w:t>
            </w:r>
          </w:p>
        </w:tc>
      </w:tr>
      <w:tr w:rsidR="0058789F" w:rsidRPr="00355DC0" w14:paraId="1B15321C" w14:textId="77777777" w:rsidTr="00AD1066">
        <w:trPr>
          <w:trHeight w:val="330"/>
        </w:trPr>
        <w:tc>
          <w:tcPr>
            <w:tcW w:w="3686" w:type="dxa"/>
            <w:shd w:val="clear" w:color="auto" w:fill="E5DFEC" w:themeFill="accent4" w:themeFillTint="33"/>
            <w:noWrap/>
            <w:hideMark/>
          </w:tcPr>
          <w:p w14:paraId="34934F69" w14:textId="77777777" w:rsidR="0058789F" w:rsidRPr="00355DC0" w:rsidRDefault="0058789F" w:rsidP="00AD1066">
            <w:pPr>
              <w:pStyle w:val="TableHeading1"/>
            </w:pPr>
            <w:r w:rsidRPr="00355DC0">
              <w:t> Fund</w:t>
            </w:r>
          </w:p>
        </w:tc>
        <w:tc>
          <w:tcPr>
            <w:tcW w:w="1365" w:type="dxa"/>
            <w:shd w:val="clear" w:color="auto" w:fill="E5DFEC" w:themeFill="accent4" w:themeFillTint="33"/>
            <w:noWrap/>
            <w:hideMark/>
          </w:tcPr>
          <w:p w14:paraId="125A501B" w14:textId="77777777" w:rsidR="0058789F" w:rsidRDefault="0058789F" w:rsidP="00AD1066">
            <w:pPr>
              <w:pStyle w:val="TableHeading3rightalign"/>
            </w:pPr>
            <w:r w:rsidRPr="00355DC0">
              <w:t>202</w:t>
            </w:r>
            <w:r>
              <w:t>3</w:t>
            </w:r>
          </w:p>
          <w:p w14:paraId="2DBFD0EF" w14:textId="77777777" w:rsidR="0058789F" w:rsidRPr="00355DC0" w:rsidRDefault="0058789F" w:rsidP="00AD1066">
            <w:pPr>
              <w:pStyle w:val="TableHeading3rightalign"/>
            </w:pPr>
            <w:r>
              <w:t>(</w:t>
            </w:r>
            <w:r w:rsidRPr="00A154E2">
              <w:t>$’000</w:t>
            </w:r>
            <w:r>
              <w:t>)</w:t>
            </w:r>
          </w:p>
        </w:tc>
        <w:tc>
          <w:tcPr>
            <w:tcW w:w="1365" w:type="dxa"/>
            <w:shd w:val="clear" w:color="auto" w:fill="E5DFEC" w:themeFill="accent4" w:themeFillTint="33"/>
            <w:noWrap/>
            <w:hideMark/>
          </w:tcPr>
          <w:p w14:paraId="32BF3259" w14:textId="77777777" w:rsidR="0058789F" w:rsidRDefault="0058789F" w:rsidP="00AD1066">
            <w:pPr>
              <w:pStyle w:val="TableHeading3rightalign"/>
            </w:pPr>
            <w:r w:rsidRPr="00355DC0">
              <w:t>202</w:t>
            </w:r>
            <w:r>
              <w:t>2</w:t>
            </w:r>
          </w:p>
          <w:p w14:paraId="6BFB4BC8" w14:textId="77777777" w:rsidR="0058789F" w:rsidRPr="00355DC0" w:rsidRDefault="0058789F" w:rsidP="00AD1066">
            <w:pPr>
              <w:pStyle w:val="TableHeading3rightalign"/>
            </w:pPr>
            <w:r>
              <w:t>(</w:t>
            </w:r>
            <w:r w:rsidRPr="00A154E2">
              <w:t>$’000</w:t>
            </w:r>
            <w:r>
              <w:t>)</w:t>
            </w:r>
          </w:p>
        </w:tc>
        <w:tc>
          <w:tcPr>
            <w:tcW w:w="1365" w:type="dxa"/>
            <w:shd w:val="clear" w:color="auto" w:fill="E5DFEC" w:themeFill="accent4" w:themeFillTint="33"/>
            <w:noWrap/>
            <w:hideMark/>
          </w:tcPr>
          <w:p w14:paraId="2297347D" w14:textId="77777777" w:rsidR="0058789F" w:rsidRDefault="0058789F" w:rsidP="00AD1066">
            <w:pPr>
              <w:pStyle w:val="TableHeading3rightalign"/>
            </w:pPr>
            <w:r w:rsidRPr="00355DC0">
              <w:t>202</w:t>
            </w:r>
            <w:r>
              <w:t>3</w:t>
            </w:r>
          </w:p>
          <w:p w14:paraId="1DC56A91" w14:textId="77777777" w:rsidR="0058789F" w:rsidRPr="00355DC0" w:rsidRDefault="0058789F" w:rsidP="00AD1066">
            <w:pPr>
              <w:pStyle w:val="TableHeading3rightalign"/>
            </w:pPr>
            <w:r>
              <w:t>(</w:t>
            </w:r>
            <w:r w:rsidRPr="00A154E2">
              <w:t>$’000</w:t>
            </w:r>
            <w:r>
              <w:t>)</w:t>
            </w:r>
          </w:p>
        </w:tc>
        <w:tc>
          <w:tcPr>
            <w:tcW w:w="1366" w:type="dxa"/>
            <w:shd w:val="clear" w:color="auto" w:fill="E5DFEC" w:themeFill="accent4" w:themeFillTint="33"/>
            <w:noWrap/>
            <w:hideMark/>
          </w:tcPr>
          <w:p w14:paraId="3995F745" w14:textId="77777777" w:rsidR="0058789F" w:rsidRDefault="0058789F" w:rsidP="00AD1066">
            <w:pPr>
              <w:pStyle w:val="TableHeading3rightalign"/>
            </w:pPr>
            <w:r w:rsidRPr="00355DC0">
              <w:t>202</w:t>
            </w:r>
            <w:r>
              <w:t>2</w:t>
            </w:r>
          </w:p>
          <w:p w14:paraId="493BED8E" w14:textId="77777777" w:rsidR="0058789F" w:rsidRPr="00355DC0" w:rsidRDefault="0058789F" w:rsidP="00AD1066">
            <w:pPr>
              <w:pStyle w:val="TableHeading3rightalign"/>
            </w:pPr>
            <w:r>
              <w:t>(</w:t>
            </w:r>
            <w:r w:rsidRPr="00A154E2">
              <w:t>$’000</w:t>
            </w:r>
            <w:r>
              <w:t>)</w:t>
            </w:r>
          </w:p>
        </w:tc>
      </w:tr>
      <w:tr w:rsidR="0058789F" w:rsidRPr="00355DC0" w14:paraId="2D6CFB98" w14:textId="77777777" w:rsidTr="00AD1066">
        <w:trPr>
          <w:trHeight w:val="255"/>
        </w:trPr>
        <w:tc>
          <w:tcPr>
            <w:tcW w:w="9147" w:type="dxa"/>
            <w:gridSpan w:val="5"/>
            <w:noWrap/>
            <w:hideMark/>
          </w:tcPr>
          <w:p w14:paraId="173027A1" w14:textId="77777777" w:rsidR="0058789F" w:rsidRPr="00355DC0" w:rsidRDefault="0058789F" w:rsidP="00AD1066">
            <w:pPr>
              <w:pStyle w:val="TableBodyTextsmall"/>
            </w:pPr>
            <w:r>
              <w:t xml:space="preserve"> </w:t>
            </w:r>
          </w:p>
        </w:tc>
      </w:tr>
      <w:tr w:rsidR="0058789F" w:rsidRPr="00355DC0" w14:paraId="238D7ABB" w14:textId="77777777" w:rsidTr="00AD1066">
        <w:trPr>
          <w:trHeight w:val="255"/>
        </w:trPr>
        <w:tc>
          <w:tcPr>
            <w:tcW w:w="9147" w:type="dxa"/>
            <w:gridSpan w:val="5"/>
            <w:noWrap/>
            <w:hideMark/>
          </w:tcPr>
          <w:p w14:paraId="48FCC139" w14:textId="77777777" w:rsidR="0058789F" w:rsidRPr="00601CCF" w:rsidRDefault="0058789F" w:rsidP="00AD1066">
            <w:pPr>
              <w:pStyle w:val="TableHeading1"/>
            </w:pPr>
            <w:r w:rsidRPr="00601CCF">
              <w:t>Defined benefit plan</w:t>
            </w:r>
          </w:p>
        </w:tc>
      </w:tr>
      <w:tr w:rsidR="0058789F" w:rsidRPr="00355DC0" w14:paraId="3B4220DD" w14:textId="77777777" w:rsidTr="00AD1066">
        <w:trPr>
          <w:trHeight w:val="255"/>
        </w:trPr>
        <w:tc>
          <w:tcPr>
            <w:tcW w:w="3686" w:type="dxa"/>
            <w:noWrap/>
            <w:hideMark/>
          </w:tcPr>
          <w:p w14:paraId="05AA154E" w14:textId="77777777" w:rsidR="0058789F" w:rsidRPr="00355DC0" w:rsidRDefault="0058789F" w:rsidP="00AD1066">
            <w:pPr>
              <w:pStyle w:val="TableBodyText"/>
            </w:pPr>
            <w:r w:rsidRPr="00355DC0">
              <w:t>State Superannuation Fund – revised and new</w:t>
            </w:r>
          </w:p>
        </w:tc>
        <w:tc>
          <w:tcPr>
            <w:tcW w:w="1365" w:type="dxa"/>
            <w:shd w:val="clear" w:color="auto" w:fill="F2F2F2" w:themeFill="background1" w:themeFillShade="F2"/>
            <w:noWrap/>
          </w:tcPr>
          <w:p w14:paraId="68FFFBBE" w14:textId="77777777" w:rsidR="0058789F" w:rsidRPr="00355DC0" w:rsidRDefault="0058789F" w:rsidP="00AD1066">
            <w:pPr>
              <w:pStyle w:val="TableBodyTextrightalign"/>
            </w:pPr>
            <w:r>
              <w:t>16</w:t>
            </w:r>
          </w:p>
        </w:tc>
        <w:tc>
          <w:tcPr>
            <w:tcW w:w="1365" w:type="dxa"/>
            <w:noWrap/>
            <w:hideMark/>
          </w:tcPr>
          <w:p w14:paraId="3F69A0E2" w14:textId="77777777" w:rsidR="0058789F" w:rsidRPr="00355DC0" w:rsidRDefault="0058789F" w:rsidP="00AD1066">
            <w:pPr>
              <w:pStyle w:val="TableBodyTextrightalign"/>
            </w:pPr>
            <w:r>
              <w:t>14</w:t>
            </w:r>
          </w:p>
        </w:tc>
        <w:tc>
          <w:tcPr>
            <w:tcW w:w="1365" w:type="dxa"/>
            <w:shd w:val="clear" w:color="auto" w:fill="F2F2F2" w:themeFill="background1" w:themeFillShade="F2"/>
            <w:noWrap/>
          </w:tcPr>
          <w:p w14:paraId="524DD76A" w14:textId="77777777" w:rsidR="0058789F" w:rsidRPr="00355DC0" w:rsidRDefault="0058789F" w:rsidP="00AD1066">
            <w:pPr>
              <w:pStyle w:val="TableBodyTextrightalign"/>
            </w:pPr>
            <w:r>
              <w:t>–</w:t>
            </w:r>
          </w:p>
        </w:tc>
        <w:tc>
          <w:tcPr>
            <w:tcW w:w="1366" w:type="dxa"/>
            <w:noWrap/>
            <w:hideMark/>
          </w:tcPr>
          <w:p w14:paraId="0F4DEB22" w14:textId="77777777" w:rsidR="0058789F" w:rsidRPr="00355DC0" w:rsidRDefault="0058789F" w:rsidP="00AD1066">
            <w:pPr>
              <w:pStyle w:val="TableBodyTextrightalign"/>
            </w:pPr>
            <w:r>
              <w:t>–</w:t>
            </w:r>
          </w:p>
        </w:tc>
      </w:tr>
      <w:tr w:rsidR="0058789F" w:rsidRPr="00355DC0" w14:paraId="03FDADDF" w14:textId="77777777" w:rsidTr="00AD1066">
        <w:trPr>
          <w:trHeight w:val="255"/>
        </w:trPr>
        <w:tc>
          <w:tcPr>
            <w:tcW w:w="9147" w:type="dxa"/>
            <w:gridSpan w:val="5"/>
            <w:noWrap/>
            <w:hideMark/>
          </w:tcPr>
          <w:p w14:paraId="72F389E3" w14:textId="77777777" w:rsidR="0058789F" w:rsidRPr="00355DC0" w:rsidRDefault="0058789F" w:rsidP="00AD1066">
            <w:pPr>
              <w:pStyle w:val="TableBodyTextsmall"/>
            </w:pPr>
            <w:r>
              <w:t xml:space="preserve"> </w:t>
            </w:r>
          </w:p>
        </w:tc>
      </w:tr>
      <w:tr w:rsidR="0058789F" w:rsidRPr="00355DC0" w14:paraId="5384ADB3" w14:textId="77777777" w:rsidTr="00AD1066">
        <w:trPr>
          <w:trHeight w:val="255"/>
        </w:trPr>
        <w:tc>
          <w:tcPr>
            <w:tcW w:w="9147" w:type="dxa"/>
            <w:gridSpan w:val="5"/>
            <w:noWrap/>
            <w:hideMark/>
          </w:tcPr>
          <w:p w14:paraId="360406C6" w14:textId="77777777" w:rsidR="0058789F" w:rsidRPr="00601CCF" w:rsidRDefault="0058789F" w:rsidP="00AD1066">
            <w:pPr>
              <w:pStyle w:val="TableHeading1"/>
            </w:pPr>
            <w:r w:rsidRPr="00601CCF">
              <w:t>Defined contribution plans</w:t>
            </w:r>
          </w:p>
        </w:tc>
      </w:tr>
      <w:tr w:rsidR="0058789F" w:rsidRPr="00355DC0" w14:paraId="03E74F68" w14:textId="77777777" w:rsidTr="00AD1066">
        <w:trPr>
          <w:trHeight w:val="255"/>
        </w:trPr>
        <w:tc>
          <w:tcPr>
            <w:tcW w:w="3686" w:type="dxa"/>
            <w:noWrap/>
            <w:hideMark/>
          </w:tcPr>
          <w:p w14:paraId="240888B7" w14:textId="77777777" w:rsidR="0058789F" w:rsidRPr="00355DC0" w:rsidRDefault="0058789F" w:rsidP="00AD1066">
            <w:pPr>
              <w:pStyle w:val="TableBodyText"/>
            </w:pPr>
            <w:r w:rsidRPr="00355DC0">
              <w:t>VicSuper</w:t>
            </w:r>
          </w:p>
        </w:tc>
        <w:tc>
          <w:tcPr>
            <w:tcW w:w="1365" w:type="dxa"/>
            <w:shd w:val="clear" w:color="auto" w:fill="F2F2F2" w:themeFill="background1" w:themeFillShade="F2"/>
            <w:noWrap/>
          </w:tcPr>
          <w:p w14:paraId="7671A267" w14:textId="77777777" w:rsidR="0058789F" w:rsidRPr="00355DC0" w:rsidRDefault="0058789F" w:rsidP="00AD1066">
            <w:pPr>
              <w:pStyle w:val="TableBodyTextrightalign"/>
            </w:pPr>
            <w:r>
              <w:t>1,575</w:t>
            </w:r>
          </w:p>
        </w:tc>
        <w:tc>
          <w:tcPr>
            <w:tcW w:w="1365" w:type="dxa"/>
            <w:noWrap/>
            <w:hideMark/>
          </w:tcPr>
          <w:p w14:paraId="00704607" w14:textId="77777777" w:rsidR="0058789F" w:rsidRPr="00355DC0" w:rsidRDefault="0058789F" w:rsidP="00AD1066">
            <w:pPr>
              <w:pStyle w:val="TableBodyTextrightalign"/>
            </w:pPr>
            <w:r>
              <w:t>1,405</w:t>
            </w:r>
          </w:p>
        </w:tc>
        <w:tc>
          <w:tcPr>
            <w:tcW w:w="1365" w:type="dxa"/>
            <w:shd w:val="clear" w:color="auto" w:fill="F2F2F2" w:themeFill="background1" w:themeFillShade="F2"/>
            <w:noWrap/>
          </w:tcPr>
          <w:p w14:paraId="6E3B30B7" w14:textId="77777777" w:rsidR="0058789F" w:rsidRPr="00355DC0" w:rsidRDefault="0058789F" w:rsidP="00AD1066">
            <w:pPr>
              <w:pStyle w:val="TableBodyTextrightalign"/>
            </w:pPr>
            <w:r w:rsidRPr="000C3331">
              <w:t>–</w:t>
            </w:r>
          </w:p>
        </w:tc>
        <w:tc>
          <w:tcPr>
            <w:tcW w:w="1366" w:type="dxa"/>
            <w:noWrap/>
            <w:hideMark/>
          </w:tcPr>
          <w:p w14:paraId="6FC8C2D5" w14:textId="77777777" w:rsidR="0058789F" w:rsidRPr="00355DC0" w:rsidRDefault="0058789F" w:rsidP="00AD1066">
            <w:pPr>
              <w:pStyle w:val="TableBodyTextrightalign"/>
            </w:pPr>
            <w:r w:rsidRPr="00533C3C">
              <w:t>–</w:t>
            </w:r>
          </w:p>
        </w:tc>
      </w:tr>
      <w:tr w:rsidR="0058789F" w:rsidRPr="00355DC0" w14:paraId="790C82DF" w14:textId="77777777" w:rsidTr="00AD1066">
        <w:trPr>
          <w:trHeight w:val="255"/>
        </w:trPr>
        <w:tc>
          <w:tcPr>
            <w:tcW w:w="3686" w:type="dxa"/>
            <w:noWrap/>
          </w:tcPr>
          <w:p w14:paraId="5BDDFD28" w14:textId="77777777" w:rsidR="0058789F" w:rsidRPr="00355DC0" w:rsidRDefault="0058789F" w:rsidP="00AD1066">
            <w:pPr>
              <w:pStyle w:val="TableBodyText"/>
            </w:pPr>
            <w:r>
              <w:t>Australian Super</w:t>
            </w:r>
          </w:p>
        </w:tc>
        <w:tc>
          <w:tcPr>
            <w:tcW w:w="1365" w:type="dxa"/>
            <w:shd w:val="clear" w:color="auto" w:fill="F2F2F2" w:themeFill="background1" w:themeFillShade="F2"/>
            <w:noWrap/>
          </w:tcPr>
          <w:p w14:paraId="6E45C018" w14:textId="77777777" w:rsidR="0058789F" w:rsidRDefault="0058789F" w:rsidP="00AD1066">
            <w:pPr>
              <w:pStyle w:val="TableBodyTextrightalign"/>
            </w:pPr>
            <w:r>
              <w:t>414</w:t>
            </w:r>
          </w:p>
        </w:tc>
        <w:tc>
          <w:tcPr>
            <w:tcW w:w="1365" w:type="dxa"/>
            <w:noWrap/>
          </w:tcPr>
          <w:p w14:paraId="04E74D63" w14:textId="77777777" w:rsidR="0058789F" w:rsidRDefault="0058789F" w:rsidP="00AD1066">
            <w:pPr>
              <w:pStyle w:val="TableBodyTextrightalign"/>
            </w:pPr>
            <w:r>
              <w:t>297</w:t>
            </w:r>
          </w:p>
        </w:tc>
        <w:tc>
          <w:tcPr>
            <w:tcW w:w="1365" w:type="dxa"/>
            <w:shd w:val="clear" w:color="auto" w:fill="F2F2F2" w:themeFill="background1" w:themeFillShade="F2"/>
            <w:noWrap/>
          </w:tcPr>
          <w:p w14:paraId="38907B66" w14:textId="77777777" w:rsidR="0058789F" w:rsidRDefault="0058789F" w:rsidP="00AD1066">
            <w:pPr>
              <w:pStyle w:val="TableBodyTextrightalign"/>
            </w:pPr>
            <w:r w:rsidRPr="000C3331">
              <w:t>–</w:t>
            </w:r>
          </w:p>
        </w:tc>
        <w:tc>
          <w:tcPr>
            <w:tcW w:w="1366" w:type="dxa"/>
            <w:noWrap/>
          </w:tcPr>
          <w:p w14:paraId="19DAC6E2" w14:textId="77777777" w:rsidR="0058789F" w:rsidRDefault="0058789F" w:rsidP="00AD1066">
            <w:pPr>
              <w:pStyle w:val="TableBodyTextrightalign"/>
            </w:pPr>
            <w:r w:rsidRPr="00533C3C">
              <w:t>–</w:t>
            </w:r>
          </w:p>
        </w:tc>
      </w:tr>
      <w:tr w:rsidR="0058789F" w:rsidRPr="00355DC0" w14:paraId="15B6C370" w14:textId="77777777" w:rsidTr="00AD1066">
        <w:trPr>
          <w:trHeight w:val="255"/>
        </w:trPr>
        <w:tc>
          <w:tcPr>
            <w:tcW w:w="3686" w:type="dxa"/>
            <w:noWrap/>
          </w:tcPr>
          <w:p w14:paraId="70059CBF" w14:textId="77777777" w:rsidR="0058789F" w:rsidRPr="00355DC0" w:rsidRDefault="0058789F" w:rsidP="00AD1066">
            <w:pPr>
              <w:pStyle w:val="TableBodyText"/>
            </w:pPr>
            <w:r>
              <w:t>Employer Superannuation</w:t>
            </w:r>
          </w:p>
        </w:tc>
        <w:tc>
          <w:tcPr>
            <w:tcW w:w="1365" w:type="dxa"/>
            <w:shd w:val="clear" w:color="auto" w:fill="F2F2F2" w:themeFill="background1" w:themeFillShade="F2"/>
            <w:noWrap/>
          </w:tcPr>
          <w:p w14:paraId="225B2F6B" w14:textId="77777777" w:rsidR="0058789F" w:rsidRDefault="0058789F" w:rsidP="00AD1066">
            <w:pPr>
              <w:pStyle w:val="TableBodyTextrightalign"/>
            </w:pPr>
            <w:r>
              <w:t>391</w:t>
            </w:r>
          </w:p>
        </w:tc>
        <w:tc>
          <w:tcPr>
            <w:tcW w:w="1365" w:type="dxa"/>
            <w:noWrap/>
          </w:tcPr>
          <w:p w14:paraId="1F36E23B" w14:textId="77777777" w:rsidR="0058789F" w:rsidRDefault="0058789F" w:rsidP="00AD1066">
            <w:pPr>
              <w:pStyle w:val="TableBodyTextrightalign"/>
            </w:pPr>
            <w:r>
              <w:t>329</w:t>
            </w:r>
          </w:p>
        </w:tc>
        <w:tc>
          <w:tcPr>
            <w:tcW w:w="1365" w:type="dxa"/>
            <w:shd w:val="clear" w:color="auto" w:fill="F2F2F2" w:themeFill="background1" w:themeFillShade="F2"/>
            <w:noWrap/>
          </w:tcPr>
          <w:p w14:paraId="1791BA6B" w14:textId="77777777" w:rsidR="0058789F" w:rsidRDefault="0058789F" w:rsidP="00AD1066">
            <w:pPr>
              <w:pStyle w:val="TableBodyTextrightalign"/>
            </w:pPr>
            <w:r w:rsidRPr="000C3331">
              <w:t>–</w:t>
            </w:r>
          </w:p>
        </w:tc>
        <w:tc>
          <w:tcPr>
            <w:tcW w:w="1366" w:type="dxa"/>
            <w:noWrap/>
          </w:tcPr>
          <w:p w14:paraId="4CA94B33" w14:textId="77777777" w:rsidR="0058789F" w:rsidRDefault="0058789F" w:rsidP="00AD1066">
            <w:pPr>
              <w:pStyle w:val="TableBodyTextrightalign"/>
            </w:pPr>
            <w:r w:rsidRPr="00533C3C">
              <w:t>–</w:t>
            </w:r>
          </w:p>
        </w:tc>
      </w:tr>
      <w:tr w:rsidR="0058789F" w:rsidRPr="00355DC0" w14:paraId="7FEEB2EF" w14:textId="77777777" w:rsidTr="00AD1066">
        <w:trPr>
          <w:trHeight w:val="255"/>
        </w:trPr>
        <w:tc>
          <w:tcPr>
            <w:tcW w:w="3686" w:type="dxa"/>
            <w:noWrap/>
          </w:tcPr>
          <w:p w14:paraId="1F746659" w14:textId="77777777" w:rsidR="0058789F" w:rsidRPr="00355DC0" w:rsidRDefault="0058789F" w:rsidP="00AD1066">
            <w:pPr>
              <w:pStyle w:val="TableBodyText"/>
            </w:pPr>
            <w:r>
              <w:t>Host Plus Super</w:t>
            </w:r>
          </w:p>
        </w:tc>
        <w:tc>
          <w:tcPr>
            <w:tcW w:w="1365" w:type="dxa"/>
            <w:shd w:val="clear" w:color="auto" w:fill="F2F2F2" w:themeFill="background1" w:themeFillShade="F2"/>
            <w:noWrap/>
          </w:tcPr>
          <w:p w14:paraId="4F8722D2" w14:textId="77777777" w:rsidR="0058789F" w:rsidRDefault="0058789F" w:rsidP="00AD1066">
            <w:pPr>
              <w:pStyle w:val="TableBodyTextrightalign"/>
            </w:pPr>
            <w:r>
              <w:t>153</w:t>
            </w:r>
          </w:p>
        </w:tc>
        <w:tc>
          <w:tcPr>
            <w:tcW w:w="1365" w:type="dxa"/>
            <w:noWrap/>
          </w:tcPr>
          <w:p w14:paraId="0E4FBEDD" w14:textId="77777777" w:rsidR="0058789F" w:rsidRDefault="0058789F" w:rsidP="00AD1066">
            <w:pPr>
              <w:pStyle w:val="TableBodyTextrightalign"/>
            </w:pPr>
            <w:r>
              <w:t>131</w:t>
            </w:r>
          </w:p>
        </w:tc>
        <w:tc>
          <w:tcPr>
            <w:tcW w:w="1365" w:type="dxa"/>
            <w:shd w:val="clear" w:color="auto" w:fill="F2F2F2" w:themeFill="background1" w:themeFillShade="F2"/>
            <w:noWrap/>
          </w:tcPr>
          <w:p w14:paraId="2459DF55" w14:textId="77777777" w:rsidR="0058789F" w:rsidRDefault="0058789F" w:rsidP="00AD1066">
            <w:pPr>
              <w:pStyle w:val="TableBodyTextrightalign"/>
            </w:pPr>
            <w:r w:rsidRPr="000C3331">
              <w:t>–</w:t>
            </w:r>
          </w:p>
        </w:tc>
        <w:tc>
          <w:tcPr>
            <w:tcW w:w="1366" w:type="dxa"/>
            <w:noWrap/>
          </w:tcPr>
          <w:p w14:paraId="26D97874" w14:textId="77777777" w:rsidR="0058789F" w:rsidRDefault="0058789F" w:rsidP="00AD1066">
            <w:pPr>
              <w:pStyle w:val="TableBodyTextrightalign"/>
            </w:pPr>
            <w:r w:rsidRPr="00533C3C">
              <w:t>–</w:t>
            </w:r>
          </w:p>
        </w:tc>
      </w:tr>
      <w:tr w:rsidR="0058789F" w:rsidRPr="00355DC0" w14:paraId="1A1B7B72" w14:textId="77777777" w:rsidTr="00AD1066">
        <w:trPr>
          <w:trHeight w:val="255"/>
        </w:trPr>
        <w:tc>
          <w:tcPr>
            <w:tcW w:w="3686" w:type="dxa"/>
            <w:noWrap/>
            <w:hideMark/>
          </w:tcPr>
          <w:p w14:paraId="03536EE4" w14:textId="77777777" w:rsidR="0058789F" w:rsidRPr="00355DC0" w:rsidRDefault="0058789F" w:rsidP="00AD1066">
            <w:pPr>
              <w:pStyle w:val="TableBodyText"/>
            </w:pPr>
            <w:r w:rsidRPr="00355DC0">
              <w:t>Other</w:t>
            </w:r>
          </w:p>
        </w:tc>
        <w:tc>
          <w:tcPr>
            <w:tcW w:w="1365" w:type="dxa"/>
            <w:shd w:val="clear" w:color="auto" w:fill="F2F2F2" w:themeFill="background1" w:themeFillShade="F2"/>
            <w:noWrap/>
          </w:tcPr>
          <w:p w14:paraId="32D1E23E" w14:textId="77777777" w:rsidR="0058789F" w:rsidRPr="00355DC0" w:rsidRDefault="0058789F" w:rsidP="00AD1066">
            <w:pPr>
              <w:pStyle w:val="TableBodyTextrightalign"/>
            </w:pPr>
            <w:r>
              <w:t>738</w:t>
            </w:r>
          </w:p>
        </w:tc>
        <w:tc>
          <w:tcPr>
            <w:tcW w:w="1365" w:type="dxa"/>
            <w:noWrap/>
            <w:hideMark/>
          </w:tcPr>
          <w:p w14:paraId="38E12DF5" w14:textId="77777777" w:rsidR="0058789F" w:rsidRPr="00355DC0" w:rsidRDefault="0058789F" w:rsidP="00AD1066">
            <w:pPr>
              <w:pStyle w:val="TableBodyTextrightalign"/>
            </w:pPr>
            <w:r>
              <w:t>688</w:t>
            </w:r>
          </w:p>
        </w:tc>
        <w:tc>
          <w:tcPr>
            <w:tcW w:w="1365" w:type="dxa"/>
            <w:shd w:val="clear" w:color="auto" w:fill="F2F2F2" w:themeFill="background1" w:themeFillShade="F2"/>
            <w:noWrap/>
          </w:tcPr>
          <w:p w14:paraId="31ACDAC9" w14:textId="77777777" w:rsidR="0058789F" w:rsidRPr="00355DC0" w:rsidRDefault="0058789F" w:rsidP="00AD1066">
            <w:pPr>
              <w:pStyle w:val="TableBodyTextrightalign"/>
            </w:pPr>
            <w:r w:rsidRPr="000C3331">
              <w:t>–</w:t>
            </w:r>
          </w:p>
        </w:tc>
        <w:tc>
          <w:tcPr>
            <w:tcW w:w="1366" w:type="dxa"/>
            <w:noWrap/>
            <w:hideMark/>
          </w:tcPr>
          <w:p w14:paraId="4F520F22" w14:textId="77777777" w:rsidR="0058789F" w:rsidRPr="00355DC0" w:rsidRDefault="0058789F" w:rsidP="00AD1066">
            <w:pPr>
              <w:pStyle w:val="TableBodyTextrightalign"/>
            </w:pPr>
            <w:r w:rsidRPr="00533C3C">
              <w:t>–</w:t>
            </w:r>
          </w:p>
        </w:tc>
      </w:tr>
      <w:tr w:rsidR="0058789F" w:rsidRPr="00355DC0" w14:paraId="734C06DF" w14:textId="77777777" w:rsidTr="00AD1066">
        <w:trPr>
          <w:trHeight w:val="270"/>
        </w:trPr>
        <w:tc>
          <w:tcPr>
            <w:tcW w:w="9147" w:type="dxa"/>
            <w:gridSpan w:val="5"/>
            <w:noWrap/>
          </w:tcPr>
          <w:p w14:paraId="2B5B9410" w14:textId="77777777" w:rsidR="0058789F" w:rsidRPr="004C6E70" w:rsidRDefault="0058789F" w:rsidP="00AD1066">
            <w:pPr>
              <w:pStyle w:val="TableBodyTextsmall"/>
            </w:pPr>
            <w:r>
              <w:t xml:space="preserve"> </w:t>
            </w:r>
          </w:p>
        </w:tc>
      </w:tr>
      <w:tr w:rsidR="0058789F" w:rsidRPr="00355DC0" w14:paraId="5E173190"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3686" w:type="dxa"/>
            <w:noWrap/>
            <w:hideMark/>
          </w:tcPr>
          <w:p w14:paraId="46B089C7" w14:textId="77777777" w:rsidR="0058789F" w:rsidRPr="00CF03A8" w:rsidRDefault="0058789F" w:rsidP="00AD1066">
            <w:pPr>
              <w:pStyle w:val="TableBodyText"/>
            </w:pPr>
            <w:r w:rsidRPr="00CF03A8">
              <w:t>Total</w:t>
            </w:r>
          </w:p>
        </w:tc>
        <w:tc>
          <w:tcPr>
            <w:tcW w:w="1365" w:type="dxa"/>
            <w:shd w:val="clear" w:color="auto" w:fill="F2F2F2" w:themeFill="background1" w:themeFillShade="F2"/>
            <w:noWrap/>
          </w:tcPr>
          <w:p w14:paraId="7DA27F5D" w14:textId="77777777" w:rsidR="0058789F" w:rsidRPr="00CF03A8" w:rsidRDefault="0058789F" w:rsidP="00AD1066">
            <w:pPr>
              <w:pStyle w:val="TableBodyTextrightalign"/>
            </w:pPr>
            <w:r>
              <w:t>3,287</w:t>
            </w:r>
          </w:p>
        </w:tc>
        <w:tc>
          <w:tcPr>
            <w:tcW w:w="1365" w:type="dxa"/>
            <w:noWrap/>
            <w:hideMark/>
          </w:tcPr>
          <w:p w14:paraId="5DFD1E73" w14:textId="77777777" w:rsidR="0058789F" w:rsidRPr="00CF03A8" w:rsidRDefault="0058789F" w:rsidP="00AD1066">
            <w:pPr>
              <w:pStyle w:val="TableBodyTextrightalign"/>
            </w:pPr>
            <w:r>
              <w:t>2,864</w:t>
            </w:r>
          </w:p>
        </w:tc>
        <w:tc>
          <w:tcPr>
            <w:tcW w:w="1365" w:type="dxa"/>
            <w:shd w:val="clear" w:color="auto" w:fill="F2F2F2" w:themeFill="background1" w:themeFillShade="F2"/>
            <w:noWrap/>
          </w:tcPr>
          <w:p w14:paraId="528611CB" w14:textId="77777777" w:rsidR="0058789F" w:rsidRPr="00CF03A8" w:rsidRDefault="0058789F" w:rsidP="00AD1066">
            <w:pPr>
              <w:pStyle w:val="TableBodyTextrightalign"/>
            </w:pPr>
            <w:r w:rsidRPr="004C6E70">
              <w:t>–</w:t>
            </w:r>
          </w:p>
        </w:tc>
        <w:tc>
          <w:tcPr>
            <w:tcW w:w="1366" w:type="dxa"/>
            <w:noWrap/>
            <w:hideMark/>
          </w:tcPr>
          <w:p w14:paraId="7C6587C9" w14:textId="77777777" w:rsidR="0058789F" w:rsidRPr="00CF03A8" w:rsidRDefault="0058789F" w:rsidP="00AD1066">
            <w:pPr>
              <w:pStyle w:val="TableBodyTextrightalign"/>
            </w:pPr>
            <w:r w:rsidRPr="004C6E70">
              <w:t>–</w:t>
            </w:r>
          </w:p>
        </w:tc>
      </w:tr>
    </w:tbl>
    <w:bookmarkEnd w:id="174"/>
    <w:p w14:paraId="24AF31C9" w14:textId="77777777" w:rsidR="0058789F" w:rsidRDefault="0058789F" w:rsidP="0058789F">
      <w:pPr>
        <w:pStyle w:val="BodyText"/>
      </w:pPr>
      <w:r w:rsidRPr="00C04077">
        <w:t xml:space="preserve">The amount recognised in the comprehensive operating statement in relation to superannuation is employer contributions for members of both defined benefit and defined contribution superannuation plans that are paid or payable during the reporting period. </w:t>
      </w:r>
    </w:p>
    <w:p w14:paraId="7015B479" w14:textId="77777777" w:rsidR="0058789F" w:rsidRDefault="0058789F" w:rsidP="0058789F">
      <w:pPr>
        <w:pStyle w:val="BodyText"/>
      </w:pPr>
      <w:r w:rsidRPr="00C04077">
        <w:t>IBAC does not recognise any defined benefit liabilities</w:t>
      </w:r>
      <w:r>
        <w:t>,</w:t>
      </w:r>
      <w:r w:rsidRPr="00C04077">
        <w:t xml:space="preserve"> because it has no legal or constructive obligation to pay future benefits relating to its employees. Instead,</w:t>
      </w:r>
      <w:r>
        <w:t xml:space="preserve"> the</w:t>
      </w:r>
      <w:r w:rsidRPr="00C04077">
        <w:t xml:space="preserve"> </w:t>
      </w:r>
      <w:r w:rsidRPr="00EE1AB4">
        <w:t>Department of Treasury and Finance</w:t>
      </w:r>
      <w:r w:rsidRPr="00C04077">
        <w:t xml:space="preserve"> discloses in its annual financial report the net defined benefit cost related to the members of these plans as an administered liability (on behalf of the </w:t>
      </w:r>
      <w:r>
        <w:t>s</w:t>
      </w:r>
      <w:r w:rsidRPr="00C04077">
        <w:t>tate as the sponsoring employer).</w:t>
      </w:r>
    </w:p>
    <w:p w14:paraId="0BB9789A" w14:textId="77777777" w:rsidR="0058789F" w:rsidRDefault="0058789F" w:rsidP="006F399C">
      <w:pPr>
        <w:pStyle w:val="NotesHeading2"/>
      </w:pPr>
      <w:bookmarkStart w:id="175" w:name="_Ref82070688"/>
      <w:r w:rsidRPr="00F43920">
        <w:t>Other operating expenses</w:t>
      </w:r>
      <w:bookmarkEnd w:id="175"/>
    </w:p>
    <w:tbl>
      <w:tblPr>
        <w:tblStyle w:val="CustomTabledetailed"/>
        <w:tblW w:w="5000" w:type="pct"/>
        <w:tblLook w:val="0660" w:firstRow="1" w:lastRow="1" w:firstColumn="0" w:lastColumn="0" w:noHBand="1" w:noVBand="1"/>
      </w:tblPr>
      <w:tblGrid>
        <w:gridCol w:w="5597"/>
        <w:gridCol w:w="1628"/>
        <w:gridCol w:w="1802"/>
      </w:tblGrid>
      <w:tr w:rsidR="0058789F" w:rsidRPr="001F3C50" w14:paraId="66A685FF" w14:textId="77777777" w:rsidTr="00AD1066">
        <w:trPr>
          <w:cnfStyle w:val="100000000000" w:firstRow="1" w:lastRow="0" w:firstColumn="0" w:lastColumn="0" w:oddVBand="0" w:evenVBand="0" w:oddHBand="0" w:evenHBand="0" w:firstRowFirstColumn="0" w:firstRowLastColumn="0" w:lastRowFirstColumn="0" w:lastRowLastColumn="0"/>
          <w:trHeight w:val="300"/>
        </w:trPr>
        <w:tc>
          <w:tcPr>
            <w:tcW w:w="3100" w:type="pct"/>
            <w:noWrap/>
            <w:hideMark/>
          </w:tcPr>
          <w:p w14:paraId="65545C1F" w14:textId="77777777" w:rsidR="0058789F" w:rsidRPr="001F3C50" w:rsidRDefault="0058789F" w:rsidP="00AD1066">
            <w:pPr>
              <w:pStyle w:val="TableHeading1"/>
            </w:pPr>
          </w:p>
        </w:tc>
        <w:tc>
          <w:tcPr>
            <w:tcW w:w="902" w:type="pct"/>
            <w:noWrap/>
            <w:hideMark/>
          </w:tcPr>
          <w:p w14:paraId="705F0998" w14:textId="77777777" w:rsidR="0058789F" w:rsidRDefault="0058789F" w:rsidP="00254C0B">
            <w:pPr>
              <w:pStyle w:val="TableHeading3rightalign"/>
            </w:pPr>
            <w:r w:rsidRPr="001F3C50">
              <w:t>202</w:t>
            </w:r>
            <w:r>
              <w:t>3</w:t>
            </w:r>
          </w:p>
          <w:p w14:paraId="0900017C" w14:textId="77777777" w:rsidR="0058789F" w:rsidRPr="001F3C50" w:rsidRDefault="0058789F" w:rsidP="00254C0B">
            <w:pPr>
              <w:pStyle w:val="TableHeading3rightalign"/>
            </w:pPr>
            <w:r>
              <w:t>(</w:t>
            </w:r>
            <w:r w:rsidRPr="00A154E2">
              <w:t>$’000</w:t>
            </w:r>
            <w:r>
              <w:t>)</w:t>
            </w:r>
          </w:p>
        </w:tc>
        <w:tc>
          <w:tcPr>
            <w:tcW w:w="998" w:type="pct"/>
            <w:noWrap/>
            <w:hideMark/>
          </w:tcPr>
          <w:p w14:paraId="6045AFDC" w14:textId="77777777" w:rsidR="0058789F" w:rsidRDefault="0058789F" w:rsidP="00254C0B">
            <w:pPr>
              <w:pStyle w:val="TableHeading3rightalign"/>
            </w:pPr>
            <w:r w:rsidRPr="001F3C50">
              <w:t>202</w:t>
            </w:r>
            <w:r>
              <w:t>2</w:t>
            </w:r>
          </w:p>
          <w:p w14:paraId="6C788581" w14:textId="77777777" w:rsidR="0058789F" w:rsidRPr="001F3C50" w:rsidRDefault="0058789F" w:rsidP="00254C0B">
            <w:pPr>
              <w:pStyle w:val="TableHeading3rightalign"/>
            </w:pPr>
            <w:r>
              <w:t>(</w:t>
            </w:r>
            <w:r w:rsidRPr="00A154E2">
              <w:t>$’000</w:t>
            </w:r>
            <w:r>
              <w:t>)</w:t>
            </w:r>
          </w:p>
        </w:tc>
      </w:tr>
      <w:tr w:rsidR="0058789F" w:rsidRPr="001F3C50" w14:paraId="554053E3" w14:textId="77777777" w:rsidTr="00AD1066">
        <w:trPr>
          <w:trHeight w:val="300"/>
        </w:trPr>
        <w:tc>
          <w:tcPr>
            <w:tcW w:w="5000" w:type="pct"/>
            <w:gridSpan w:val="3"/>
            <w:noWrap/>
            <w:hideMark/>
          </w:tcPr>
          <w:p w14:paraId="1D6F6347" w14:textId="77777777" w:rsidR="0058789F" w:rsidRPr="001F3C50" w:rsidRDefault="0058789F" w:rsidP="00AD1066">
            <w:pPr>
              <w:pStyle w:val="TableBodyTextsmall"/>
            </w:pPr>
            <w:r>
              <w:t xml:space="preserve"> </w:t>
            </w:r>
          </w:p>
        </w:tc>
      </w:tr>
      <w:tr w:rsidR="0058789F" w:rsidRPr="001F3C50" w14:paraId="6D9110B4" w14:textId="77777777" w:rsidTr="00AD1066">
        <w:trPr>
          <w:trHeight w:val="300"/>
        </w:trPr>
        <w:tc>
          <w:tcPr>
            <w:tcW w:w="3100" w:type="pct"/>
            <w:noWrap/>
            <w:hideMark/>
          </w:tcPr>
          <w:p w14:paraId="1FDF150B" w14:textId="77777777" w:rsidR="0058789F" w:rsidRPr="001F3C50" w:rsidRDefault="0058789F" w:rsidP="00AD1066">
            <w:pPr>
              <w:pStyle w:val="TableBodyText"/>
            </w:pPr>
            <w:r w:rsidRPr="001F3C50">
              <w:t>Contractors and professional services</w:t>
            </w:r>
          </w:p>
        </w:tc>
        <w:tc>
          <w:tcPr>
            <w:tcW w:w="902" w:type="pct"/>
            <w:shd w:val="clear" w:color="auto" w:fill="F2F2F2" w:themeFill="background1" w:themeFillShade="F2"/>
            <w:noWrap/>
          </w:tcPr>
          <w:p w14:paraId="4C36F7D9" w14:textId="77777777" w:rsidR="0058789F" w:rsidRPr="001F3C50" w:rsidRDefault="0058789F" w:rsidP="00AD1066">
            <w:pPr>
              <w:pStyle w:val="TableBodyTextrightalign"/>
            </w:pPr>
            <w:r>
              <w:t>6,022</w:t>
            </w:r>
          </w:p>
        </w:tc>
        <w:tc>
          <w:tcPr>
            <w:tcW w:w="998" w:type="pct"/>
            <w:noWrap/>
            <w:hideMark/>
          </w:tcPr>
          <w:p w14:paraId="73CF2A27" w14:textId="77777777" w:rsidR="0058789F" w:rsidRPr="001F3C50" w:rsidRDefault="0058789F" w:rsidP="00AD1066">
            <w:pPr>
              <w:pStyle w:val="TableBodyTextrightalign"/>
            </w:pPr>
            <w:r>
              <w:t>6,636</w:t>
            </w:r>
          </w:p>
        </w:tc>
      </w:tr>
      <w:tr w:rsidR="0058789F" w:rsidRPr="001F3C50" w14:paraId="769C72E5" w14:textId="77777777" w:rsidTr="00AD1066">
        <w:trPr>
          <w:trHeight w:val="300"/>
        </w:trPr>
        <w:tc>
          <w:tcPr>
            <w:tcW w:w="3100" w:type="pct"/>
            <w:noWrap/>
            <w:hideMark/>
          </w:tcPr>
          <w:p w14:paraId="713AB104" w14:textId="77777777" w:rsidR="0058789F" w:rsidRPr="001F3C50" w:rsidRDefault="0058789F" w:rsidP="00AD1066">
            <w:pPr>
              <w:pStyle w:val="TableBodyText"/>
            </w:pPr>
            <w:r w:rsidRPr="001F3C50">
              <w:t>Technology service costs</w:t>
            </w:r>
          </w:p>
        </w:tc>
        <w:tc>
          <w:tcPr>
            <w:tcW w:w="902" w:type="pct"/>
            <w:shd w:val="clear" w:color="auto" w:fill="F2F2F2" w:themeFill="background1" w:themeFillShade="F2"/>
            <w:noWrap/>
          </w:tcPr>
          <w:p w14:paraId="73A5C862" w14:textId="77777777" w:rsidR="0058789F" w:rsidRPr="001F3C50" w:rsidRDefault="0058789F" w:rsidP="00AD1066">
            <w:pPr>
              <w:pStyle w:val="TableBodyTextrightalign"/>
            </w:pPr>
            <w:r>
              <w:t>3,566</w:t>
            </w:r>
          </w:p>
        </w:tc>
        <w:tc>
          <w:tcPr>
            <w:tcW w:w="998" w:type="pct"/>
            <w:noWrap/>
            <w:hideMark/>
          </w:tcPr>
          <w:p w14:paraId="3A054107" w14:textId="77777777" w:rsidR="0058789F" w:rsidRPr="001F3C50" w:rsidRDefault="0058789F" w:rsidP="00AD1066">
            <w:pPr>
              <w:pStyle w:val="TableBodyTextrightalign"/>
            </w:pPr>
            <w:r>
              <w:t>3,465</w:t>
            </w:r>
          </w:p>
        </w:tc>
      </w:tr>
      <w:tr w:rsidR="0058789F" w:rsidRPr="001F3C50" w14:paraId="668E9E2D" w14:textId="77777777" w:rsidTr="00AD1066">
        <w:trPr>
          <w:trHeight w:val="300"/>
        </w:trPr>
        <w:tc>
          <w:tcPr>
            <w:tcW w:w="3100" w:type="pct"/>
            <w:noWrap/>
            <w:hideMark/>
          </w:tcPr>
          <w:p w14:paraId="6AF0B4B9" w14:textId="77777777" w:rsidR="0058789F" w:rsidRPr="001F3C50" w:rsidRDefault="0058789F" w:rsidP="00AD1066">
            <w:pPr>
              <w:pStyle w:val="TableBodyText"/>
            </w:pPr>
            <w:r w:rsidRPr="001F3C50">
              <w:t>Accommodation and property expense</w:t>
            </w:r>
          </w:p>
        </w:tc>
        <w:tc>
          <w:tcPr>
            <w:tcW w:w="902" w:type="pct"/>
            <w:shd w:val="clear" w:color="auto" w:fill="F2F2F2" w:themeFill="background1" w:themeFillShade="F2"/>
            <w:noWrap/>
          </w:tcPr>
          <w:p w14:paraId="2F520F06" w14:textId="77777777" w:rsidR="0058789F" w:rsidRPr="001F3C50" w:rsidRDefault="0058789F" w:rsidP="00AD1066">
            <w:pPr>
              <w:pStyle w:val="TableBodyTextrightalign"/>
            </w:pPr>
            <w:r>
              <w:t>2,031</w:t>
            </w:r>
          </w:p>
        </w:tc>
        <w:tc>
          <w:tcPr>
            <w:tcW w:w="998" w:type="pct"/>
            <w:noWrap/>
            <w:hideMark/>
          </w:tcPr>
          <w:p w14:paraId="7A172FB8" w14:textId="77777777" w:rsidR="0058789F" w:rsidRPr="001F3C50" w:rsidRDefault="0058789F" w:rsidP="00AD1066">
            <w:pPr>
              <w:pStyle w:val="TableBodyTextrightalign"/>
            </w:pPr>
            <w:r>
              <w:t>1,840</w:t>
            </w:r>
          </w:p>
        </w:tc>
      </w:tr>
      <w:tr w:rsidR="0058789F" w:rsidRPr="001F3C50" w14:paraId="75B8FD27" w14:textId="77777777" w:rsidTr="00AD1066">
        <w:trPr>
          <w:trHeight w:val="300"/>
        </w:trPr>
        <w:tc>
          <w:tcPr>
            <w:tcW w:w="3100" w:type="pct"/>
            <w:noWrap/>
          </w:tcPr>
          <w:p w14:paraId="085719C4" w14:textId="77777777" w:rsidR="0058789F" w:rsidRPr="001F3C50" w:rsidRDefault="0058789F" w:rsidP="00AD1066">
            <w:pPr>
              <w:pStyle w:val="TableBodyText"/>
            </w:pPr>
            <w:r w:rsidRPr="001F3C50">
              <w:t>Other</w:t>
            </w:r>
          </w:p>
        </w:tc>
        <w:tc>
          <w:tcPr>
            <w:tcW w:w="902" w:type="pct"/>
            <w:shd w:val="clear" w:color="auto" w:fill="F2F2F2" w:themeFill="background1" w:themeFillShade="F2"/>
            <w:noWrap/>
          </w:tcPr>
          <w:p w14:paraId="10841985" w14:textId="77777777" w:rsidR="0058789F" w:rsidRPr="001F3C50" w:rsidRDefault="0058789F" w:rsidP="00AD1066">
            <w:pPr>
              <w:pStyle w:val="TableBodyTextrightalign"/>
            </w:pPr>
            <w:r>
              <w:t>1,561</w:t>
            </w:r>
          </w:p>
        </w:tc>
        <w:tc>
          <w:tcPr>
            <w:tcW w:w="998" w:type="pct"/>
            <w:noWrap/>
          </w:tcPr>
          <w:p w14:paraId="36D3C854" w14:textId="77777777" w:rsidR="0058789F" w:rsidRPr="001F3C50" w:rsidRDefault="0058789F" w:rsidP="00AD1066">
            <w:pPr>
              <w:pStyle w:val="TableBodyTextrightalign"/>
            </w:pPr>
            <w:r>
              <w:t>1,827</w:t>
            </w:r>
          </w:p>
        </w:tc>
      </w:tr>
      <w:tr w:rsidR="0058789F" w:rsidRPr="001F3C50" w14:paraId="7E52D4EF" w14:textId="77777777" w:rsidTr="00AD1066">
        <w:trPr>
          <w:trHeight w:val="300"/>
        </w:trPr>
        <w:tc>
          <w:tcPr>
            <w:tcW w:w="3100" w:type="pct"/>
            <w:noWrap/>
            <w:hideMark/>
          </w:tcPr>
          <w:p w14:paraId="54D4BBAD" w14:textId="77777777" w:rsidR="0058789F" w:rsidRPr="001F3C50" w:rsidRDefault="0058789F" w:rsidP="00AD1066">
            <w:pPr>
              <w:pStyle w:val="TableBodyText"/>
            </w:pPr>
            <w:r w:rsidRPr="001F3C50">
              <w:t>Training</w:t>
            </w:r>
          </w:p>
        </w:tc>
        <w:tc>
          <w:tcPr>
            <w:tcW w:w="902" w:type="pct"/>
            <w:shd w:val="clear" w:color="auto" w:fill="F2F2F2" w:themeFill="background1" w:themeFillShade="F2"/>
            <w:noWrap/>
          </w:tcPr>
          <w:p w14:paraId="0030B517" w14:textId="77777777" w:rsidR="0058789F" w:rsidRPr="001F3C50" w:rsidRDefault="0058789F" w:rsidP="00AD1066">
            <w:pPr>
              <w:pStyle w:val="TableBodyTextrightalign"/>
            </w:pPr>
            <w:r>
              <w:t>638</w:t>
            </w:r>
          </w:p>
        </w:tc>
        <w:tc>
          <w:tcPr>
            <w:tcW w:w="998" w:type="pct"/>
            <w:noWrap/>
            <w:hideMark/>
          </w:tcPr>
          <w:p w14:paraId="679FF3A4" w14:textId="77777777" w:rsidR="0058789F" w:rsidRPr="001F3C50" w:rsidRDefault="0058789F" w:rsidP="00AD1066">
            <w:pPr>
              <w:pStyle w:val="TableBodyTextrightalign"/>
            </w:pPr>
            <w:r>
              <w:t>555</w:t>
            </w:r>
          </w:p>
        </w:tc>
      </w:tr>
      <w:tr w:rsidR="0058789F" w:rsidRPr="001F3C50" w14:paraId="0939EC22" w14:textId="77777777" w:rsidTr="00AD1066">
        <w:trPr>
          <w:trHeight w:val="300"/>
        </w:trPr>
        <w:tc>
          <w:tcPr>
            <w:tcW w:w="3100" w:type="pct"/>
            <w:noWrap/>
            <w:hideMark/>
          </w:tcPr>
          <w:p w14:paraId="4ABFD4CD" w14:textId="77777777" w:rsidR="0058789F" w:rsidRPr="001F3C50" w:rsidRDefault="0058789F" w:rsidP="00AD1066">
            <w:pPr>
              <w:pStyle w:val="TableBodyText"/>
            </w:pPr>
            <w:r w:rsidRPr="001F3C50">
              <w:t>Communications and office expenses</w:t>
            </w:r>
          </w:p>
        </w:tc>
        <w:tc>
          <w:tcPr>
            <w:tcW w:w="902" w:type="pct"/>
            <w:shd w:val="clear" w:color="auto" w:fill="F2F2F2" w:themeFill="background1" w:themeFillShade="F2"/>
            <w:noWrap/>
          </w:tcPr>
          <w:p w14:paraId="3C539F9A" w14:textId="77777777" w:rsidR="0058789F" w:rsidRPr="001F3C50" w:rsidRDefault="0058789F" w:rsidP="00AD1066">
            <w:pPr>
              <w:pStyle w:val="TableBodyTextrightalign"/>
            </w:pPr>
            <w:r>
              <w:t>271</w:t>
            </w:r>
          </w:p>
        </w:tc>
        <w:tc>
          <w:tcPr>
            <w:tcW w:w="998" w:type="pct"/>
            <w:noWrap/>
            <w:hideMark/>
          </w:tcPr>
          <w:p w14:paraId="6F1EBCB2" w14:textId="77777777" w:rsidR="0058789F" w:rsidRPr="001F3C50" w:rsidRDefault="0058789F" w:rsidP="00AD1066">
            <w:pPr>
              <w:pStyle w:val="TableBodyTextrightalign"/>
            </w:pPr>
            <w:r>
              <w:t>536</w:t>
            </w:r>
          </w:p>
        </w:tc>
      </w:tr>
      <w:tr w:rsidR="0058789F" w:rsidRPr="001F3C50" w14:paraId="73071969" w14:textId="77777777" w:rsidTr="00AD1066">
        <w:trPr>
          <w:trHeight w:val="300"/>
        </w:trPr>
        <w:tc>
          <w:tcPr>
            <w:tcW w:w="3100" w:type="pct"/>
            <w:noWrap/>
            <w:hideMark/>
          </w:tcPr>
          <w:p w14:paraId="0E248462" w14:textId="77777777" w:rsidR="0058789F" w:rsidRPr="001F3C50" w:rsidRDefault="0058789F" w:rsidP="00AD1066">
            <w:pPr>
              <w:pStyle w:val="TableBodyText"/>
            </w:pPr>
            <w:r w:rsidRPr="001F3C50">
              <w:t>Travel and transport</w:t>
            </w:r>
          </w:p>
        </w:tc>
        <w:tc>
          <w:tcPr>
            <w:tcW w:w="902" w:type="pct"/>
            <w:shd w:val="clear" w:color="auto" w:fill="F2F2F2" w:themeFill="background1" w:themeFillShade="F2"/>
            <w:noWrap/>
          </w:tcPr>
          <w:p w14:paraId="29F767A3" w14:textId="77777777" w:rsidR="0058789F" w:rsidRPr="001F3C50" w:rsidRDefault="0058789F" w:rsidP="00AD1066">
            <w:pPr>
              <w:pStyle w:val="TableBodyTextrightalign"/>
            </w:pPr>
            <w:r>
              <w:t>393</w:t>
            </w:r>
          </w:p>
        </w:tc>
        <w:tc>
          <w:tcPr>
            <w:tcW w:w="998" w:type="pct"/>
            <w:noWrap/>
            <w:hideMark/>
          </w:tcPr>
          <w:p w14:paraId="134FAF5C" w14:textId="77777777" w:rsidR="0058789F" w:rsidRPr="001F3C50" w:rsidRDefault="0058789F" w:rsidP="00AD1066">
            <w:pPr>
              <w:pStyle w:val="TableBodyTextrightalign"/>
            </w:pPr>
            <w:r>
              <w:t>306</w:t>
            </w:r>
          </w:p>
        </w:tc>
      </w:tr>
      <w:tr w:rsidR="0058789F" w:rsidRPr="001F3C50" w14:paraId="1851F52C" w14:textId="77777777" w:rsidTr="00AD1066">
        <w:trPr>
          <w:trHeight w:val="300"/>
        </w:trPr>
        <w:tc>
          <w:tcPr>
            <w:tcW w:w="3100" w:type="pct"/>
            <w:noWrap/>
          </w:tcPr>
          <w:p w14:paraId="7266CBCD" w14:textId="77777777" w:rsidR="0058789F" w:rsidRPr="00267D1A" w:rsidRDefault="0058789F" w:rsidP="00AD1066">
            <w:pPr>
              <w:pStyle w:val="TableBodyText"/>
            </w:pPr>
            <w:r w:rsidRPr="00267D1A">
              <w:t xml:space="preserve">Preparation, publication and communication of IBAC reports  </w:t>
            </w:r>
          </w:p>
        </w:tc>
        <w:tc>
          <w:tcPr>
            <w:tcW w:w="902" w:type="pct"/>
            <w:shd w:val="clear" w:color="auto" w:fill="F2F2F2" w:themeFill="background1" w:themeFillShade="F2"/>
            <w:noWrap/>
          </w:tcPr>
          <w:p w14:paraId="6CA55EA6" w14:textId="77777777" w:rsidR="0058789F" w:rsidRPr="00267D1A" w:rsidRDefault="0058789F" w:rsidP="00AD1066">
            <w:pPr>
              <w:pStyle w:val="TableBodyTextrightalign"/>
            </w:pPr>
            <w:r>
              <w:t>272</w:t>
            </w:r>
          </w:p>
        </w:tc>
        <w:tc>
          <w:tcPr>
            <w:tcW w:w="998" w:type="pct"/>
            <w:noWrap/>
          </w:tcPr>
          <w:p w14:paraId="1F2CE4CB" w14:textId="77777777" w:rsidR="0058789F" w:rsidRPr="00267D1A" w:rsidRDefault="0058789F" w:rsidP="00AD1066">
            <w:pPr>
              <w:pStyle w:val="TableBodyTextrightalign"/>
            </w:pPr>
            <w:r>
              <w:t>304</w:t>
            </w:r>
          </w:p>
        </w:tc>
      </w:tr>
      <w:tr w:rsidR="0058789F" w:rsidRPr="001F3C50" w14:paraId="7C0DAED3" w14:textId="77777777" w:rsidTr="00AD1066">
        <w:trPr>
          <w:cnfStyle w:val="010000000000" w:firstRow="0" w:lastRow="1" w:firstColumn="0" w:lastColumn="0" w:oddVBand="0" w:evenVBand="0" w:oddHBand="0" w:evenHBand="0" w:firstRowFirstColumn="0" w:firstRowLastColumn="0" w:lastRowFirstColumn="0" w:lastRowLastColumn="0"/>
          <w:trHeight w:val="315"/>
        </w:trPr>
        <w:tc>
          <w:tcPr>
            <w:tcW w:w="3100" w:type="pct"/>
            <w:noWrap/>
            <w:hideMark/>
          </w:tcPr>
          <w:p w14:paraId="1B376005" w14:textId="77777777" w:rsidR="0058789F" w:rsidRPr="00945042" w:rsidRDefault="0058789F" w:rsidP="00AD1066">
            <w:pPr>
              <w:pStyle w:val="TableBodyText"/>
            </w:pPr>
            <w:r w:rsidRPr="00945042">
              <w:t>Total other operating expenses</w:t>
            </w:r>
          </w:p>
        </w:tc>
        <w:tc>
          <w:tcPr>
            <w:tcW w:w="902" w:type="pct"/>
            <w:shd w:val="clear" w:color="auto" w:fill="F2F2F2" w:themeFill="background1" w:themeFillShade="F2"/>
            <w:noWrap/>
          </w:tcPr>
          <w:p w14:paraId="366B5AC9" w14:textId="77777777" w:rsidR="0058789F" w:rsidRPr="00945042" w:rsidRDefault="0058789F" w:rsidP="00AD1066">
            <w:pPr>
              <w:pStyle w:val="TableBodyTextrightalign"/>
            </w:pPr>
            <w:r>
              <w:t>14,754</w:t>
            </w:r>
          </w:p>
        </w:tc>
        <w:tc>
          <w:tcPr>
            <w:tcW w:w="998" w:type="pct"/>
            <w:noWrap/>
            <w:hideMark/>
          </w:tcPr>
          <w:p w14:paraId="4F86A8FC" w14:textId="77777777" w:rsidR="0058789F" w:rsidRPr="00945042" w:rsidRDefault="0058789F" w:rsidP="00AD1066">
            <w:pPr>
              <w:pStyle w:val="TableBodyTextrightalign"/>
            </w:pPr>
            <w:r>
              <w:t>15,470</w:t>
            </w:r>
          </w:p>
        </w:tc>
      </w:tr>
    </w:tbl>
    <w:p w14:paraId="33F8C858" w14:textId="77777777" w:rsidR="0058789F" w:rsidRDefault="0058789F" w:rsidP="0058789F">
      <w:pPr>
        <w:pStyle w:val="TableNote"/>
      </w:pPr>
    </w:p>
    <w:p w14:paraId="7FCF4814" w14:textId="63B891E4" w:rsidR="0058789F" w:rsidRPr="00292FA7" w:rsidRDefault="0058789F" w:rsidP="00292FA7">
      <w:pPr>
        <w:pStyle w:val="BodyText"/>
      </w:pPr>
      <w:r w:rsidRPr="009D3382">
        <w:t>Other operating expenses, which generally represent the day-to-day running costs incurred in normal operations, are recognised as an expense in the reporting period in which they are incurred.</w:t>
      </w:r>
      <w:bookmarkStart w:id="176" w:name="_Ref120788283"/>
      <w:r>
        <w:br w:type="page"/>
      </w:r>
    </w:p>
    <w:p w14:paraId="4E0D2A04" w14:textId="77777777" w:rsidR="0058789F" w:rsidRPr="00FD4E9B" w:rsidRDefault="0058789F" w:rsidP="0058789F">
      <w:pPr>
        <w:pStyle w:val="NotesHeading1"/>
        <w:numPr>
          <w:ilvl w:val="0"/>
          <w:numId w:val="22"/>
        </w:numPr>
      </w:pPr>
      <w:r w:rsidRPr="00FD4E9B">
        <w:t>Key assets available to support output delivery</w:t>
      </w:r>
      <w:bookmarkEnd w:id="176"/>
    </w:p>
    <w:p w14:paraId="6A11B3F1" w14:textId="77777777" w:rsidR="0058789F" w:rsidRPr="00962026" w:rsidRDefault="0058789F" w:rsidP="0058789F">
      <w:pPr>
        <w:pStyle w:val="BodyText"/>
      </w:pPr>
      <w:r w:rsidRPr="00962026">
        <w:t xml:space="preserve">IBAC controls assets that are </w:t>
      </w:r>
      <w:r w:rsidRPr="006E1B47">
        <w:t>u</w:t>
      </w:r>
      <w:r>
        <w:t>s</w:t>
      </w:r>
      <w:r w:rsidRPr="006E1B47">
        <w:t>ed</w:t>
      </w:r>
      <w:r w:rsidRPr="00962026">
        <w:t xml:space="preserve"> </w:t>
      </w:r>
      <w:r>
        <w:t>to</w:t>
      </w:r>
      <w:r w:rsidRPr="00962026">
        <w:t xml:space="preserve"> fulfil </w:t>
      </w:r>
      <w:r>
        <w:t>its</w:t>
      </w:r>
      <w:r w:rsidRPr="00962026">
        <w:t xml:space="preserve"> objectives and conduct its activities. They represent the key resources that have been entrusted to IBAC to be used for the delivery of those outputs.</w:t>
      </w:r>
    </w:p>
    <w:p w14:paraId="2995D1BB" w14:textId="77777777" w:rsidR="0058789F" w:rsidRDefault="0058789F" w:rsidP="001541AB">
      <w:pPr>
        <w:pStyle w:val="NotesHeading2"/>
      </w:pPr>
      <w:bookmarkStart w:id="177" w:name="_Ref82072536"/>
      <w:r w:rsidRPr="001541AB">
        <w:t>Total</w:t>
      </w:r>
      <w:r w:rsidRPr="00FA0292">
        <w:t xml:space="preserve"> key </w:t>
      </w:r>
      <w:r w:rsidRPr="007E3C19">
        <w:t>assets</w:t>
      </w:r>
      <w:bookmarkEnd w:id="177"/>
    </w:p>
    <w:tbl>
      <w:tblPr>
        <w:tblStyle w:val="CustomTabledetailed"/>
        <w:tblW w:w="5000" w:type="pct"/>
        <w:tblLayout w:type="fixed"/>
        <w:tblLook w:val="0660" w:firstRow="1" w:lastRow="1" w:firstColumn="0" w:lastColumn="0" w:noHBand="1" w:noVBand="1"/>
      </w:tblPr>
      <w:tblGrid>
        <w:gridCol w:w="3825"/>
        <w:gridCol w:w="866"/>
        <w:gridCol w:w="867"/>
        <w:gridCol w:w="867"/>
        <w:gridCol w:w="867"/>
        <w:gridCol w:w="867"/>
        <w:gridCol w:w="868"/>
      </w:tblGrid>
      <w:tr w:rsidR="0058789F" w14:paraId="540272D5" w14:textId="77777777" w:rsidTr="00AD1066">
        <w:trPr>
          <w:cnfStyle w:val="100000000000" w:firstRow="1" w:lastRow="0" w:firstColumn="0" w:lastColumn="0" w:oddVBand="0" w:evenVBand="0" w:oddHBand="0" w:evenHBand="0" w:firstRowFirstColumn="0" w:firstRowLastColumn="0" w:lastRowFirstColumn="0" w:lastRowLastColumn="0"/>
          <w:trHeight w:val="582"/>
        </w:trPr>
        <w:tc>
          <w:tcPr>
            <w:tcW w:w="2119" w:type="pct"/>
            <w:tcBorders>
              <w:left w:val="nil"/>
            </w:tcBorders>
            <w:noWrap/>
            <w:hideMark/>
          </w:tcPr>
          <w:p w14:paraId="739BBA6A" w14:textId="77777777" w:rsidR="0058789F" w:rsidRDefault="0058789F" w:rsidP="00AD1066">
            <w:pPr>
              <w:pStyle w:val="TableHeading1"/>
              <w:rPr>
                <w:lang w:eastAsia="en-US"/>
              </w:rPr>
            </w:pPr>
          </w:p>
        </w:tc>
        <w:tc>
          <w:tcPr>
            <w:tcW w:w="960" w:type="pct"/>
            <w:gridSpan w:val="2"/>
            <w:hideMark/>
          </w:tcPr>
          <w:p w14:paraId="384B594A" w14:textId="77777777" w:rsidR="0058789F" w:rsidRDefault="0058789F" w:rsidP="00AD1066">
            <w:pPr>
              <w:pStyle w:val="TableHeading1"/>
            </w:pPr>
            <w:r>
              <w:t>Gross carrying amount</w:t>
            </w:r>
          </w:p>
        </w:tc>
        <w:tc>
          <w:tcPr>
            <w:tcW w:w="960" w:type="pct"/>
            <w:gridSpan w:val="2"/>
            <w:hideMark/>
          </w:tcPr>
          <w:p w14:paraId="3DAD2B33" w14:textId="77777777" w:rsidR="0058789F" w:rsidRDefault="0058789F" w:rsidP="00AD1066">
            <w:pPr>
              <w:pStyle w:val="TableHeading1"/>
            </w:pPr>
            <w:r>
              <w:t>Accumulated depreciation</w:t>
            </w:r>
          </w:p>
        </w:tc>
        <w:tc>
          <w:tcPr>
            <w:tcW w:w="961" w:type="pct"/>
            <w:gridSpan w:val="2"/>
            <w:tcBorders>
              <w:right w:val="nil"/>
            </w:tcBorders>
            <w:hideMark/>
          </w:tcPr>
          <w:p w14:paraId="375F09A9" w14:textId="77777777" w:rsidR="0058789F" w:rsidRDefault="0058789F" w:rsidP="00AD1066">
            <w:pPr>
              <w:pStyle w:val="TableHeading1"/>
            </w:pPr>
            <w:r>
              <w:t xml:space="preserve">Net carrying amount </w:t>
            </w:r>
          </w:p>
        </w:tc>
      </w:tr>
      <w:tr w:rsidR="0058789F" w14:paraId="293E3D51" w14:textId="77777777" w:rsidTr="00AD1066">
        <w:trPr>
          <w:trHeight w:val="137"/>
        </w:trPr>
        <w:tc>
          <w:tcPr>
            <w:tcW w:w="2119" w:type="pct"/>
            <w:tcBorders>
              <w:top w:val="dotted" w:sz="4" w:space="0" w:color="auto"/>
              <w:left w:val="nil"/>
              <w:bottom w:val="dotted" w:sz="4" w:space="0" w:color="auto"/>
              <w:right w:val="nil"/>
            </w:tcBorders>
            <w:shd w:val="clear" w:color="auto" w:fill="E5DFEC"/>
            <w:noWrap/>
            <w:hideMark/>
          </w:tcPr>
          <w:p w14:paraId="7CFC386E" w14:textId="77777777" w:rsidR="0058789F" w:rsidRDefault="0058789F" w:rsidP="00AD1066">
            <w:pPr>
              <w:pStyle w:val="TableBodyText"/>
              <w:rPr>
                <w:lang w:eastAsia="en-US"/>
              </w:rPr>
            </w:pPr>
            <w:r>
              <w:rPr>
                <w:lang w:eastAsia="en-US"/>
              </w:rPr>
              <w:t xml:space="preserve"> </w:t>
            </w:r>
          </w:p>
        </w:tc>
        <w:tc>
          <w:tcPr>
            <w:tcW w:w="480" w:type="pct"/>
            <w:tcBorders>
              <w:top w:val="dotted" w:sz="4" w:space="0" w:color="auto"/>
              <w:left w:val="nil"/>
              <w:bottom w:val="dotted" w:sz="4" w:space="0" w:color="auto"/>
              <w:right w:val="nil"/>
            </w:tcBorders>
            <w:shd w:val="clear" w:color="auto" w:fill="E5DFEC"/>
            <w:noWrap/>
            <w:hideMark/>
          </w:tcPr>
          <w:p w14:paraId="730DD91B" w14:textId="77777777" w:rsidR="0058789F" w:rsidRDefault="0058789F" w:rsidP="00AD1066">
            <w:pPr>
              <w:pStyle w:val="TableHeading3rightalign"/>
              <w:rPr>
                <w:lang w:eastAsia="en-US"/>
              </w:rPr>
            </w:pPr>
            <w:r>
              <w:rPr>
                <w:lang w:eastAsia="en-US"/>
              </w:rPr>
              <w:t>2023</w:t>
            </w:r>
          </w:p>
          <w:p w14:paraId="754ED877" w14:textId="77777777" w:rsidR="0058789F" w:rsidRDefault="0058789F" w:rsidP="00AD1066">
            <w:pPr>
              <w:pStyle w:val="TableHeading3rightalign"/>
              <w:rPr>
                <w:lang w:eastAsia="en-US"/>
              </w:rPr>
            </w:pPr>
            <w:r>
              <w:rPr>
                <w:lang w:eastAsia="en-US"/>
              </w:rPr>
              <w:t>($’000)</w:t>
            </w:r>
          </w:p>
        </w:tc>
        <w:tc>
          <w:tcPr>
            <w:tcW w:w="480" w:type="pct"/>
            <w:tcBorders>
              <w:top w:val="dotted" w:sz="4" w:space="0" w:color="auto"/>
              <w:left w:val="nil"/>
              <w:bottom w:val="dotted" w:sz="4" w:space="0" w:color="auto"/>
              <w:right w:val="nil"/>
            </w:tcBorders>
            <w:shd w:val="clear" w:color="auto" w:fill="E5DFEC"/>
            <w:noWrap/>
            <w:hideMark/>
          </w:tcPr>
          <w:p w14:paraId="6CD35094" w14:textId="77777777" w:rsidR="0058789F" w:rsidRDefault="0058789F" w:rsidP="00AD1066">
            <w:pPr>
              <w:pStyle w:val="TableHeading3rightalign"/>
              <w:rPr>
                <w:lang w:eastAsia="en-US"/>
              </w:rPr>
            </w:pPr>
            <w:r>
              <w:rPr>
                <w:lang w:eastAsia="en-US"/>
              </w:rPr>
              <w:t>2022</w:t>
            </w:r>
          </w:p>
          <w:p w14:paraId="01C727A5" w14:textId="77777777" w:rsidR="0058789F" w:rsidRDefault="0058789F" w:rsidP="00AD1066">
            <w:pPr>
              <w:pStyle w:val="TableHeading3rightalign"/>
              <w:rPr>
                <w:lang w:eastAsia="en-US"/>
              </w:rPr>
            </w:pPr>
            <w:r>
              <w:rPr>
                <w:lang w:eastAsia="en-US"/>
              </w:rPr>
              <w:t>($’000)</w:t>
            </w:r>
          </w:p>
        </w:tc>
        <w:tc>
          <w:tcPr>
            <w:tcW w:w="480" w:type="pct"/>
            <w:tcBorders>
              <w:top w:val="dotted" w:sz="4" w:space="0" w:color="auto"/>
              <w:left w:val="nil"/>
              <w:bottom w:val="dotted" w:sz="4" w:space="0" w:color="auto"/>
              <w:right w:val="nil"/>
            </w:tcBorders>
            <w:shd w:val="clear" w:color="auto" w:fill="E5DFEC"/>
            <w:noWrap/>
            <w:hideMark/>
          </w:tcPr>
          <w:p w14:paraId="50488B61" w14:textId="77777777" w:rsidR="0058789F" w:rsidRDefault="0058789F" w:rsidP="00AD1066">
            <w:pPr>
              <w:pStyle w:val="TableHeading3rightalign"/>
              <w:rPr>
                <w:lang w:eastAsia="en-US"/>
              </w:rPr>
            </w:pPr>
            <w:r>
              <w:rPr>
                <w:lang w:eastAsia="en-US"/>
              </w:rPr>
              <w:t>2023</w:t>
            </w:r>
          </w:p>
          <w:p w14:paraId="0A17E90D" w14:textId="77777777" w:rsidR="0058789F" w:rsidRDefault="0058789F" w:rsidP="00AD1066">
            <w:pPr>
              <w:pStyle w:val="TableHeading3rightalign"/>
              <w:rPr>
                <w:lang w:eastAsia="en-US"/>
              </w:rPr>
            </w:pPr>
            <w:r>
              <w:rPr>
                <w:lang w:eastAsia="en-US"/>
              </w:rPr>
              <w:t>($’000)</w:t>
            </w:r>
          </w:p>
        </w:tc>
        <w:tc>
          <w:tcPr>
            <w:tcW w:w="480" w:type="pct"/>
            <w:tcBorders>
              <w:top w:val="dotted" w:sz="4" w:space="0" w:color="auto"/>
              <w:left w:val="nil"/>
              <w:bottom w:val="dotted" w:sz="4" w:space="0" w:color="auto"/>
              <w:right w:val="nil"/>
            </w:tcBorders>
            <w:shd w:val="clear" w:color="auto" w:fill="E5DFEC"/>
            <w:noWrap/>
            <w:hideMark/>
          </w:tcPr>
          <w:p w14:paraId="525455EA" w14:textId="77777777" w:rsidR="0058789F" w:rsidRDefault="0058789F" w:rsidP="00AD1066">
            <w:pPr>
              <w:pStyle w:val="TableHeading3rightalign"/>
              <w:rPr>
                <w:lang w:eastAsia="en-US"/>
              </w:rPr>
            </w:pPr>
            <w:r>
              <w:rPr>
                <w:lang w:eastAsia="en-US"/>
              </w:rPr>
              <w:t>2022</w:t>
            </w:r>
          </w:p>
          <w:p w14:paraId="0870C2B6" w14:textId="77777777" w:rsidR="0058789F" w:rsidRDefault="0058789F" w:rsidP="00AD1066">
            <w:pPr>
              <w:pStyle w:val="TableHeading3rightalign"/>
              <w:rPr>
                <w:lang w:eastAsia="en-US"/>
              </w:rPr>
            </w:pPr>
            <w:r>
              <w:rPr>
                <w:lang w:eastAsia="en-US"/>
              </w:rPr>
              <w:t>($’000)</w:t>
            </w:r>
          </w:p>
        </w:tc>
        <w:tc>
          <w:tcPr>
            <w:tcW w:w="480" w:type="pct"/>
            <w:tcBorders>
              <w:top w:val="dotted" w:sz="4" w:space="0" w:color="auto"/>
              <w:left w:val="nil"/>
              <w:bottom w:val="dotted" w:sz="4" w:space="0" w:color="auto"/>
              <w:right w:val="nil"/>
            </w:tcBorders>
            <w:shd w:val="clear" w:color="auto" w:fill="E5DFEC"/>
            <w:noWrap/>
            <w:hideMark/>
          </w:tcPr>
          <w:p w14:paraId="68EA6548" w14:textId="77777777" w:rsidR="0058789F" w:rsidRDefault="0058789F" w:rsidP="00AD1066">
            <w:pPr>
              <w:pStyle w:val="TableHeading3rightalign"/>
              <w:rPr>
                <w:lang w:eastAsia="en-US"/>
              </w:rPr>
            </w:pPr>
            <w:r>
              <w:rPr>
                <w:lang w:eastAsia="en-US"/>
              </w:rPr>
              <w:t>2023</w:t>
            </w:r>
          </w:p>
          <w:p w14:paraId="033C5899" w14:textId="77777777" w:rsidR="0058789F" w:rsidRDefault="0058789F" w:rsidP="00AD1066">
            <w:pPr>
              <w:pStyle w:val="TableHeading3rightalign"/>
              <w:rPr>
                <w:lang w:eastAsia="en-US"/>
              </w:rPr>
            </w:pPr>
            <w:r>
              <w:rPr>
                <w:lang w:eastAsia="en-US"/>
              </w:rPr>
              <w:t>($’000)</w:t>
            </w:r>
          </w:p>
        </w:tc>
        <w:tc>
          <w:tcPr>
            <w:tcW w:w="481" w:type="pct"/>
            <w:tcBorders>
              <w:top w:val="dotted" w:sz="4" w:space="0" w:color="auto"/>
              <w:left w:val="nil"/>
              <w:bottom w:val="dotted" w:sz="4" w:space="0" w:color="auto"/>
              <w:right w:val="nil"/>
            </w:tcBorders>
            <w:shd w:val="clear" w:color="auto" w:fill="E5DFEC"/>
            <w:noWrap/>
            <w:hideMark/>
          </w:tcPr>
          <w:p w14:paraId="3D1F861A" w14:textId="77777777" w:rsidR="0058789F" w:rsidRDefault="0058789F" w:rsidP="00AD1066">
            <w:pPr>
              <w:pStyle w:val="TableHeading3rightalign"/>
              <w:rPr>
                <w:lang w:eastAsia="en-US"/>
              </w:rPr>
            </w:pPr>
            <w:r>
              <w:rPr>
                <w:lang w:eastAsia="en-US"/>
              </w:rPr>
              <w:t>2022</w:t>
            </w:r>
          </w:p>
          <w:p w14:paraId="7D6866D7" w14:textId="77777777" w:rsidR="0058789F" w:rsidRDefault="0058789F" w:rsidP="00AD1066">
            <w:pPr>
              <w:pStyle w:val="TableHeading3rightalign"/>
              <w:rPr>
                <w:lang w:eastAsia="en-US"/>
              </w:rPr>
            </w:pPr>
            <w:r>
              <w:rPr>
                <w:lang w:eastAsia="en-US"/>
              </w:rPr>
              <w:t>($’000)</w:t>
            </w:r>
          </w:p>
        </w:tc>
      </w:tr>
      <w:tr w:rsidR="0058789F" w14:paraId="009450E5" w14:textId="77777777" w:rsidTr="00AD1066">
        <w:trPr>
          <w:trHeight w:val="255"/>
        </w:trPr>
        <w:tc>
          <w:tcPr>
            <w:tcW w:w="5000" w:type="pct"/>
            <w:gridSpan w:val="7"/>
            <w:tcBorders>
              <w:top w:val="dotted" w:sz="4" w:space="0" w:color="auto"/>
              <w:left w:val="nil"/>
              <w:bottom w:val="dotted" w:sz="4" w:space="0" w:color="auto"/>
              <w:right w:val="nil"/>
            </w:tcBorders>
            <w:noWrap/>
            <w:hideMark/>
          </w:tcPr>
          <w:p w14:paraId="53C325F7" w14:textId="77777777" w:rsidR="0058789F" w:rsidRDefault="0058789F" w:rsidP="00AD1066"/>
        </w:tc>
      </w:tr>
      <w:tr w:rsidR="0058789F" w14:paraId="24BE0E89" w14:textId="77777777" w:rsidTr="00AD1066">
        <w:trPr>
          <w:trHeight w:val="300"/>
        </w:trPr>
        <w:tc>
          <w:tcPr>
            <w:tcW w:w="2119" w:type="pct"/>
            <w:tcBorders>
              <w:top w:val="dotted" w:sz="4" w:space="0" w:color="auto"/>
              <w:left w:val="nil"/>
              <w:bottom w:val="dotted" w:sz="4" w:space="0" w:color="auto"/>
              <w:right w:val="nil"/>
            </w:tcBorders>
            <w:noWrap/>
            <w:hideMark/>
          </w:tcPr>
          <w:p w14:paraId="54F024B3" w14:textId="77777777" w:rsidR="0058789F" w:rsidRDefault="0058789F" w:rsidP="00AD1066">
            <w:pPr>
              <w:pStyle w:val="TableBodyText"/>
              <w:rPr>
                <w:lang w:val="en-US" w:eastAsia="en-US"/>
              </w:rPr>
            </w:pPr>
            <w:r>
              <w:rPr>
                <w:lang w:eastAsia="en-US"/>
              </w:rPr>
              <w:t>Buildings at fair value</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1BBCDA1F" w14:textId="77777777" w:rsidR="0058789F" w:rsidRDefault="0058789F" w:rsidP="00AD1066">
            <w:pPr>
              <w:pStyle w:val="TableBodyTextrightalign"/>
              <w:rPr>
                <w:rStyle w:val="Characterbold"/>
                <w:b w:val="0"/>
                <w:bCs w:val="0"/>
              </w:rPr>
            </w:pPr>
            <w:r w:rsidRPr="00702372">
              <w:t>18,324</w:t>
            </w:r>
          </w:p>
        </w:tc>
        <w:tc>
          <w:tcPr>
            <w:tcW w:w="480" w:type="pct"/>
            <w:tcBorders>
              <w:top w:val="dotted" w:sz="4" w:space="0" w:color="auto"/>
              <w:left w:val="nil"/>
              <w:bottom w:val="dotted" w:sz="4" w:space="0" w:color="auto"/>
              <w:right w:val="nil"/>
            </w:tcBorders>
            <w:noWrap/>
            <w:hideMark/>
          </w:tcPr>
          <w:p w14:paraId="37089634" w14:textId="77777777" w:rsidR="0058789F" w:rsidRDefault="0058789F" w:rsidP="00AD1066">
            <w:pPr>
              <w:pStyle w:val="TableBodyTextrightalign"/>
              <w:rPr>
                <w:lang w:val="en-US"/>
              </w:rPr>
            </w:pPr>
            <w:r w:rsidRPr="00702372">
              <w:t>18,324</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5F77128B" w14:textId="77777777" w:rsidR="0058789F" w:rsidRDefault="0058789F" w:rsidP="00AD1066">
            <w:pPr>
              <w:pStyle w:val="TableBodyTextrightalign"/>
              <w:rPr>
                <w:rStyle w:val="Characterbold"/>
                <w:b w:val="0"/>
              </w:rPr>
            </w:pPr>
            <w:r w:rsidRPr="00702372">
              <w:t>11,673</w:t>
            </w:r>
          </w:p>
        </w:tc>
        <w:tc>
          <w:tcPr>
            <w:tcW w:w="480" w:type="pct"/>
            <w:tcBorders>
              <w:top w:val="dotted" w:sz="4" w:space="0" w:color="auto"/>
              <w:left w:val="nil"/>
              <w:bottom w:val="dotted" w:sz="4" w:space="0" w:color="auto"/>
              <w:right w:val="nil"/>
            </w:tcBorders>
            <w:noWrap/>
            <w:hideMark/>
          </w:tcPr>
          <w:p w14:paraId="760F4D89" w14:textId="77777777" w:rsidR="0058789F" w:rsidRDefault="0058789F" w:rsidP="00AD1066">
            <w:pPr>
              <w:pStyle w:val="TableBodyTextrightalign"/>
              <w:rPr>
                <w:lang w:val="en-US"/>
              </w:rPr>
            </w:pPr>
            <w:r w:rsidRPr="00702372">
              <w:t>8,755</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441E8851" w14:textId="77777777" w:rsidR="0058789F" w:rsidRDefault="0058789F" w:rsidP="00AD1066">
            <w:pPr>
              <w:pStyle w:val="TableBodyTextrightalign"/>
              <w:rPr>
                <w:rStyle w:val="Characterbold"/>
                <w:b w:val="0"/>
              </w:rPr>
            </w:pPr>
            <w:r w:rsidRPr="00702372">
              <w:t>6,651</w:t>
            </w:r>
          </w:p>
        </w:tc>
        <w:tc>
          <w:tcPr>
            <w:tcW w:w="480" w:type="pct"/>
            <w:tcBorders>
              <w:top w:val="dotted" w:sz="4" w:space="0" w:color="auto"/>
              <w:left w:val="nil"/>
              <w:bottom w:val="dotted" w:sz="4" w:space="0" w:color="auto"/>
              <w:right w:val="nil"/>
            </w:tcBorders>
            <w:noWrap/>
            <w:hideMark/>
          </w:tcPr>
          <w:p w14:paraId="62605587" w14:textId="77777777" w:rsidR="0058789F" w:rsidRDefault="0058789F" w:rsidP="00AD1066">
            <w:pPr>
              <w:pStyle w:val="TableBodyTextrightalign"/>
              <w:rPr>
                <w:lang w:val="en-US"/>
              </w:rPr>
            </w:pPr>
            <w:r w:rsidRPr="00702372">
              <w:t>9,569</w:t>
            </w:r>
          </w:p>
        </w:tc>
      </w:tr>
      <w:tr w:rsidR="0058789F" w14:paraId="6837B4CD" w14:textId="77777777" w:rsidTr="00AD1066">
        <w:trPr>
          <w:trHeight w:val="255"/>
        </w:trPr>
        <w:tc>
          <w:tcPr>
            <w:tcW w:w="2119" w:type="pct"/>
            <w:tcBorders>
              <w:top w:val="dotted" w:sz="4" w:space="0" w:color="auto"/>
              <w:left w:val="nil"/>
              <w:bottom w:val="dotted" w:sz="4" w:space="0" w:color="auto"/>
              <w:right w:val="nil"/>
            </w:tcBorders>
            <w:noWrap/>
            <w:hideMark/>
          </w:tcPr>
          <w:p w14:paraId="2A40663A" w14:textId="77777777" w:rsidR="0058789F" w:rsidRDefault="0058789F" w:rsidP="00AD1066">
            <w:pPr>
              <w:pStyle w:val="TableBodyText"/>
              <w:rPr>
                <w:lang w:eastAsia="en-US"/>
              </w:rPr>
            </w:pPr>
            <w:r>
              <w:rPr>
                <w:lang w:eastAsia="en-US"/>
              </w:rPr>
              <w:t>Leasehold improvements at fair value</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039E8B5A" w14:textId="77777777" w:rsidR="0058789F" w:rsidRDefault="0058789F" w:rsidP="00AD1066">
            <w:pPr>
              <w:pStyle w:val="TableBodyTextrightalign"/>
              <w:rPr>
                <w:rStyle w:val="Characterbold"/>
                <w:b w:val="0"/>
                <w:bCs w:val="0"/>
              </w:rPr>
            </w:pPr>
            <w:r w:rsidRPr="00702372">
              <w:t>12,082</w:t>
            </w:r>
          </w:p>
        </w:tc>
        <w:tc>
          <w:tcPr>
            <w:tcW w:w="480" w:type="pct"/>
            <w:tcBorders>
              <w:top w:val="dotted" w:sz="4" w:space="0" w:color="auto"/>
              <w:left w:val="nil"/>
              <w:bottom w:val="dotted" w:sz="4" w:space="0" w:color="auto"/>
              <w:right w:val="nil"/>
            </w:tcBorders>
            <w:noWrap/>
            <w:hideMark/>
          </w:tcPr>
          <w:p w14:paraId="7454ABB9" w14:textId="77777777" w:rsidR="0058789F" w:rsidRDefault="0058789F" w:rsidP="00AD1066">
            <w:pPr>
              <w:pStyle w:val="TableBodyTextrightalign"/>
              <w:rPr>
                <w:lang w:val="en-US"/>
              </w:rPr>
            </w:pPr>
            <w:r w:rsidRPr="00702372">
              <w:t>11,849</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6F4CC29A" w14:textId="77777777" w:rsidR="0058789F" w:rsidRDefault="0058789F" w:rsidP="00AD1066">
            <w:pPr>
              <w:pStyle w:val="TableBodyTextrightalign"/>
              <w:rPr>
                <w:rStyle w:val="Characterbold"/>
                <w:b w:val="0"/>
              </w:rPr>
            </w:pPr>
            <w:r w:rsidRPr="00702372">
              <w:t>11,083</w:t>
            </w:r>
          </w:p>
        </w:tc>
        <w:tc>
          <w:tcPr>
            <w:tcW w:w="480" w:type="pct"/>
            <w:tcBorders>
              <w:top w:val="dotted" w:sz="4" w:space="0" w:color="auto"/>
              <w:left w:val="nil"/>
              <w:bottom w:val="dotted" w:sz="4" w:space="0" w:color="auto"/>
              <w:right w:val="nil"/>
            </w:tcBorders>
            <w:noWrap/>
            <w:hideMark/>
          </w:tcPr>
          <w:p w14:paraId="6ED28B73" w14:textId="77777777" w:rsidR="0058789F" w:rsidRDefault="0058789F" w:rsidP="00AD1066">
            <w:pPr>
              <w:pStyle w:val="TableBodyTextrightalign"/>
              <w:rPr>
                <w:lang w:val="en-US"/>
              </w:rPr>
            </w:pPr>
            <w:r w:rsidRPr="00702372">
              <w:t>10,715</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1E3C9E36" w14:textId="77777777" w:rsidR="0058789F" w:rsidRDefault="0058789F" w:rsidP="00AD1066">
            <w:pPr>
              <w:pStyle w:val="TableBodyTextrightalign"/>
              <w:rPr>
                <w:rStyle w:val="Characterbold"/>
                <w:b w:val="0"/>
              </w:rPr>
            </w:pPr>
            <w:r w:rsidRPr="00702372">
              <w:t>999</w:t>
            </w:r>
          </w:p>
        </w:tc>
        <w:tc>
          <w:tcPr>
            <w:tcW w:w="480" w:type="pct"/>
            <w:tcBorders>
              <w:top w:val="dotted" w:sz="4" w:space="0" w:color="auto"/>
              <w:left w:val="nil"/>
              <w:bottom w:val="dotted" w:sz="4" w:space="0" w:color="auto"/>
              <w:right w:val="nil"/>
            </w:tcBorders>
            <w:noWrap/>
            <w:hideMark/>
          </w:tcPr>
          <w:p w14:paraId="168E3298" w14:textId="77777777" w:rsidR="0058789F" w:rsidRDefault="0058789F" w:rsidP="00AD1066">
            <w:pPr>
              <w:pStyle w:val="TableBodyTextrightalign"/>
              <w:rPr>
                <w:lang w:val="en-US"/>
              </w:rPr>
            </w:pPr>
            <w:r w:rsidRPr="00702372">
              <w:t>1,133</w:t>
            </w:r>
          </w:p>
        </w:tc>
      </w:tr>
      <w:tr w:rsidR="0058789F" w14:paraId="31E686E7" w14:textId="77777777" w:rsidTr="00AD1066">
        <w:trPr>
          <w:trHeight w:val="255"/>
        </w:trPr>
        <w:tc>
          <w:tcPr>
            <w:tcW w:w="2119" w:type="pct"/>
            <w:tcBorders>
              <w:top w:val="dotted" w:sz="4" w:space="0" w:color="auto"/>
              <w:left w:val="nil"/>
              <w:bottom w:val="dotted" w:sz="4" w:space="0" w:color="auto"/>
              <w:right w:val="nil"/>
            </w:tcBorders>
            <w:noWrap/>
            <w:hideMark/>
          </w:tcPr>
          <w:p w14:paraId="3C201688" w14:textId="095DE473" w:rsidR="0058789F" w:rsidRDefault="00FD2BB3" w:rsidP="00AD1066">
            <w:pPr>
              <w:pStyle w:val="TableBodyText"/>
              <w:rPr>
                <w:lang w:eastAsia="en-US"/>
              </w:rPr>
            </w:pPr>
            <w:r w:rsidRPr="00FD2BB3">
              <w:rPr>
                <w:lang w:eastAsia="en-US"/>
              </w:rPr>
              <w:t>Capital work in progress at cost</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360D3520" w14:textId="77777777" w:rsidR="0058789F" w:rsidRDefault="0058789F" w:rsidP="00AD1066">
            <w:pPr>
              <w:pStyle w:val="TableBodyTextrightalign"/>
              <w:rPr>
                <w:rStyle w:val="Characterbold"/>
                <w:b w:val="0"/>
                <w:bCs w:val="0"/>
              </w:rPr>
            </w:pPr>
            <w:r w:rsidRPr="00702372">
              <w:t>84</w:t>
            </w:r>
          </w:p>
        </w:tc>
        <w:tc>
          <w:tcPr>
            <w:tcW w:w="480" w:type="pct"/>
            <w:tcBorders>
              <w:top w:val="dotted" w:sz="4" w:space="0" w:color="auto"/>
              <w:left w:val="nil"/>
              <w:bottom w:val="dotted" w:sz="4" w:space="0" w:color="auto"/>
              <w:right w:val="nil"/>
            </w:tcBorders>
            <w:noWrap/>
            <w:hideMark/>
          </w:tcPr>
          <w:p w14:paraId="33BBDEAC" w14:textId="77777777" w:rsidR="0058789F" w:rsidRDefault="0058789F" w:rsidP="00AD1066">
            <w:pPr>
              <w:pStyle w:val="TableBodyTextrightalign"/>
              <w:rPr>
                <w:lang w:val="en-US"/>
              </w:rPr>
            </w:pPr>
            <w:r w:rsidRPr="00702372">
              <w:t>373</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495A425A" w14:textId="77777777" w:rsidR="0058789F" w:rsidRDefault="0058789F" w:rsidP="00AD1066">
            <w:pPr>
              <w:pStyle w:val="TableBodyTextrightalign"/>
              <w:rPr>
                <w:rStyle w:val="Characterbold"/>
                <w:b w:val="0"/>
              </w:rPr>
            </w:pPr>
            <w:r w:rsidRPr="0045554A">
              <w:t>–</w:t>
            </w:r>
          </w:p>
        </w:tc>
        <w:tc>
          <w:tcPr>
            <w:tcW w:w="480" w:type="pct"/>
            <w:tcBorders>
              <w:top w:val="dotted" w:sz="4" w:space="0" w:color="auto"/>
              <w:left w:val="nil"/>
              <w:bottom w:val="dotted" w:sz="4" w:space="0" w:color="auto"/>
              <w:right w:val="nil"/>
            </w:tcBorders>
            <w:noWrap/>
            <w:hideMark/>
          </w:tcPr>
          <w:p w14:paraId="26B056AE" w14:textId="77777777" w:rsidR="0058789F" w:rsidRDefault="0058789F" w:rsidP="00AD1066">
            <w:pPr>
              <w:pStyle w:val="TableBodyTextrightalign"/>
              <w:rPr>
                <w:lang w:val="en-US"/>
              </w:rPr>
            </w:pPr>
            <w:r w:rsidRPr="00702372">
              <w:t>–</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55FA1ED6" w14:textId="77777777" w:rsidR="0058789F" w:rsidRDefault="0058789F" w:rsidP="00AD1066">
            <w:pPr>
              <w:pStyle w:val="TableBodyTextrightalign"/>
              <w:rPr>
                <w:rStyle w:val="Characterbold"/>
                <w:b w:val="0"/>
              </w:rPr>
            </w:pPr>
            <w:r w:rsidRPr="00702372">
              <w:t>84</w:t>
            </w:r>
          </w:p>
        </w:tc>
        <w:tc>
          <w:tcPr>
            <w:tcW w:w="480" w:type="pct"/>
            <w:tcBorders>
              <w:top w:val="dotted" w:sz="4" w:space="0" w:color="auto"/>
              <w:left w:val="nil"/>
              <w:bottom w:val="dotted" w:sz="4" w:space="0" w:color="auto"/>
              <w:right w:val="nil"/>
            </w:tcBorders>
            <w:noWrap/>
            <w:hideMark/>
          </w:tcPr>
          <w:p w14:paraId="777DD879" w14:textId="77777777" w:rsidR="0058789F" w:rsidRDefault="0058789F" w:rsidP="00AD1066">
            <w:pPr>
              <w:pStyle w:val="TableBodyTextrightalign"/>
              <w:rPr>
                <w:lang w:val="en-US"/>
              </w:rPr>
            </w:pPr>
            <w:r w:rsidRPr="00702372">
              <w:t>373</w:t>
            </w:r>
          </w:p>
        </w:tc>
      </w:tr>
      <w:tr w:rsidR="0058789F" w14:paraId="0B23C71A" w14:textId="77777777" w:rsidTr="00AD1066">
        <w:trPr>
          <w:trHeight w:val="255"/>
        </w:trPr>
        <w:tc>
          <w:tcPr>
            <w:tcW w:w="2119" w:type="pct"/>
            <w:tcBorders>
              <w:top w:val="dotted" w:sz="4" w:space="0" w:color="auto"/>
              <w:left w:val="nil"/>
              <w:bottom w:val="dotted" w:sz="4" w:space="0" w:color="auto"/>
              <w:right w:val="nil"/>
            </w:tcBorders>
            <w:noWrap/>
            <w:hideMark/>
          </w:tcPr>
          <w:p w14:paraId="73D229F3" w14:textId="77777777" w:rsidR="0058789F" w:rsidRDefault="0058789F" w:rsidP="00AD1066">
            <w:pPr>
              <w:pStyle w:val="TableBodyText"/>
              <w:rPr>
                <w:lang w:eastAsia="en-US"/>
              </w:rPr>
            </w:pPr>
            <w:r>
              <w:rPr>
                <w:lang w:eastAsia="en-US"/>
              </w:rPr>
              <w:t>Computer and communication equipment at fair value</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60A04DE8" w14:textId="77777777" w:rsidR="0058789F" w:rsidRDefault="0058789F" w:rsidP="00AD1066">
            <w:pPr>
              <w:pStyle w:val="TableBodyTextrightalign"/>
              <w:rPr>
                <w:rStyle w:val="Characterbold"/>
                <w:b w:val="0"/>
                <w:bCs w:val="0"/>
              </w:rPr>
            </w:pPr>
            <w:r w:rsidRPr="00702372">
              <w:t>8,178</w:t>
            </w:r>
          </w:p>
        </w:tc>
        <w:tc>
          <w:tcPr>
            <w:tcW w:w="480" w:type="pct"/>
            <w:tcBorders>
              <w:top w:val="dotted" w:sz="4" w:space="0" w:color="auto"/>
              <w:left w:val="nil"/>
              <w:bottom w:val="dotted" w:sz="4" w:space="0" w:color="auto"/>
              <w:right w:val="nil"/>
            </w:tcBorders>
            <w:noWrap/>
            <w:hideMark/>
          </w:tcPr>
          <w:p w14:paraId="00D9963A" w14:textId="77777777" w:rsidR="0058789F" w:rsidRDefault="0058789F" w:rsidP="00AD1066">
            <w:pPr>
              <w:pStyle w:val="TableBodyTextrightalign"/>
              <w:rPr>
                <w:lang w:val="en-US"/>
              </w:rPr>
            </w:pPr>
            <w:r w:rsidRPr="00702372">
              <w:t>6,521</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3664D37D" w14:textId="77777777" w:rsidR="0058789F" w:rsidRDefault="0058789F" w:rsidP="00AD1066">
            <w:pPr>
              <w:pStyle w:val="TableBodyTextrightalign"/>
              <w:rPr>
                <w:rStyle w:val="Characterbold"/>
                <w:b w:val="0"/>
              </w:rPr>
            </w:pPr>
            <w:r w:rsidRPr="00702372">
              <w:t>5,249</w:t>
            </w:r>
          </w:p>
        </w:tc>
        <w:tc>
          <w:tcPr>
            <w:tcW w:w="480" w:type="pct"/>
            <w:tcBorders>
              <w:top w:val="dotted" w:sz="4" w:space="0" w:color="auto"/>
              <w:left w:val="nil"/>
              <w:bottom w:val="dotted" w:sz="4" w:space="0" w:color="auto"/>
              <w:right w:val="nil"/>
            </w:tcBorders>
            <w:noWrap/>
            <w:hideMark/>
          </w:tcPr>
          <w:p w14:paraId="55122087" w14:textId="77777777" w:rsidR="0058789F" w:rsidRDefault="0058789F" w:rsidP="00AD1066">
            <w:pPr>
              <w:pStyle w:val="TableBodyTextrightalign"/>
              <w:rPr>
                <w:lang w:val="en-US"/>
              </w:rPr>
            </w:pPr>
            <w:r w:rsidRPr="00702372">
              <w:t>4,553</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3376B03D" w14:textId="77777777" w:rsidR="0058789F" w:rsidRDefault="0058789F" w:rsidP="00AD1066">
            <w:pPr>
              <w:pStyle w:val="TableBodyTextrightalign"/>
              <w:rPr>
                <w:rStyle w:val="Characterbold"/>
                <w:b w:val="0"/>
              </w:rPr>
            </w:pPr>
            <w:r w:rsidRPr="00702372">
              <w:t>2,929</w:t>
            </w:r>
          </w:p>
        </w:tc>
        <w:tc>
          <w:tcPr>
            <w:tcW w:w="480" w:type="pct"/>
            <w:tcBorders>
              <w:top w:val="dotted" w:sz="4" w:space="0" w:color="auto"/>
              <w:left w:val="nil"/>
              <w:bottom w:val="dotted" w:sz="4" w:space="0" w:color="auto"/>
              <w:right w:val="nil"/>
            </w:tcBorders>
            <w:noWrap/>
            <w:hideMark/>
          </w:tcPr>
          <w:p w14:paraId="6B53DBCA" w14:textId="77777777" w:rsidR="0058789F" w:rsidRDefault="0058789F" w:rsidP="00AD1066">
            <w:pPr>
              <w:pStyle w:val="TableBodyTextrightalign"/>
              <w:rPr>
                <w:lang w:val="en-US"/>
              </w:rPr>
            </w:pPr>
            <w:r w:rsidRPr="00702372">
              <w:t>1,968</w:t>
            </w:r>
          </w:p>
        </w:tc>
      </w:tr>
      <w:tr w:rsidR="0058789F" w14:paraId="65E90FC7" w14:textId="77777777" w:rsidTr="00AD1066">
        <w:trPr>
          <w:trHeight w:val="46"/>
        </w:trPr>
        <w:tc>
          <w:tcPr>
            <w:tcW w:w="2119" w:type="pct"/>
            <w:tcBorders>
              <w:top w:val="dotted" w:sz="4" w:space="0" w:color="auto"/>
              <w:left w:val="nil"/>
              <w:bottom w:val="dotted" w:sz="4" w:space="0" w:color="auto"/>
              <w:right w:val="nil"/>
            </w:tcBorders>
            <w:noWrap/>
            <w:hideMark/>
          </w:tcPr>
          <w:p w14:paraId="7699E784" w14:textId="77777777" w:rsidR="0058789F" w:rsidRDefault="0058789F" w:rsidP="00AD1066">
            <w:pPr>
              <w:pStyle w:val="TableBodyText"/>
              <w:rPr>
                <w:lang w:eastAsia="en-US"/>
              </w:rPr>
            </w:pPr>
            <w:r>
              <w:rPr>
                <w:lang w:eastAsia="en-US"/>
              </w:rPr>
              <w:t>Plant and equipment at fair value</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0953A034" w14:textId="77777777" w:rsidR="0058789F" w:rsidRDefault="0058789F" w:rsidP="00AD1066">
            <w:pPr>
              <w:pStyle w:val="TableBodyTextrightalign"/>
              <w:rPr>
                <w:rStyle w:val="Characterbold"/>
                <w:b w:val="0"/>
                <w:bCs w:val="0"/>
              </w:rPr>
            </w:pPr>
            <w:r w:rsidRPr="00702372">
              <w:t>3,108</w:t>
            </w:r>
          </w:p>
        </w:tc>
        <w:tc>
          <w:tcPr>
            <w:tcW w:w="480" w:type="pct"/>
            <w:tcBorders>
              <w:top w:val="dotted" w:sz="4" w:space="0" w:color="auto"/>
              <w:left w:val="nil"/>
              <w:bottom w:val="dotted" w:sz="4" w:space="0" w:color="auto"/>
              <w:right w:val="nil"/>
            </w:tcBorders>
            <w:noWrap/>
            <w:hideMark/>
          </w:tcPr>
          <w:p w14:paraId="68359812" w14:textId="77777777" w:rsidR="0058789F" w:rsidRDefault="0058789F" w:rsidP="00AD1066">
            <w:pPr>
              <w:pStyle w:val="TableBodyTextrightalign"/>
              <w:rPr>
                <w:lang w:val="en-US"/>
              </w:rPr>
            </w:pPr>
            <w:r w:rsidRPr="00702372">
              <w:t>3,049</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6B17D8AE" w14:textId="77777777" w:rsidR="0058789F" w:rsidRDefault="0058789F" w:rsidP="00AD1066">
            <w:pPr>
              <w:pStyle w:val="TableBodyTextrightalign"/>
              <w:rPr>
                <w:rStyle w:val="Characterbold"/>
                <w:b w:val="0"/>
              </w:rPr>
            </w:pPr>
            <w:r w:rsidRPr="00702372">
              <w:t>2,880</w:t>
            </w:r>
          </w:p>
        </w:tc>
        <w:tc>
          <w:tcPr>
            <w:tcW w:w="480" w:type="pct"/>
            <w:tcBorders>
              <w:top w:val="dotted" w:sz="4" w:space="0" w:color="auto"/>
              <w:left w:val="nil"/>
              <w:bottom w:val="dotted" w:sz="4" w:space="0" w:color="auto"/>
              <w:right w:val="nil"/>
            </w:tcBorders>
            <w:noWrap/>
            <w:hideMark/>
          </w:tcPr>
          <w:p w14:paraId="0CE08BDE" w14:textId="77777777" w:rsidR="0058789F" w:rsidRDefault="0058789F" w:rsidP="00AD1066">
            <w:pPr>
              <w:pStyle w:val="TableBodyTextrightalign"/>
              <w:rPr>
                <w:lang w:val="en-US"/>
              </w:rPr>
            </w:pPr>
            <w:r w:rsidRPr="00702372">
              <w:t>2,780</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1D62727B" w14:textId="77777777" w:rsidR="0058789F" w:rsidRDefault="0058789F" w:rsidP="00AD1066">
            <w:pPr>
              <w:pStyle w:val="TableBodyTextrightalign"/>
              <w:rPr>
                <w:rStyle w:val="Characterbold"/>
                <w:b w:val="0"/>
              </w:rPr>
            </w:pPr>
            <w:r w:rsidRPr="00702372">
              <w:t>228</w:t>
            </w:r>
          </w:p>
        </w:tc>
        <w:tc>
          <w:tcPr>
            <w:tcW w:w="480" w:type="pct"/>
            <w:tcBorders>
              <w:top w:val="dotted" w:sz="4" w:space="0" w:color="auto"/>
              <w:left w:val="nil"/>
              <w:bottom w:val="dotted" w:sz="4" w:space="0" w:color="auto"/>
              <w:right w:val="nil"/>
            </w:tcBorders>
            <w:noWrap/>
            <w:hideMark/>
          </w:tcPr>
          <w:p w14:paraId="64CEA050" w14:textId="77777777" w:rsidR="0058789F" w:rsidRDefault="0058789F" w:rsidP="00AD1066">
            <w:pPr>
              <w:pStyle w:val="TableBodyTextrightalign"/>
              <w:rPr>
                <w:lang w:val="en-US"/>
              </w:rPr>
            </w:pPr>
            <w:r w:rsidRPr="00702372">
              <w:t>269</w:t>
            </w:r>
          </w:p>
        </w:tc>
      </w:tr>
      <w:tr w:rsidR="0058789F" w14:paraId="00F648CA" w14:textId="77777777" w:rsidTr="00AD1066">
        <w:trPr>
          <w:trHeight w:val="255"/>
        </w:trPr>
        <w:tc>
          <w:tcPr>
            <w:tcW w:w="2119" w:type="pct"/>
            <w:tcBorders>
              <w:top w:val="dotted" w:sz="4" w:space="0" w:color="auto"/>
              <w:left w:val="nil"/>
              <w:bottom w:val="dotted" w:sz="4" w:space="0" w:color="auto"/>
              <w:right w:val="nil"/>
            </w:tcBorders>
            <w:noWrap/>
            <w:hideMark/>
          </w:tcPr>
          <w:p w14:paraId="390F22A8" w14:textId="77777777" w:rsidR="0058789F" w:rsidRDefault="0058789F" w:rsidP="00AD1066">
            <w:pPr>
              <w:pStyle w:val="TableBodyText"/>
              <w:rPr>
                <w:lang w:eastAsia="en-US"/>
              </w:rPr>
            </w:pPr>
            <w:r>
              <w:rPr>
                <w:lang w:eastAsia="en-US"/>
              </w:rPr>
              <w:t>Motor vehicles at fair value</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14B146F3" w14:textId="77777777" w:rsidR="0058789F" w:rsidRDefault="0058789F" w:rsidP="00AD1066">
            <w:pPr>
              <w:pStyle w:val="TableBodyTextrightalign"/>
              <w:rPr>
                <w:rStyle w:val="Characterbold"/>
                <w:b w:val="0"/>
                <w:bCs w:val="0"/>
              </w:rPr>
            </w:pPr>
            <w:r w:rsidRPr="00702372">
              <w:t>1,811</w:t>
            </w:r>
          </w:p>
        </w:tc>
        <w:tc>
          <w:tcPr>
            <w:tcW w:w="480" w:type="pct"/>
            <w:tcBorders>
              <w:top w:val="dotted" w:sz="4" w:space="0" w:color="auto"/>
              <w:left w:val="nil"/>
              <w:bottom w:val="dotted" w:sz="4" w:space="0" w:color="auto"/>
              <w:right w:val="nil"/>
            </w:tcBorders>
            <w:noWrap/>
            <w:hideMark/>
          </w:tcPr>
          <w:p w14:paraId="6FFB896D" w14:textId="77777777" w:rsidR="0058789F" w:rsidRDefault="0058789F" w:rsidP="00AD1066">
            <w:pPr>
              <w:pStyle w:val="TableBodyTextrightalign"/>
              <w:rPr>
                <w:lang w:val="en-US"/>
              </w:rPr>
            </w:pPr>
            <w:r w:rsidRPr="00702372">
              <w:t>1,844</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1FD420CC" w14:textId="77777777" w:rsidR="0058789F" w:rsidRDefault="0058789F" w:rsidP="00AD1066">
            <w:pPr>
              <w:pStyle w:val="TableBodyTextrightalign"/>
              <w:rPr>
                <w:rStyle w:val="Characterbold"/>
                <w:b w:val="0"/>
              </w:rPr>
            </w:pPr>
            <w:r w:rsidRPr="00702372">
              <w:t>549</w:t>
            </w:r>
          </w:p>
        </w:tc>
        <w:tc>
          <w:tcPr>
            <w:tcW w:w="480" w:type="pct"/>
            <w:tcBorders>
              <w:top w:val="dotted" w:sz="4" w:space="0" w:color="auto"/>
              <w:left w:val="nil"/>
              <w:bottom w:val="dotted" w:sz="4" w:space="0" w:color="auto"/>
              <w:right w:val="nil"/>
            </w:tcBorders>
            <w:noWrap/>
            <w:hideMark/>
          </w:tcPr>
          <w:p w14:paraId="27FAF1E0" w14:textId="77777777" w:rsidR="0058789F" w:rsidRDefault="0058789F" w:rsidP="00AD1066">
            <w:pPr>
              <w:pStyle w:val="TableBodyTextrightalign"/>
              <w:rPr>
                <w:lang w:val="en-US"/>
              </w:rPr>
            </w:pPr>
            <w:r w:rsidRPr="00702372">
              <w:t>570</w:t>
            </w:r>
          </w:p>
        </w:tc>
        <w:tc>
          <w:tcPr>
            <w:tcW w:w="480" w:type="pct"/>
            <w:tcBorders>
              <w:top w:val="dotted" w:sz="4" w:space="0" w:color="auto"/>
              <w:left w:val="nil"/>
              <w:bottom w:val="dotted" w:sz="4" w:space="0" w:color="auto"/>
              <w:right w:val="nil"/>
            </w:tcBorders>
            <w:shd w:val="clear" w:color="auto" w:fill="F2F2F2" w:themeFill="background1" w:themeFillShade="F2"/>
            <w:noWrap/>
            <w:hideMark/>
          </w:tcPr>
          <w:p w14:paraId="611DE7F4" w14:textId="77777777" w:rsidR="0058789F" w:rsidRDefault="0058789F" w:rsidP="00AD1066">
            <w:pPr>
              <w:pStyle w:val="TableBodyTextrightalign"/>
              <w:rPr>
                <w:rStyle w:val="Characterbold"/>
                <w:b w:val="0"/>
              </w:rPr>
            </w:pPr>
            <w:r w:rsidRPr="00702372">
              <w:t>1,262</w:t>
            </w:r>
          </w:p>
        </w:tc>
        <w:tc>
          <w:tcPr>
            <w:tcW w:w="480" w:type="pct"/>
            <w:tcBorders>
              <w:top w:val="dotted" w:sz="4" w:space="0" w:color="auto"/>
              <w:left w:val="nil"/>
              <w:bottom w:val="dotted" w:sz="4" w:space="0" w:color="auto"/>
              <w:right w:val="nil"/>
            </w:tcBorders>
            <w:noWrap/>
            <w:hideMark/>
          </w:tcPr>
          <w:p w14:paraId="535863B7" w14:textId="77777777" w:rsidR="0058789F" w:rsidRDefault="0058789F" w:rsidP="00AD1066">
            <w:pPr>
              <w:pStyle w:val="TableBodyTextrightalign"/>
              <w:rPr>
                <w:lang w:val="en-US"/>
              </w:rPr>
            </w:pPr>
            <w:r w:rsidRPr="00702372">
              <w:t>1,274</w:t>
            </w:r>
          </w:p>
        </w:tc>
      </w:tr>
      <w:tr w:rsidR="0058789F" w14:paraId="4940C8BC" w14:textId="77777777" w:rsidTr="00AD1066">
        <w:trPr>
          <w:cnfStyle w:val="010000000000" w:firstRow="0" w:lastRow="1" w:firstColumn="0" w:lastColumn="0" w:oddVBand="0" w:evenVBand="0" w:oddHBand="0" w:evenHBand="0" w:firstRowFirstColumn="0" w:firstRowLastColumn="0" w:lastRowFirstColumn="0" w:lastRowLastColumn="0"/>
          <w:trHeight w:val="71"/>
        </w:trPr>
        <w:tc>
          <w:tcPr>
            <w:tcW w:w="2119" w:type="pct"/>
            <w:tcBorders>
              <w:top w:val="dotted" w:sz="4" w:space="0" w:color="auto"/>
              <w:left w:val="nil"/>
              <w:right w:val="nil"/>
            </w:tcBorders>
            <w:noWrap/>
            <w:hideMark/>
          </w:tcPr>
          <w:p w14:paraId="035310AE" w14:textId="77777777" w:rsidR="0058789F" w:rsidRDefault="0058789F" w:rsidP="00AD1066">
            <w:pPr>
              <w:pStyle w:val="TableBodyText"/>
              <w:rPr>
                <w:lang w:eastAsia="en-US"/>
              </w:rPr>
            </w:pPr>
            <w:r>
              <w:rPr>
                <w:lang w:eastAsia="en-US"/>
              </w:rPr>
              <w:t>Total</w:t>
            </w:r>
          </w:p>
        </w:tc>
        <w:tc>
          <w:tcPr>
            <w:tcW w:w="480" w:type="pct"/>
            <w:tcBorders>
              <w:top w:val="dotted" w:sz="4" w:space="0" w:color="auto"/>
              <w:left w:val="nil"/>
              <w:right w:val="nil"/>
            </w:tcBorders>
            <w:shd w:val="clear" w:color="auto" w:fill="F2F2F2" w:themeFill="background1" w:themeFillShade="F2"/>
            <w:noWrap/>
            <w:hideMark/>
          </w:tcPr>
          <w:p w14:paraId="24B38588" w14:textId="77777777" w:rsidR="0058789F" w:rsidRDefault="0058789F" w:rsidP="00AD1066">
            <w:pPr>
              <w:pStyle w:val="TableBodyTextrightalign"/>
              <w:rPr>
                <w:lang w:eastAsia="en-US"/>
              </w:rPr>
            </w:pPr>
            <w:r w:rsidRPr="00702372">
              <w:t>43,588</w:t>
            </w:r>
          </w:p>
        </w:tc>
        <w:tc>
          <w:tcPr>
            <w:tcW w:w="480" w:type="pct"/>
            <w:tcBorders>
              <w:top w:val="dotted" w:sz="4" w:space="0" w:color="auto"/>
              <w:left w:val="nil"/>
              <w:right w:val="nil"/>
            </w:tcBorders>
            <w:noWrap/>
            <w:hideMark/>
          </w:tcPr>
          <w:p w14:paraId="161678BA" w14:textId="77777777" w:rsidR="0058789F" w:rsidRDefault="0058789F" w:rsidP="00AD1066">
            <w:pPr>
              <w:pStyle w:val="TableBodyTextrightalign"/>
              <w:rPr>
                <w:lang w:eastAsia="en-US"/>
              </w:rPr>
            </w:pPr>
            <w:r w:rsidRPr="00702372">
              <w:t>41,959</w:t>
            </w:r>
          </w:p>
        </w:tc>
        <w:tc>
          <w:tcPr>
            <w:tcW w:w="480" w:type="pct"/>
            <w:tcBorders>
              <w:top w:val="dotted" w:sz="4" w:space="0" w:color="auto"/>
              <w:left w:val="nil"/>
              <w:right w:val="nil"/>
            </w:tcBorders>
            <w:shd w:val="clear" w:color="auto" w:fill="F2F2F2" w:themeFill="background1" w:themeFillShade="F2"/>
            <w:noWrap/>
            <w:hideMark/>
          </w:tcPr>
          <w:p w14:paraId="7722393E" w14:textId="77777777" w:rsidR="0058789F" w:rsidRDefault="0058789F" w:rsidP="00AD1066">
            <w:pPr>
              <w:pStyle w:val="TableBodyTextrightalign"/>
              <w:rPr>
                <w:lang w:eastAsia="en-US"/>
              </w:rPr>
            </w:pPr>
            <w:r w:rsidRPr="00702372">
              <w:t>31,434</w:t>
            </w:r>
          </w:p>
        </w:tc>
        <w:tc>
          <w:tcPr>
            <w:tcW w:w="480" w:type="pct"/>
            <w:tcBorders>
              <w:top w:val="dotted" w:sz="4" w:space="0" w:color="auto"/>
              <w:left w:val="nil"/>
              <w:right w:val="nil"/>
            </w:tcBorders>
            <w:noWrap/>
            <w:hideMark/>
          </w:tcPr>
          <w:p w14:paraId="76FAF485" w14:textId="77777777" w:rsidR="0058789F" w:rsidRDefault="0058789F" w:rsidP="00AD1066">
            <w:pPr>
              <w:pStyle w:val="TableBodyTextrightalign"/>
              <w:rPr>
                <w:lang w:eastAsia="en-US"/>
              </w:rPr>
            </w:pPr>
            <w:r w:rsidRPr="00702372">
              <w:t>27,372</w:t>
            </w:r>
          </w:p>
        </w:tc>
        <w:tc>
          <w:tcPr>
            <w:tcW w:w="480" w:type="pct"/>
            <w:tcBorders>
              <w:top w:val="dotted" w:sz="4" w:space="0" w:color="auto"/>
              <w:left w:val="nil"/>
              <w:right w:val="nil"/>
            </w:tcBorders>
            <w:shd w:val="clear" w:color="auto" w:fill="F2F2F2" w:themeFill="background1" w:themeFillShade="F2"/>
            <w:noWrap/>
            <w:hideMark/>
          </w:tcPr>
          <w:p w14:paraId="1483979E" w14:textId="77777777" w:rsidR="0058789F" w:rsidRDefault="0058789F" w:rsidP="00AD1066">
            <w:pPr>
              <w:pStyle w:val="TableBodyTextrightalign"/>
              <w:rPr>
                <w:lang w:eastAsia="en-US"/>
              </w:rPr>
            </w:pPr>
            <w:r w:rsidRPr="00702372">
              <w:t>12,152</w:t>
            </w:r>
          </w:p>
        </w:tc>
        <w:tc>
          <w:tcPr>
            <w:tcW w:w="480" w:type="pct"/>
            <w:tcBorders>
              <w:top w:val="dotted" w:sz="4" w:space="0" w:color="auto"/>
              <w:left w:val="nil"/>
              <w:right w:val="nil"/>
            </w:tcBorders>
            <w:noWrap/>
            <w:hideMark/>
          </w:tcPr>
          <w:p w14:paraId="175C4146" w14:textId="77777777" w:rsidR="0058789F" w:rsidRDefault="0058789F" w:rsidP="00AD1066">
            <w:pPr>
              <w:pStyle w:val="TableBodyTextrightalign"/>
              <w:rPr>
                <w:lang w:eastAsia="en-US"/>
              </w:rPr>
            </w:pPr>
            <w:r w:rsidRPr="00702372">
              <w:t>14,586</w:t>
            </w:r>
          </w:p>
        </w:tc>
      </w:tr>
    </w:tbl>
    <w:p w14:paraId="5561B7E0" w14:textId="77777777" w:rsidR="0058789F" w:rsidRPr="009D3814" w:rsidRDefault="0058789F" w:rsidP="009D3814">
      <w:pPr>
        <w:pStyle w:val="TableNote"/>
      </w:pPr>
      <w:bookmarkStart w:id="178" w:name="_Ref82070624"/>
      <w:r>
        <w:br w:type="page"/>
      </w:r>
    </w:p>
    <w:p w14:paraId="20D7F594" w14:textId="77777777" w:rsidR="0058789F" w:rsidRPr="001C6D2A" w:rsidRDefault="0058789F" w:rsidP="006F399C">
      <w:pPr>
        <w:pStyle w:val="NotesHeading3"/>
      </w:pPr>
      <w:r w:rsidRPr="007211D6">
        <w:t xml:space="preserve"> </w:t>
      </w:r>
      <w:bookmarkStart w:id="179" w:name="_Ref145073844"/>
      <w:r w:rsidRPr="001C6D2A">
        <w:t>Total right-of-use assets: buildings and motor vehicles</w:t>
      </w:r>
      <w:bookmarkEnd w:id="178"/>
      <w:bookmarkEnd w:id="179"/>
    </w:p>
    <w:p w14:paraId="17F4E325" w14:textId="77777777" w:rsidR="0058789F" w:rsidRDefault="0058789F" w:rsidP="0058789F">
      <w:pPr>
        <w:pStyle w:val="BodyText"/>
      </w:pPr>
      <w:r>
        <w:t>The following table is a</w:t>
      </w:r>
      <w:r w:rsidRPr="00650C67">
        <w:t xml:space="preserve"> subset of </w:t>
      </w:r>
      <w:r>
        <w:t>total key assets by</w:t>
      </w:r>
      <w:r w:rsidRPr="00650C67">
        <w:t xml:space="preserve"> right-of-use assets</w:t>
      </w:r>
      <w:r>
        <w:t>.</w:t>
      </w:r>
    </w:p>
    <w:tbl>
      <w:tblPr>
        <w:tblStyle w:val="CustomTabledetailed"/>
        <w:tblW w:w="5000" w:type="pct"/>
        <w:tblLayout w:type="fixed"/>
        <w:tblLook w:val="0660" w:firstRow="1" w:lastRow="1" w:firstColumn="0" w:lastColumn="0" w:noHBand="1" w:noVBand="1"/>
      </w:tblPr>
      <w:tblGrid>
        <w:gridCol w:w="2713"/>
        <w:gridCol w:w="1050"/>
        <w:gridCol w:w="1053"/>
        <w:gridCol w:w="1051"/>
        <w:gridCol w:w="87"/>
        <w:gridCol w:w="966"/>
        <w:gridCol w:w="576"/>
        <w:gridCol w:w="475"/>
        <w:gridCol w:w="1056"/>
      </w:tblGrid>
      <w:tr w:rsidR="0058789F" w:rsidRPr="00790908" w14:paraId="4A261348" w14:textId="77777777" w:rsidTr="00AD1066">
        <w:trPr>
          <w:cnfStyle w:val="100000000000" w:firstRow="1" w:lastRow="0" w:firstColumn="0" w:lastColumn="0" w:oddVBand="0" w:evenVBand="0" w:oddHBand="0" w:evenHBand="0" w:firstRowFirstColumn="0" w:firstRowLastColumn="0" w:lastRowFirstColumn="0" w:lastRowLastColumn="0"/>
          <w:trHeight w:val="256"/>
        </w:trPr>
        <w:tc>
          <w:tcPr>
            <w:tcW w:w="1503" w:type="pct"/>
            <w:noWrap/>
            <w:hideMark/>
          </w:tcPr>
          <w:p w14:paraId="28BAB4A5" w14:textId="77777777" w:rsidR="0058789F" w:rsidRPr="005045D5" w:rsidRDefault="0058789F" w:rsidP="00AD1066">
            <w:pPr>
              <w:pStyle w:val="TableBodyText"/>
            </w:pPr>
            <w:r w:rsidRPr="00790908">
              <w:t> </w:t>
            </w:r>
          </w:p>
        </w:tc>
        <w:tc>
          <w:tcPr>
            <w:tcW w:w="1165" w:type="pct"/>
            <w:gridSpan w:val="2"/>
            <w:hideMark/>
          </w:tcPr>
          <w:p w14:paraId="1DB0EC3E" w14:textId="77777777" w:rsidR="0058789F" w:rsidRPr="005045D5" w:rsidRDefault="0058789F" w:rsidP="00AD1066">
            <w:pPr>
              <w:pStyle w:val="TableHeading1"/>
            </w:pPr>
            <w:r w:rsidRPr="00790908">
              <w:t>Gross carrying amount</w:t>
            </w:r>
          </w:p>
        </w:tc>
        <w:tc>
          <w:tcPr>
            <w:tcW w:w="1165" w:type="pct"/>
            <w:gridSpan w:val="3"/>
            <w:hideMark/>
          </w:tcPr>
          <w:p w14:paraId="2763D93F" w14:textId="77777777" w:rsidR="0058789F" w:rsidRPr="005045D5" w:rsidRDefault="0058789F" w:rsidP="00AD1066">
            <w:pPr>
              <w:pStyle w:val="TableHeading1"/>
            </w:pPr>
            <w:r w:rsidRPr="00790908">
              <w:t>Accumulated depreciation</w:t>
            </w:r>
          </w:p>
        </w:tc>
        <w:tc>
          <w:tcPr>
            <w:tcW w:w="1167" w:type="pct"/>
            <w:gridSpan w:val="3"/>
            <w:hideMark/>
          </w:tcPr>
          <w:p w14:paraId="3C920DBE" w14:textId="77777777" w:rsidR="0058789F" w:rsidRPr="005045D5" w:rsidRDefault="0058789F" w:rsidP="00AD1066">
            <w:pPr>
              <w:pStyle w:val="TableHeading1"/>
            </w:pPr>
            <w:r w:rsidRPr="00790908">
              <w:t xml:space="preserve">Net carrying amount </w:t>
            </w:r>
          </w:p>
        </w:tc>
      </w:tr>
      <w:tr w:rsidR="0058789F" w:rsidRPr="00790908" w14:paraId="6FBB1307" w14:textId="77777777" w:rsidTr="00AD1066">
        <w:trPr>
          <w:trHeight w:val="255"/>
        </w:trPr>
        <w:tc>
          <w:tcPr>
            <w:tcW w:w="1503" w:type="pct"/>
            <w:shd w:val="clear" w:color="auto" w:fill="E5DFEC"/>
            <w:noWrap/>
            <w:hideMark/>
          </w:tcPr>
          <w:p w14:paraId="31BE8228" w14:textId="77777777" w:rsidR="0058789F" w:rsidRPr="005045D5" w:rsidRDefault="0058789F" w:rsidP="00AD1066">
            <w:pPr>
              <w:pStyle w:val="TableBodyText"/>
            </w:pPr>
            <w:r w:rsidRPr="00790908">
              <w:t> </w:t>
            </w:r>
          </w:p>
        </w:tc>
        <w:tc>
          <w:tcPr>
            <w:tcW w:w="582" w:type="pct"/>
            <w:shd w:val="clear" w:color="auto" w:fill="E5DFEC"/>
            <w:hideMark/>
          </w:tcPr>
          <w:p w14:paraId="7493F991" w14:textId="77777777" w:rsidR="0058789F" w:rsidRPr="005045D5" w:rsidRDefault="0058789F" w:rsidP="00AD1066">
            <w:pPr>
              <w:pStyle w:val="TableHeading3rightalign"/>
            </w:pPr>
            <w:r w:rsidRPr="005F11DD">
              <w:t>202</w:t>
            </w:r>
            <w:r>
              <w:t>3</w:t>
            </w:r>
          </w:p>
          <w:p w14:paraId="6BDA22FD" w14:textId="77777777" w:rsidR="0058789F" w:rsidRPr="005045D5" w:rsidRDefault="0058789F" w:rsidP="00AD1066">
            <w:pPr>
              <w:pStyle w:val="TableHeading3rightalign"/>
            </w:pPr>
            <w:r>
              <w:t>(</w:t>
            </w:r>
            <w:r w:rsidRPr="005045D5">
              <w:t>$’000)</w:t>
            </w:r>
          </w:p>
        </w:tc>
        <w:tc>
          <w:tcPr>
            <w:tcW w:w="583" w:type="pct"/>
            <w:shd w:val="clear" w:color="auto" w:fill="E5DFEC"/>
            <w:hideMark/>
          </w:tcPr>
          <w:p w14:paraId="2A7D32BB" w14:textId="77777777" w:rsidR="0058789F" w:rsidRPr="005045D5" w:rsidRDefault="0058789F" w:rsidP="00AD1066">
            <w:pPr>
              <w:pStyle w:val="TableHeading3rightalign"/>
            </w:pPr>
            <w:r w:rsidRPr="005F11DD">
              <w:t>202</w:t>
            </w:r>
            <w:r>
              <w:t>2</w:t>
            </w:r>
          </w:p>
          <w:p w14:paraId="200FFC4A" w14:textId="77777777" w:rsidR="0058789F" w:rsidRPr="005045D5" w:rsidRDefault="0058789F" w:rsidP="00AD1066">
            <w:pPr>
              <w:pStyle w:val="TableHeading3rightalign"/>
            </w:pPr>
            <w:r>
              <w:t>(</w:t>
            </w:r>
            <w:r w:rsidRPr="005045D5">
              <w:t>$’000)</w:t>
            </w:r>
          </w:p>
        </w:tc>
        <w:tc>
          <w:tcPr>
            <w:tcW w:w="582" w:type="pct"/>
            <w:shd w:val="clear" w:color="auto" w:fill="E5DFEC"/>
            <w:hideMark/>
          </w:tcPr>
          <w:p w14:paraId="204E59E2" w14:textId="77777777" w:rsidR="0058789F" w:rsidRPr="005045D5" w:rsidRDefault="0058789F" w:rsidP="00AD1066">
            <w:pPr>
              <w:pStyle w:val="TableHeading3rightalign"/>
            </w:pPr>
            <w:r w:rsidRPr="005F11DD">
              <w:t>202</w:t>
            </w:r>
            <w:r>
              <w:t>3</w:t>
            </w:r>
          </w:p>
          <w:p w14:paraId="78DAF303" w14:textId="77777777" w:rsidR="0058789F" w:rsidRPr="005045D5" w:rsidRDefault="0058789F" w:rsidP="00AD1066">
            <w:pPr>
              <w:pStyle w:val="TableHeading3rightalign"/>
            </w:pPr>
            <w:r>
              <w:t>(</w:t>
            </w:r>
            <w:r w:rsidRPr="005045D5">
              <w:t>$’000)</w:t>
            </w:r>
          </w:p>
        </w:tc>
        <w:tc>
          <w:tcPr>
            <w:tcW w:w="583" w:type="pct"/>
            <w:gridSpan w:val="2"/>
            <w:shd w:val="clear" w:color="auto" w:fill="E5DFEC"/>
            <w:hideMark/>
          </w:tcPr>
          <w:p w14:paraId="02A9B7F9" w14:textId="77777777" w:rsidR="0058789F" w:rsidRPr="005045D5" w:rsidRDefault="0058789F" w:rsidP="00AD1066">
            <w:pPr>
              <w:pStyle w:val="TableHeading3rightalign"/>
            </w:pPr>
            <w:r w:rsidRPr="005F11DD">
              <w:t>202</w:t>
            </w:r>
            <w:r>
              <w:t>2</w:t>
            </w:r>
          </w:p>
          <w:p w14:paraId="440384ED" w14:textId="77777777" w:rsidR="0058789F" w:rsidRPr="005045D5" w:rsidRDefault="0058789F" w:rsidP="00AD1066">
            <w:pPr>
              <w:pStyle w:val="TableHeading3rightalign"/>
            </w:pPr>
            <w:r>
              <w:t>(</w:t>
            </w:r>
            <w:r w:rsidRPr="005045D5">
              <w:t>$’000)</w:t>
            </w:r>
          </w:p>
        </w:tc>
        <w:tc>
          <w:tcPr>
            <w:tcW w:w="582" w:type="pct"/>
            <w:gridSpan w:val="2"/>
            <w:shd w:val="clear" w:color="auto" w:fill="E5DFEC"/>
            <w:hideMark/>
          </w:tcPr>
          <w:p w14:paraId="560F5E27" w14:textId="77777777" w:rsidR="0058789F" w:rsidRPr="005045D5" w:rsidRDefault="0058789F" w:rsidP="00AD1066">
            <w:pPr>
              <w:pStyle w:val="TableHeading3rightalign"/>
            </w:pPr>
            <w:r w:rsidRPr="005F11DD">
              <w:t>202</w:t>
            </w:r>
            <w:r>
              <w:t>3</w:t>
            </w:r>
          </w:p>
          <w:p w14:paraId="269BD7C9" w14:textId="77777777" w:rsidR="0058789F" w:rsidRPr="005045D5" w:rsidRDefault="0058789F" w:rsidP="00AD1066">
            <w:pPr>
              <w:pStyle w:val="TableHeading3rightalign"/>
            </w:pPr>
            <w:r>
              <w:t>(</w:t>
            </w:r>
            <w:r w:rsidRPr="005045D5">
              <w:t>$’000)</w:t>
            </w:r>
          </w:p>
        </w:tc>
        <w:tc>
          <w:tcPr>
            <w:tcW w:w="585" w:type="pct"/>
            <w:shd w:val="clear" w:color="auto" w:fill="E5DFEC"/>
            <w:hideMark/>
          </w:tcPr>
          <w:p w14:paraId="43B1F6C9" w14:textId="77777777" w:rsidR="0058789F" w:rsidRPr="005045D5" w:rsidRDefault="0058789F" w:rsidP="00AD1066">
            <w:pPr>
              <w:pStyle w:val="TableHeading3rightalign"/>
            </w:pPr>
            <w:r w:rsidRPr="005F11DD">
              <w:t>202</w:t>
            </w:r>
            <w:r>
              <w:t>2</w:t>
            </w:r>
          </w:p>
          <w:p w14:paraId="1D5562C6" w14:textId="77777777" w:rsidR="0058789F" w:rsidRPr="005045D5" w:rsidRDefault="0058789F" w:rsidP="00AD1066">
            <w:pPr>
              <w:pStyle w:val="TableHeading3rightalign"/>
            </w:pPr>
            <w:r>
              <w:t>(</w:t>
            </w:r>
            <w:r w:rsidRPr="005045D5">
              <w:t>$’000)</w:t>
            </w:r>
          </w:p>
        </w:tc>
      </w:tr>
      <w:tr w:rsidR="0058789F" w:rsidRPr="00790908" w14:paraId="086D9E24" w14:textId="77777777" w:rsidTr="00AD1066">
        <w:trPr>
          <w:trHeight w:val="255"/>
        </w:trPr>
        <w:tc>
          <w:tcPr>
            <w:tcW w:w="5000" w:type="pct"/>
            <w:gridSpan w:val="9"/>
            <w:noWrap/>
            <w:hideMark/>
          </w:tcPr>
          <w:p w14:paraId="76D5F038" w14:textId="77777777" w:rsidR="0058789F" w:rsidRPr="00790908" w:rsidRDefault="0058789F" w:rsidP="00AD1066">
            <w:pPr>
              <w:pStyle w:val="TableBodyText"/>
            </w:pPr>
          </w:p>
        </w:tc>
      </w:tr>
      <w:tr w:rsidR="0058789F" w:rsidRPr="00790908" w14:paraId="53466954" w14:textId="77777777" w:rsidTr="00AD1066">
        <w:trPr>
          <w:trHeight w:val="255"/>
        </w:trPr>
        <w:tc>
          <w:tcPr>
            <w:tcW w:w="1503" w:type="pct"/>
            <w:noWrap/>
            <w:hideMark/>
          </w:tcPr>
          <w:p w14:paraId="7058800D" w14:textId="77777777" w:rsidR="0058789F" w:rsidRPr="005045D5" w:rsidRDefault="0058789F" w:rsidP="00AD1066">
            <w:pPr>
              <w:pStyle w:val="TableBodyText"/>
            </w:pPr>
            <w:r w:rsidRPr="0067677B">
              <w:t>Buildings at fair value</w:t>
            </w:r>
          </w:p>
        </w:tc>
        <w:tc>
          <w:tcPr>
            <w:tcW w:w="582" w:type="pct"/>
            <w:shd w:val="clear" w:color="auto" w:fill="F2F2F2" w:themeFill="background1" w:themeFillShade="F2"/>
            <w:noWrap/>
          </w:tcPr>
          <w:p w14:paraId="0E355CAD" w14:textId="77777777" w:rsidR="0058789F" w:rsidRPr="005045D5" w:rsidRDefault="0058789F" w:rsidP="00AD1066">
            <w:pPr>
              <w:pStyle w:val="TableBodyTextrightalign"/>
            </w:pPr>
            <w:r>
              <w:t>18,324</w:t>
            </w:r>
          </w:p>
        </w:tc>
        <w:tc>
          <w:tcPr>
            <w:tcW w:w="583" w:type="pct"/>
            <w:noWrap/>
            <w:hideMark/>
          </w:tcPr>
          <w:p w14:paraId="30310655" w14:textId="77777777" w:rsidR="0058789F" w:rsidRPr="005045D5" w:rsidRDefault="0058789F" w:rsidP="00AD1066">
            <w:pPr>
              <w:pStyle w:val="TableBodyTextrightalign"/>
            </w:pPr>
            <w:r>
              <w:t>18,324</w:t>
            </w:r>
          </w:p>
        </w:tc>
        <w:tc>
          <w:tcPr>
            <w:tcW w:w="582" w:type="pct"/>
            <w:shd w:val="clear" w:color="auto" w:fill="F2F2F2" w:themeFill="background1" w:themeFillShade="F2"/>
            <w:noWrap/>
          </w:tcPr>
          <w:p w14:paraId="63CCA82B" w14:textId="77777777" w:rsidR="0058789F" w:rsidRPr="005045D5" w:rsidRDefault="0058789F" w:rsidP="00AD1066">
            <w:pPr>
              <w:pStyle w:val="TableBodyTextrightalign"/>
            </w:pPr>
            <w:r>
              <w:t>11,673</w:t>
            </w:r>
          </w:p>
        </w:tc>
        <w:tc>
          <w:tcPr>
            <w:tcW w:w="583" w:type="pct"/>
            <w:gridSpan w:val="2"/>
            <w:noWrap/>
            <w:hideMark/>
          </w:tcPr>
          <w:p w14:paraId="3D5C69CA" w14:textId="77777777" w:rsidR="0058789F" w:rsidRPr="005045D5" w:rsidRDefault="0058789F" w:rsidP="00AD1066">
            <w:pPr>
              <w:pStyle w:val="TableBodyTextrightalign"/>
            </w:pPr>
            <w:r>
              <w:t>8,755</w:t>
            </w:r>
          </w:p>
        </w:tc>
        <w:tc>
          <w:tcPr>
            <w:tcW w:w="582" w:type="pct"/>
            <w:gridSpan w:val="2"/>
            <w:shd w:val="clear" w:color="auto" w:fill="F2F2F2" w:themeFill="background1" w:themeFillShade="F2"/>
            <w:noWrap/>
          </w:tcPr>
          <w:p w14:paraId="1D534101" w14:textId="77777777" w:rsidR="0058789F" w:rsidRPr="005045D5" w:rsidRDefault="0058789F" w:rsidP="00AD1066">
            <w:pPr>
              <w:pStyle w:val="TableBodyTextrightalign"/>
            </w:pPr>
            <w:r>
              <w:t>6,651</w:t>
            </w:r>
          </w:p>
        </w:tc>
        <w:tc>
          <w:tcPr>
            <w:tcW w:w="585" w:type="pct"/>
            <w:noWrap/>
            <w:hideMark/>
          </w:tcPr>
          <w:p w14:paraId="1DF175F1" w14:textId="77777777" w:rsidR="0058789F" w:rsidRPr="005045D5" w:rsidRDefault="0058789F" w:rsidP="00AD1066">
            <w:pPr>
              <w:pStyle w:val="TableBodyTextrightalign"/>
            </w:pPr>
            <w:r>
              <w:t>9,569</w:t>
            </w:r>
          </w:p>
        </w:tc>
      </w:tr>
      <w:tr w:rsidR="0058789F" w:rsidRPr="00790908" w14:paraId="1F654553" w14:textId="77777777" w:rsidTr="00AD1066">
        <w:trPr>
          <w:trHeight w:val="255"/>
        </w:trPr>
        <w:tc>
          <w:tcPr>
            <w:tcW w:w="1503" w:type="pct"/>
            <w:tcBorders>
              <w:bottom w:val="dotted" w:sz="4" w:space="0" w:color="auto"/>
            </w:tcBorders>
            <w:noWrap/>
            <w:hideMark/>
          </w:tcPr>
          <w:p w14:paraId="4F439FFE" w14:textId="77777777" w:rsidR="0058789F" w:rsidRPr="005045D5" w:rsidRDefault="0058789F" w:rsidP="00AD1066">
            <w:pPr>
              <w:pStyle w:val="TableBodyText"/>
            </w:pPr>
            <w:r w:rsidRPr="00790908">
              <w:t>Motor vehicles at fair value</w:t>
            </w:r>
          </w:p>
        </w:tc>
        <w:tc>
          <w:tcPr>
            <w:tcW w:w="582" w:type="pct"/>
            <w:tcBorders>
              <w:bottom w:val="dotted" w:sz="4" w:space="0" w:color="auto"/>
            </w:tcBorders>
            <w:shd w:val="clear" w:color="auto" w:fill="F2F2F2" w:themeFill="background1" w:themeFillShade="F2"/>
            <w:noWrap/>
          </w:tcPr>
          <w:p w14:paraId="705DC35D" w14:textId="77777777" w:rsidR="0058789F" w:rsidRPr="005045D5" w:rsidRDefault="0058789F" w:rsidP="00AD1066">
            <w:pPr>
              <w:pStyle w:val="TableBodyTextrightalign"/>
            </w:pPr>
            <w:r>
              <w:t>1,766</w:t>
            </w:r>
          </w:p>
        </w:tc>
        <w:tc>
          <w:tcPr>
            <w:tcW w:w="583" w:type="pct"/>
            <w:tcBorders>
              <w:bottom w:val="dotted" w:sz="4" w:space="0" w:color="auto"/>
            </w:tcBorders>
            <w:noWrap/>
            <w:hideMark/>
          </w:tcPr>
          <w:p w14:paraId="581CBCCC" w14:textId="77777777" w:rsidR="0058789F" w:rsidRPr="005045D5" w:rsidRDefault="0058789F" w:rsidP="00AD1066">
            <w:pPr>
              <w:pStyle w:val="TableBodyTextrightalign"/>
            </w:pPr>
            <w:r>
              <w:t>1,798</w:t>
            </w:r>
          </w:p>
        </w:tc>
        <w:tc>
          <w:tcPr>
            <w:tcW w:w="582" w:type="pct"/>
            <w:tcBorders>
              <w:bottom w:val="dotted" w:sz="4" w:space="0" w:color="auto"/>
            </w:tcBorders>
            <w:shd w:val="clear" w:color="auto" w:fill="F2F2F2" w:themeFill="background1" w:themeFillShade="F2"/>
            <w:noWrap/>
          </w:tcPr>
          <w:p w14:paraId="6183BB3E" w14:textId="77777777" w:rsidR="0058789F" w:rsidRPr="005045D5" w:rsidRDefault="0058789F" w:rsidP="00AD1066">
            <w:pPr>
              <w:pStyle w:val="TableBodyTextrightalign"/>
            </w:pPr>
            <w:r>
              <w:t>504</w:t>
            </w:r>
          </w:p>
        </w:tc>
        <w:tc>
          <w:tcPr>
            <w:tcW w:w="583" w:type="pct"/>
            <w:gridSpan w:val="2"/>
            <w:tcBorders>
              <w:bottom w:val="dotted" w:sz="4" w:space="0" w:color="auto"/>
            </w:tcBorders>
            <w:noWrap/>
            <w:hideMark/>
          </w:tcPr>
          <w:p w14:paraId="15B33143" w14:textId="77777777" w:rsidR="0058789F" w:rsidRPr="005045D5" w:rsidRDefault="0058789F" w:rsidP="00AD1066">
            <w:pPr>
              <w:pStyle w:val="TableBodyTextrightalign"/>
            </w:pPr>
            <w:r>
              <w:t>524</w:t>
            </w:r>
          </w:p>
        </w:tc>
        <w:tc>
          <w:tcPr>
            <w:tcW w:w="582" w:type="pct"/>
            <w:gridSpan w:val="2"/>
            <w:tcBorders>
              <w:bottom w:val="dotted" w:sz="4" w:space="0" w:color="auto"/>
            </w:tcBorders>
            <w:shd w:val="clear" w:color="auto" w:fill="F2F2F2" w:themeFill="background1" w:themeFillShade="F2"/>
            <w:noWrap/>
          </w:tcPr>
          <w:p w14:paraId="167594DC" w14:textId="77777777" w:rsidR="0058789F" w:rsidRPr="005045D5" w:rsidRDefault="0058789F" w:rsidP="00AD1066">
            <w:pPr>
              <w:pStyle w:val="TableBodyTextrightalign"/>
            </w:pPr>
            <w:r>
              <w:t>1,262</w:t>
            </w:r>
          </w:p>
        </w:tc>
        <w:tc>
          <w:tcPr>
            <w:tcW w:w="585" w:type="pct"/>
            <w:tcBorders>
              <w:bottom w:val="dotted" w:sz="4" w:space="0" w:color="auto"/>
            </w:tcBorders>
            <w:noWrap/>
            <w:hideMark/>
          </w:tcPr>
          <w:p w14:paraId="37DC7445" w14:textId="77777777" w:rsidR="0058789F" w:rsidRPr="005045D5" w:rsidRDefault="0058789F" w:rsidP="00AD1066">
            <w:pPr>
              <w:pStyle w:val="TableBodyTextrightalign"/>
            </w:pPr>
            <w:r>
              <w:t>1,274</w:t>
            </w:r>
          </w:p>
        </w:tc>
      </w:tr>
      <w:tr w:rsidR="0058789F" w:rsidRPr="00686295" w14:paraId="5A23082A" w14:textId="77777777" w:rsidTr="00AD1066">
        <w:trPr>
          <w:trHeight w:val="270"/>
        </w:trPr>
        <w:tc>
          <w:tcPr>
            <w:tcW w:w="1503" w:type="pct"/>
            <w:tcBorders>
              <w:top w:val="dotted" w:sz="4" w:space="0" w:color="auto"/>
              <w:bottom w:val="single" w:sz="4" w:space="0" w:color="auto"/>
            </w:tcBorders>
            <w:noWrap/>
            <w:hideMark/>
          </w:tcPr>
          <w:p w14:paraId="0B2134DB" w14:textId="77777777" w:rsidR="0058789F" w:rsidRPr="007211D6" w:rsidRDefault="0058789F" w:rsidP="00AD1066">
            <w:pPr>
              <w:pStyle w:val="TableBodyText"/>
              <w:rPr>
                <w:rStyle w:val="Characterbold"/>
              </w:rPr>
            </w:pPr>
            <w:r w:rsidRPr="007211D6">
              <w:rPr>
                <w:rStyle w:val="Characterbold"/>
              </w:rPr>
              <w:t>Total</w:t>
            </w:r>
          </w:p>
        </w:tc>
        <w:tc>
          <w:tcPr>
            <w:tcW w:w="582" w:type="pct"/>
            <w:tcBorders>
              <w:top w:val="dotted" w:sz="4" w:space="0" w:color="auto"/>
              <w:bottom w:val="single" w:sz="4" w:space="0" w:color="auto"/>
            </w:tcBorders>
            <w:shd w:val="clear" w:color="auto" w:fill="F2F2F2" w:themeFill="background1" w:themeFillShade="F2"/>
            <w:noWrap/>
          </w:tcPr>
          <w:p w14:paraId="13F575C6" w14:textId="77777777" w:rsidR="0058789F" w:rsidRPr="007E78B5" w:rsidRDefault="0058789F" w:rsidP="007E78B5">
            <w:pPr>
              <w:pStyle w:val="TableBodyTextrightalign"/>
              <w:rPr>
                <w:rStyle w:val="Characterbold"/>
              </w:rPr>
            </w:pPr>
            <w:r w:rsidRPr="007E78B5">
              <w:rPr>
                <w:rStyle w:val="Characterbold"/>
              </w:rPr>
              <w:t>20,090</w:t>
            </w:r>
          </w:p>
        </w:tc>
        <w:tc>
          <w:tcPr>
            <w:tcW w:w="583" w:type="pct"/>
            <w:tcBorders>
              <w:top w:val="dotted" w:sz="4" w:space="0" w:color="auto"/>
              <w:bottom w:val="single" w:sz="4" w:space="0" w:color="auto"/>
            </w:tcBorders>
            <w:noWrap/>
            <w:hideMark/>
          </w:tcPr>
          <w:p w14:paraId="4AB3F9F5" w14:textId="77777777" w:rsidR="0058789F" w:rsidRPr="007E78B5" w:rsidRDefault="0058789F" w:rsidP="007E78B5">
            <w:pPr>
              <w:pStyle w:val="TableBodyTextrightalign"/>
              <w:rPr>
                <w:rStyle w:val="Characterbold"/>
              </w:rPr>
            </w:pPr>
            <w:r w:rsidRPr="007E78B5">
              <w:rPr>
                <w:rStyle w:val="Characterbold"/>
              </w:rPr>
              <w:t>20,122</w:t>
            </w:r>
          </w:p>
        </w:tc>
        <w:tc>
          <w:tcPr>
            <w:tcW w:w="582" w:type="pct"/>
            <w:tcBorders>
              <w:top w:val="dotted" w:sz="4" w:space="0" w:color="auto"/>
              <w:bottom w:val="single" w:sz="4" w:space="0" w:color="auto"/>
            </w:tcBorders>
            <w:shd w:val="clear" w:color="auto" w:fill="F2F2F2" w:themeFill="background1" w:themeFillShade="F2"/>
            <w:noWrap/>
          </w:tcPr>
          <w:p w14:paraId="7588FB5A" w14:textId="77777777" w:rsidR="0058789F" w:rsidRPr="007E78B5" w:rsidRDefault="0058789F" w:rsidP="007E78B5">
            <w:pPr>
              <w:pStyle w:val="TableBodyTextrightalign"/>
              <w:rPr>
                <w:rStyle w:val="Characterbold"/>
              </w:rPr>
            </w:pPr>
            <w:r w:rsidRPr="007E78B5">
              <w:rPr>
                <w:rStyle w:val="Characterbold"/>
              </w:rPr>
              <w:t>12,177</w:t>
            </w:r>
          </w:p>
        </w:tc>
        <w:tc>
          <w:tcPr>
            <w:tcW w:w="583" w:type="pct"/>
            <w:gridSpan w:val="2"/>
            <w:tcBorders>
              <w:top w:val="dotted" w:sz="4" w:space="0" w:color="auto"/>
              <w:bottom w:val="single" w:sz="4" w:space="0" w:color="auto"/>
            </w:tcBorders>
            <w:noWrap/>
            <w:hideMark/>
          </w:tcPr>
          <w:p w14:paraId="231F9340" w14:textId="77777777" w:rsidR="0058789F" w:rsidRPr="007E78B5" w:rsidRDefault="0058789F" w:rsidP="007E78B5">
            <w:pPr>
              <w:pStyle w:val="TableBodyTextrightalign"/>
              <w:rPr>
                <w:rStyle w:val="Characterbold"/>
              </w:rPr>
            </w:pPr>
            <w:r w:rsidRPr="007E78B5">
              <w:rPr>
                <w:rStyle w:val="Characterbold"/>
              </w:rPr>
              <w:t>9,279</w:t>
            </w:r>
          </w:p>
        </w:tc>
        <w:tc>
          <w:tcPr>
            <w:tcW w:w="582" w:type="pct"/>
            <w:gridSpan w:val="2"/>
            <w:tcBorders>
              <w:top w:val="dotted" w:sz="4" w:space="0" w:color="auto"/>
              <w:bottom w:val="single" w:sz="4" w:space="0" w:color="auto"/>
            </w:tcBorders>
            <w:shd w:val="clear" w:color="auto" w:fill="F2F2F2" w:themeFill="background1" w:themeFillShade="F2"/>
            <w:noWrap/>
          </w:tcPr>
          <w:p w14:paraId="0D60B2EE" w14:textId="77777777" w:rsidR="0058789F" w:rsidRPr="007E78B5" w:rsidRDefault="0058789F" w:rsidP="007E78B5">
            <w:pPr>
              <w:pStyle w:val="TableBodyTextrightalign"/>
              <w:rPr>
                <w:rStyle w:val="Characterbold"/>
              </w:rPr>
            </w:pPr>
            <w:r w:rsidRPr="007E78B5">
              <w:rPr>
                <w:rStyle w:val="Characterbold"/>
              </w:rPr>
              <w:t>7,913</w:t>
            </w:r>
          </w:p>
        </w:tc>
        <w:tc>
          <w:tcPr>
            <w:tcW w:w="585" w:type="pct"/>
            <w:tcBorders>
              <w:top w:val="dotted" w:sz="4" w:space="0" w:color="auto"/>
              <w:bottom w:val="single" w:sz="4" w:space="0" w:color="auto"/>
            </w:tcBorders>
            <w:noWrap/>
            <w:hideMark/>
          </w:tcPr>
          <w:p w14:paraId="51BCFC2C" w14:textId="77777777" w:rsidR="0058789F" w:rsidRPr="007E78B5" w:rsidRDefault="0058789F" w:rsidP="007E78B5">
            <w:pPr>
              <w:pStyle w:val="TableBodyTextrightalign"/>
              <w:rPr>
                <w:rStyle w:val="Characterbold"/>
              </w:rPr>
            </w:pPr>
            <w:r w:rsidRPr="007E78B5">
              <w:rPr>
                <w:rStyle w:val="Characterbold"/>
              </w:rPr>
              <w:t>10,843</w:t>
            </w:r>
          </w:p>
        </w:tc>
      </w:tr>
      <w:tr w:rsidR="0058789F" w:rsidRPr="00130295" w14:paraId="37E2AA3A" w14:textId="77777777" w:rsidTr="00AD1066">
        <w:trPr>
          <w:trHeight w:val="765"/>
        </w:trPr>
        <w:tc>
          <w:tcPr>
            <w:tcW w:w="3298" w:type="pct"/>
            <w:gridSpan w:val="5"/>
            <w:tcBorders>
              <w:top w:val="single" w:sz="4" w:space="0" w:color="auto"/>
            </w:tcBorders>
            <w:shd w:val="clear" w:color="auto" w:fill="auto"/>
            <w:noWrap/>
            <w:hideMark/>
          </w:tcPr>
          <w:p w14:paraId="0CFD077B" w14:textId="77777777" w:rsidR="0058789F" w:rsidRDefault="0058789F" w:rsidP="00AD1066">
            <w:pPr>
              <w:pStyle w:val="TableHeading3rightalign"/>
            </w:pPr>
            <w:r w:rsidRPr="00130295">
              <w:t> </w:t>
            </w:r>
          </w:p>
          <w:p w14:paraId="6214B374" w14:textId="77777777" w:rsidR="0058789F" w:rsidRDefault="0058789F" w:rsidP="00AD1066">
            <w:pPr>
              <w:pStyle w:val="TableHeading3rightalign"/>
            </w:pPr>
          </w:p>
          <w:p w14:paraId="4F3544B4" w14:textId="77777777" w:rsidR="0058789F" w:rsidRPr="00130295" w:rsidRDefault="0058789F" w:rsidP="00AD1066">
            <w:pPr>
              <w:pStyle w:val="TableHeading3rightalign"/>
            </w:pPr>
          </w:p>
        </w:tc>
        <w:tc>
          <w:tcPr>
            <w:tcW w:w="854" w:type="pct"/>
            <w:gridSpan w:val="2"/>
            <w:tcBorders>
              <w:top w:val="single" w:sz="4" w:space="0" w:color="auto"/>
            </w:tcBorders>
            <w:shd w:val="clear" w:color="auto" w:fill="auto"/>
            <w:hideMark/>
          </w:tcPr>
          <w:p w14:paraId="499985E1" w14:textId="77777777" w:rsidR="0058789F" w:rsidRDefault="0058789F" w:rsidP="00AD1066">
            <w:pPr>
              <w:pStyle w:val="TableHeading3rightalign"/>
            </w:pPr>
          </w:p>
          <w:p w14:paraId="21B1F66F" w14:textId="77777777" w:rsidR="0058789F" w:rsidRDefault="0058789F" w:rsidP="00AD1066">
            <w:pPr>
              <w:pStyle w:val="TableHeading3rightalign"/>
            </w:pPr>
            <w:r w:rsidRPr="00130295">
              <w:t>Buildings at fair value</w:t>
            </w:r>
          </w:p>
          <w:p w14:paraId="4347D72B" w14:textId="77777777" w:rsidR="0058789F" w:rsidRPr="00130295" w:rsidRDefault="0058789F" w:rsidP="00AD1066">
            <w:pPr>
              <w:pStyle w:val="TableHeading3rightalign"/>
            </w:pPr>
            <w:r>
              <w:t>(</w:t>
            </w:r>
            <w:r w:rsidRPr="005F11DD">
              <w:t>$’000</w:t>
            </w:r>
            <w:r>
              <w:t>)</w:t>
            </w:r>
            <w:r w:rsidRPr="00130295">
              <w:t xml:space="preserve"> </w:t>
            </w:r>
          </w:p>
        </w:tc>
        <w:tc>
          <w:tcPr>
            <w:tcW w:w="848" w:type="pct"/>
            <w:gridSpan w:val="2"/>
            <w:tcBorders>
              <w:top w:val="single" w:sz="4" w:space="0" w:color="auto"/>
            </w:tcBorders>
            <w:shd w:val="clear" w:color="auto" w:fill="auto"/>
            <w:hideMark/>
          </w:tcPr>
          <w:p w14:paraId="3616541B" w14:textId="77777777" w:rsidR="0058789F" w:rsidRDefault="0058789F" w:rsidP="00AD1066">
            <w:pPr>
              <w:pStyle w:val="TableHeading3rightalign"/>
            </w:pPr>
          </w:p>
          <w:p w14:paraId="11A54E3A" w14:textId="77777777" w:rsidR="0058789F" w:rsidRDefault="0058789F" w:rsidP="00AD1066">
            <w:pPr>
              <w:pStyle w:val="TableHeading3rightalign"/>
            </w:pPr>
            <w:r w:rsidRPr="00130295">
              <w:t>Motor vehicles at fair value</w:t>
            </w:r>
          </w:p>
          <w:p w14:paraId="0DB6C650" w14:textId="77777777" w:rsidR="0058789F" w:rsidRPr="00130295" w:rsidRDefault="0058789F" w:rsidP="00AD1066">
            <w:pPr>
              <w:pStyle w:val="TableHeading3rightalign"/>
            </w:pPr>
            <w:r>
              <w:t>(</w:t>
            </w:r>
            <w:r w:rsidRPr="005F11DD">
              <w:t>$’000</w:t>
            </w:r>
            <w:r>
              <w:t>)</w:t>
            </w:r>
          </w:p>
        </w:tc>
      </w:tr>
      <w:tr w:rsidR="0058789F" w:rsidRPr="00130295" w14:paraId="33AD702B" w14:textId="77777777" w:rsidTr="00AD1066">
        <w:trPr>
          <w:trHeight w:val="255"/>
        </w:trPr>
        <w:tc>
          <w:tcPr>
            <w:tcW w:w="5000" w:type="pct"/>
            <w:gridSpan w:val="9"/>
            <w:tcBorders>
              <w:bottom w:val="dotted" w:sz="4" w:space="0" w:color="auto"/>
            </w:tcBorders>
            <w:noWrap/>
            <w:hideMark/>
          </w:tcPr>
          <w:p w14:paraId="0DA951A2" w14:textId="77777777" w:rsidR="0058789F" w:rsidRPr="00705CA0" w:rsidRDefault="0058789F" w:rsidP="00AD1066">
            <w:pPr>
              <w:pStyle w:val="TableBodyText"/>
              <w:jc w:val="right"/>
            </w:pPr>
          </w:p>
        </w:tc>
      </w:tr>
      <w:tr w:rsidR="0058789F" w:rsidRPr="00130295" w14:paraId="181BBBF8" w14:textId="77777777" w:rsidTr="00AD1066">
        <w:trPr>
          <w:trHeight w:val="255"/>
        </w:trPr>
        <w:tc>
          <w:tcPr>
            <w:tcW w:w="3298" w:type="pct"/>
            <w:gridSpan w:val="5"/>
            <w:tcBorders>
              <w:top w:val="dotted" w:sz="4" w:space="0" w:color="auto"/>
              <w:bottom w:val="single" w:sz="4" w:space="0" w:color="auto"/>
            </w:tcBorders>
            <w:noWrap/>
          </w:tcPr>
          <w:p w14:paraId="1FB503EE" w14:textId="77777777" w:rsidR="0058789F" w:rsidRPr="00990001" w:rsidRDefault="0058789F" w:rsidP="00AD1066">
            <w:pPr>
              <w:pStyle w:val="TableBodyText"/>
              <w:rPr>
                <w:rStyle w:val="Characterbold"/>
              </w:rPr>
            </w:pPr>
            <w:r w:rsidRPr="00990001">
              <w:rPr>
                <w:rStyle w:val="Characterbold"/>
              </w:rPr>
              <w:t>Opening balance – 1 July 202</w:t>
            </w:r>
            <w:r>
              <w:rPr>
                <w:rStyle w:val="Characterbold"/>
              </w:rPr>
              <w:t>2</w:t>
            </w:r>
          </w:p>
        </w:tc>
        <w:tc>
          <w:tcPr>
            <w:tcW w:w="854" w:type="pct"/>
            <w:gridSpan w:val="2"/>
            <w:tcBorders>
              <w:top w:val="dotted" w:sz="4" w:space="0" w:color="auto"/>
              <w:bottom w:val="single" w:sz="4" w:space="0" w:color="auto"/>
            </w:tcBorders>
            <w:shd w:val="clear" w:color="auto" w:fill="F2F2F2" w:themeFill="background1" w:themeFillShade="F2"/>
            <w:noWrap/>
          </w:tcPr>
          <w:p w14:paraId="7E6480EC" w14:textId="77777777" w:rsidR="0058789F" w:rsidRPr="007E78B5" w:rsidRDefault="0058789F" w:rsidP="007E78B5">
            <w:pPr>
              <w:pStyle w:val="TableBodyTextrightalign"/>
              <w:rPr>
                <w:rStyle w:val="Characterbold"/>
              </w:rPr>
            </w:pPr>
            <w:r w:rsidRPr="007E78B5">
              <w:rPr>
                <w:rStyle w:val="Characterbold"/>
              </w:rPr>
              <w:t>9,569</w:t>
            </w:r>
          </w:p>
        </w:tc>
        <w:tc>
          <w:tcPr>
            <w:tcW w:w="848" w:type="pct"/>
            <w:gridSpan w:val="2"/>
            <w:tcBorders>
              <w:top w:val="dotted" w:sz="4" w:space="0" w:color="auto"/>
              <w:bottom w:val="single" w:sz="4" w:space="0" w:color="auto"/>
            </w:tcBorders>
            <w:noWrap/>
          </w:tcPr>
          <w:p w14:paraId="70B2D82A" w14:textId="77777777" w:rsidR="0058789F" w:rsidRPr="007E78B5" w:rsidRDefault="0058789F" w:rsidP="007E78B5">
            <w:pPr>
              <w:pStyle w:val="TableBodyTextrightalign"/>
              <w:rPr>
                <w:rStyle w:val="Characterbold"/>
              </w:rPr>
            </w:pPr>
            <w:r w:rsidRPr="007E78B5">
              <w:rPr>
                <w:rStyle w:val="Characterbold"/>
              </w:rPr>
              <w:t>1,274</w:t>
            </w:r>
          </w:p>
        </w:tc>
      </w:tr>
      <w:tr w:rsidR="0058789F" w:rsidRPr="00130295" w14:paraId="20E14B15" w14:textId="77777777" w:rsidTr="00AD1066">
        <w:trPr>
          <w:trHeight w:val="255"/>
        </w:trPr>
        <w:tc>
          <w:tcPr>
            <w:tcW w:w="3298" w:type="pct"/>
            <w:gridSpan w:val="5"/>
            <w:tcBorders>
              <w:top w:val="single" w:sz="4" w:space="0" w:color="auto"/>
            </w:tcBorders>
            <w:noWrap/>
          </w:tcPr>
          <w:p w14:paraId="7B06E48B" w14:textId="77777777" w:rsidR="0058789F" w:rsidRPr="00130295" w:rsidRDefault="0058789F" w:rsidP="00AD1066">
            <w:pPr>
              <w:pStyle w:val="TableBodyText"/>
            </w:pPr>
            <w:r w:rsidRPr="00130295">
              <w:t>Additions</w:t>
            </w:r>
          </w:p>
        </w:tc>
        <w:tc>
          <w:tcPr>
            <w:tcW w:w="854" w:type="pct"/>
            <w:gridSpan w:val="2"/>
            <w:tcBorders>
              <w:top w:val="single" w:sz="4" w:space="0" w:color="auto"/>
            </w:tcBorders>
            <w:shd w:val="clear" w:color="auto" w:fill="F2F2F2" w:themeFill="background1" w:themeFillShade="F2"/>
            <w:noWrap/>
          </w:tcPr>
          <w:p w14:paraId="527AA553" w14:textId="77777777" w:rsidR="0058789F" w:rsidRPr="00130295" w:rsidRDefault="0058789F" w:rsidP="00ED79A2">
            <w:pPr>
              <w:pStyle w:val="TableBodyTextrightalign"/>
            </w:pPr>
            <w:r w:rsidRPr="009F70BE">
              <w:t>–</w:t>
            </w:r>
          </w:p>
        </w:tc>
        <w:tc>
          <w:tcPr>
            <w:tcW w:w="848" w:type="pct"/>
            <w:gridSpan w:val="2"/>
            <w:tcBorders>
              <w:top w:val="single" w:sz="4" w:space="0" w:color="auto"/>
            </w:tcBorders>
            <w:noWrap/>
          </w:tcPr>
          <w:p w14:paraId="462552AB" w14:textId="77777777" w:rsidR="0058789F" w:rsidRPr="00130295" w:rsidRDefault="0058789F" w:rsidP="00ED79A2">
            <w:pPr>
              <w:pStyle w:val="TableBodyTextrightalign"/>
            </w:pPr>
            <w:r>
              <w:t>459</w:t>
            </w:r>
          </w:p>
        </w:tc>
      </w:tr>
      <w:tr w:rsidR="0058789F" w:rsidRPr="00130295" w14:paraId="1A04B097" w14:textId="77777777" w:rsidTr="00AD1066">
        <w:trPr>
          <w:trHeight w:val="128"/>
        </w:trPr>
        <w:tc>
          <w:tcPr>
            <w:tcW w:w="3298" w:type="pct"/>
            <w:gridSpan w:val="5"/>
            <w:noWrap/>
          </w:tcPr>
          <w:p w14:paraId="7E0A19C0" w14:textId="77777777" w:rsidR="0058789F" w:rsidRPr="00130295" w:rsidRDefault="0058789F" w:rsidP="00AD1066">
            <w:pPr>
              <w:pStyle w:val="TableBodyText"/>
            </w:pPr>
            <w:r w:rsidRPr="00130295">
              <w:t>Disposals</w:t>
            </w:r>
          </w:p>
        </w:tc>
        <w:tc>
          <w:tcPr>
            <w:tcW w:w="854" w:type="pct"/>
            <w:gridSpan w:val="2"/>
            <w:shd w:val="clear" w:color="auto" w:fill="F2F2F2" w:themeFill="background1" w:themeFillShade="F2"/>
            <w:noWrap/>
          </w:tcPr>
          <w:p w14:paraId="648AD2A2" w14:textId="77777777" w:rsidR="0058789F" w:rsidRPr="00130295" w:rsidRDefault="0058789F" w:rsidP="00ED79A2">
            <w:pPr>
              <w:pStyle w:val="TableBodyTextrightalign"/>
            </w:pPr>
            <w:r w:rsidRPr="009F70BE">
              <w:t>–</w:t>
            </w:r>
          </w:p>
        </w:tc>
        <w:tc>
          <w:tcPr>
            <w:tcW w:w="848" w:type="pct"/>
            <w:gridSpan w:val="2"/>
            <w:noWrap/>
          </w:tcPr>
          <w:p w14:paraId="3CBF82AB" w14:textId="77777777" w:rsidR="0058789F" w:rsidRPr="00130295" w:rsidRDefault="0058789F" w:rsidP="00ED79A2">
            <w:pPr>
              <w:pStyle w:val="TableBodyTextrightalign"/>
            </w:pPr>
            <w:r>
              <w:t>(148)</w:t>
            </w:r>
          </w:p>
        </w:tc>
      </w:tr>
      <w:tr w:rsidR="0058789F" w:rsidRPr="00130295" w14:paraId="220D5902" w14:textId="77777777" w:rsidTr="00AD1066">
        <w:trPr>
          <w:trHeight w:val="255"/>
        </w:trPr>
        <w:tc>
          <w:tcPr>
            <w:tcW w:w="3298" w:type="pct"/>
            <w:gridSpan w:val="5"/>
            <w:noWrap/>
          </w:tcPr>
          <w:p w14:paraId="40F75BDC" w14:textId="77777777" w:rsidR="0058789F" w:rsidRPr="00130295" w:rsidRDefault="0058789F" w:rsidP="00AD1066">
            <w:pPr>
              <w:pStyle w:val="TableBodyText"/>
            </w:pPr>
            <w:r w:rsidRPr="00130295">
              <w:t>Depreciation</w:t>
            </w:r>
          </w:p>
        </w:tc>
        <w:tc>
          <w:tcPr>
            <w:tcW w:w="854" w:type="pct"/>
            <w:gridSpan w:val="2"/>
            <w:shd w:val="clear" w:color="auto" w:fill="F2F2F2" w:themeFill="background1" w:themeFillShade="F2"/>
            <w:noWrap/>
          </w:tcPr>
          <w:p w14:paraId="6C8BD9F1" w14:textId="77777777" w:rsidR="0058789F" w:rsidRPr="00130295" w:rsidRDefault="0058789F" w:rsidP="00ED79A2">
            <w:pPr>
              <w:pStyle w:val="TableBodyTextrightalign"/>
            </w:pPr>
            <w:r>
              <w:t>(2,918)</w:t>
            </w:r>
          </w:p>
        </w:tc>
        <w:tc>
          <w:tcPr>
            <w:tcW w:w="848" w:type="pct"/>
            <w:gridSpan w:val="2"/>
            <w:noWrap/>
          </w:tcPr>
          <w:p w14:paraId="4C34D648" w14:textId="77777777" w:rsidR="0058789F" w:rsidRPr="00130295" w:rsidRDefault="0058789F" w:rsidP="00ED79A2">
            <w:pPr>
              <w:pStyle w:val="TableBodyTextrightalign"/>
            </w:pPr>
            <w:r>
              <w:t>(263)</w:t>
            </w:r>
          </w:p>
        </w:tc>
      </w:tr>
      <w:tr w:rsidR="0058789F" w:rsidRPr="00130295" w14:paraId="5BACD479" w14:textId="77777777" w:rsidTr="00AD1066">
        <w:trPr>
          <w:trHeight w:val="255"/>
        </w:trPr>
        <w:tc>
          <w:tcPr>
            <w:tcW w:w="3298" w:type="pct"/>
            <w:gridSpan w:val="5"/>
            <w:tcBorders>
              <w:bottom w:val="dotted" w:sz="4" w:space="0" w:color="auto"/>
            </w:tcBorders>
            <w:noWrap/>
          </w:tcPr>
          <w:p w14:paraId="751C54D3" w14:textId="77777777" w:rsidR="0058789F" w:rsidRPr="00130295" w:rsidRDefault="0058789F" w:rsidP="00AD1066">
            <w:pPr>
              <w:pStyle w:val="TableBodyText"/>
            </w:pPr>
            <w:r w:rsidRPr="00130295">
              <w:t>Transfers to asset held for sale</w:t>
            </w:r>
          </w:p>
        </w:tc>
        <w:tc>
          <w:tcPr>
            <w:tcW w:w="854" w:type="pct"/>
            <w:gridSpan w:val="2"/>
            <w:tcBorders>
              <w:bottom w:val="dotted" w:sz="4" w:space="0" w:color="auto"/>
            </w:tcBorders>
            <w:shd w:val="clear" w:color="auto" w:fill="F2F2F2" w:themeFill="background1" w:themeFillShade="F2"/>
            <w:noWrap/>
          </w:tcPr>
          <w:p w14:paraId="5AEF1E35" w14:textId="77777777" w:rsidR="0058789F" w:rsidRPr="00130295" w:rsidRDefault="0058789F" w:rsidP="00ED79A2">
            <w:pPr>
              <w:pStyle w:val="TableBodyTextrightalign"/>
            </w:pPr>
            <w:r w:rsidRPr="0045554A">
              <w:t>–</w:t>
            </w:r>
          </w:p>
        </w:tc>
        <w:tc>
          <w:tcPr>
            <w:tcW w:w="848" w:type="pct"/>
            <w:gridSpan w:val="2"/>
            <w:tcBorders>
              <w:bottom w:val="dotted" w:sz="4" w:space="0" w:color="auto"/>
            </w:tcBorders>
            <w:noWrap/>
          </w:tcPr>
          <w:p w14:paraId="2266C553" w14:textId="77777777" w:rsidR="0058789F" w:rsidRPr="00130295" w:rsidRDefault="0058789F" w:rsidP="00ED79A2">
            <w:pPr>
              <w:pStyle w:val="TableBodyTextrightalign"/>
            </w:pPr>
            <w:r>
              <w:t>(60)</w:t>
            </w:r>
          </w:p>
        </w:tc>
      </w:tr>
      <w:tr w:rsidR="0058789F" w:rsidRPr="00130295" w14:paraId="72A618F6" w14:textId="77777777" w:rsidTr="00AD1066">
        <w:trPr>
          <w:trHeight w:val="270"/>
        </w:trPr>
        <w:tc>
          <w:tcPr>
            <w:tcW w:w="3298" w:type="pct"/>
            <w:gridSpan w:val="5"/>
            <w:tcBorders>
              <w:top w:val="dotted" w:sz="4" w:space="0" w:color="auto"/>
              <w:bottom w:val="single" w:sz="4" w:space="0" w:color="auto"/>
            </w:tcBorders>
            <w:noWrap/>
          </w:tcPr>
          <w:p w14:paraId="105FFF33" w14:textId="77777777" w:rsidR="0058789F" w:rsidRPr="00266393" w:rsidRDefault="0058789F" w:rsidP="00AD1066">
            <w:pPr>
              <w:pStyle w:val="TableBodyText"/>
              <w:rPr>
                <w:rStyle w:val="Characterbold"/>
              </w:rPr>
            </w:pPr>
            <w:r w:rsidRPr="00266393">
              <w:rPr>
                <w:rStyle w:val="Characterbold"/>
              </w:rPr>
              <w:t>Closing balance – 30 June 202</w:t>
            </w:r>
            <w:r>
              <w:rPr>
                <w:rStyle w:val="Characterbold"/>
              </w:rPr>
              <w:t>3</w:t>
            </w:r>
          </w:p>
        </w:tc>
        <w:tc>
          <w:tcPr>
            <w:tcW w:w="854" w:type="pct"/>
            <w:gridSpan w:val="2"/>
            <w:tcBorders>
              <w:top w:val="dotted" w:sz="4" w:space="0" w:color="auto"/>
              <w:bottom w:val="single" w:sz="4" w:space="0" w:color="auto"/>
            </w:tcBorders>
            <w:shd w:val="clear" w:color="auto" w:fill="F2F2F2" w:themeFill="background1" w:themeFillShade="F2"/>
            <w:noWrap/>
          </w:tcPr>
          <w:p w14:paraId="4DCE07D1" w14:textId="77777777" w:rsidR="0058789F" w:rsidRPr="007E78B5" w:rsidRDefault="0058789F" w:rsidP="007E78B5">
            <w:pPr>
              <w:pStyle w:val="TableBodyTextrightalign"/>
              <w:rPr>
                <w:rStyle w:val="Characterbold"/>
              </w:rPr>
            </w:pPr>
            <w:r w:rsidRPr="007E78B5">
              <w:rPr>
                <w:rStyle w:val="Characterbold"/>
              </w:rPr>
              <w:t>6,651</w:t>
            </w:r>
          </w:p>
        </w:tc>
        <w:tc>
          <w:tcPr>
            <w:tcW w:w="848" w:type="pct"/>
            <w:gridSpan w:val="2"/>
            <w:tcBorders>
              <w:top w:val="dotted" w:sz="4" w:space="0" w:color="auto"/>
              <w:bottom w:val="single" w:sz="4" w:space="0" w:color="auto"/>
            </w:tcBorders>
            <w:noWrap/>
          </w:tcPr>
          <w:p w14:paraId="740EB0EB" w14:textId="77777777" w:rsidR="0058789F" w:rsidRPr="007E78B5" w:rsidRDefault="0058789F" w:rsidP="007E78B5">
            <w:pPr>
              <w:pStyle w:val="TableBodyTextrightalign"/>
              <w:rPr>
                <w:rStyle w:val="Characterbold"/>
              </w:rPr>
            </w:pPr>
            <w:r w:rsidRPr="007E78B5">
              <w:rPr>
                <w:rStyle w:val="Characterbold"/>
              </w:rPr>
              <w:t>1,262</w:t>
            </w:r>
          </w:p>
        </w:tc>
      </w:tr>
      <w:tr w:rsidR="0058789F" w:rsidRPr="00130295" w14:paraId="79891FCB" w14:textId="77777777" w:rsidTr="00AD1066">
        <w:trPr>
          <w:trHeight w:val="255"/>
        </w:trPr>
        <w:tc>
          <w:tcPr>
            <w:tcW w:w="3298" w:type="pct"/>
            <w:gridSpan w:val="5"/>
            <w:tcBorders>
              <w:top w:val="single" w:sz="4" w:space="0" w:color="auto"/>
              <w:bottom w:val="nil"/>
            </w:tcBorders>
            <w:noWrap/>
          </w:tcPr>
          <w:p w14:paraId="69187D4A" w14:textId="77777777" w:rsidR="0058789F" w:rsidRPr="00266393" w:rsidRDefault="0058789F" w:rsidP="00AD1066">
            <w:pPr>
              <w:pStyle w:val="TableBodyText"/>
              <w:rPr>
                <w:rStyle w:val="Characterbold"/>
              </w:rPr>
            </w:pPr>
          </w:p>
        </w:tc>
        <w:tc>
          <w:tcPr>
            <w:tcW w:w="854" w:type="pct"/>
            <w:gridSpan w:val="2"/>
            <w:tcBorders>
              <w:top w:val="single" w:sz="4" w:space="0" w:color="auto"/>
              <w:bottom w:val="nil"/>
            </w:tcBorders>
            <w:shd w:val="clear" w:color="auto" w:fill="F2F2F2" w:themeFill="background1" w:themeFillShade="F2"/>
            <w:noWrap/>
          </w:tcPr>
          <w:p w14:paraId="6B8B7DAF" w14:textId="77777777" w:rsidR="0058789F" w:rsidRPr="00990001" w:rsidRDefault="0058789F" w:rsidP="00AD1066">
            <w:pPr>
              <w:pStyle w:val="TableBodyText"/>
              <w:jc w:val="right"/>
              <w:rPr>
                <w:rStyle w:val="Characterbold"/>
              </w:rPr>
            </w:pPr>
          </w:p>
        </w:tc>
        <w:tc>
          <w:tcPr>
            <w:tcW w:w="848" w:type="pct"/>
            <w:gridSpan w:val="2"/>
            <w:tcBorders>
              <w:top w:val="single" w:sz="4" w:space="0" w:color="auto"/>
              <w:bottom w:val="nil"/>
            </w:tcBorders>
            <w:noWrap/>
          </w:tcPr>
          <w:p w14:paraId="6161A1CD" w14:textId="77777777" w:rsidR="0058789F" w:rsidRPr="00990001" w:rsidRDefault="0058789F" w:rsidP="00AD1066">
            <w:pPr>
              <w:pStyle w:val="TableBodyText"/>
              <w:jc w:val="right"/>
              <w:rPr>
                <w:rStyle w:val="Characterbold"/>
              </w:rPr>
            </w:pPr>
          </w:p>
        </w:tc>
      </w:tr>
      <w:tr w:rsidR="0058789F" w:rsidRPr="00130295" w14:paraId="1F28E7F9" w14:textId="77777777" w:rsidTr="00AD1066">
        <w:trPr>
          <w:trHeight w:val="255"/>
        </w:trPr>
        <w:tc>
          <w:tcPr>
            <w:tcW w:w="3298" w:type="pct"/>
            <w:gridSpan w:val="5"/>
            <w:tcBorders>
              <w:top w:val="nil"/>
              <w:bottom w:val="single" w:sz="4" w:space="0" w:color="auto"/>
            </w:tcBorders>
            <w:noWrap/>
            <w:hideMark/>
          </w:tcPr>
          <w:p w14:paraId="1C95A549" w14:textId="77777777" w:rsidR="0058789F" w:rsidRPr="00266393" w:rsidRDefault="0058789F" w:rsidP="00AD1066">
            <w:pPr>
              <w:pStyle w:val="TableBodyText"/>
              <w:rPr>
                <w:rStyle w:val="Characterbold"/>
              </w:rPr>
            </w:pPr>
            <w:r w:rsidRPr="00990001">
              <w:rPr>
                <w:rStyle w:val="Characterbold"/>
              </w:rPr>
              <w:t>Opening balance – 1 July 202</w:t>
            </w:r>
            <w:r>
              <w:rPr>
                <w:rStyle w:val="Characterbold"/>
              </w:rPr>
              <w:t>1</w:t>
            </w:r>
          </w:p>
        </w:tc>
        <w:tc>
          <w:tcPr>
            <w:tcW w:w="854" w:type="pct"/>
            <w:gridSpan w:val="2"/>
            <w:tcBorders>
              <w:top w:val="nil"/>
              <w:bottom w:val="single" w:sz="4" w:space="0" w:color="auto"/>
            </w:tcBorders>
            <w:shd w:val="clear" w:color="auto" w:fill="F2F2F2" w:themeFill="background1" w:themeFillShade="F2"/>
            <w:noWrap/>
            <w:hideMark/>
          </w:tcPr>
          <w:p w14:paraId="33F2A2C8" w14:textId="77777777" w:rsidR="0058789F" w:rsidRPr="007E78B5" w:rsidRDefault="0058789F" w:rsidP="007E78B5">
            <w:pPr>
              <w:pStyle w:val="TableBodyTextrightalign"/>
              <w:rPr>
                <w:rStyle w:val="Characterbold"/>
              </w:rPr>
            </w:pPr>
            <w:r w:rsidRPr="007E78B5">
              <w:rPr>
                <w:rStyle w:val="Characterbold"/>
              </w:rPr>
              <w:t>11,345</w:t>
            </w:r>
          </w:p>
        </w:tc>
        <w:tc>
          <w:tcPr>
            <w:tcW w:w="848" w:type="pct"/>
            <w:gridSpan w:val="2"/>
            <w:tcBorders>
              <w:top w:val="nil"/>
              <w:bottom w:val="single" w:sz="4" w:space="0" w:color="auto"/>
            </w:tcBorders>
            <w:noWrap/>
            <w:hideMark/>
          </w:tcPr>
          <w:p w14:paraId="7E5BB482" w14:textId="77777777" w:rsidR="0058789F" w:rsidRPr="007E78B5" w:rsidRDefault="0058789F" w:rsidP="007E78B5">
            <w:pPr>
              <w:pStyle w:val="TableBodyTextrightalign"/>
              <w:rPr>
                <w:rStyle w:val="Characterbold"/>
              </w:rPr>
            </w:pPr>
            <w:r w:rsidRPr="007E78B5">
              <w:rPr>
                <w:rStyle w:val="Characterbold"/>
              </w:rPr>
              <w:t>1,124</w:t>
            </w:r>
          </w:p>
        </w:tc>
      </w:tr>
      <w:tr w:rsidR="0058789F" w:rsidRPr="00130295" w14:paraId="6E4431D8" w14:textId="77777777" w:rsidTr="00AD1066">
        <w:trPr>
          <w:trHeight w:val="255"/>
        </w:trPr>
        <w:tc>
          <w:tcPr>
            <w:tcW w:w="3298" w:type="pct"/>
            <w:gridSpan w:val="5"/>
            <w:tcBorders>
              <w:top w:val="single" w:sz="4" w:space="0" w:color="auto"/>
            </w:tcBorders>
            <w:noWrap/>
            <w:hideMark/>
          </w:tcPr>
          <w:p w14:paraId="7F5801F6" w14:textId="77777777" w:rsidR="0058789F" w:rsidRPr="00130295" w:rsidRDefault="0058789F" w:rsidP="00AD1066">
            <w:pPr>
              <w:pStyle w:val="TableBodyText"/>
            </w:pPr>
            <w:r w:rsidRPr="00130295">
              <w:t>Additions</w:t>
            </w:r>
          </w:p>
        </w:tc>
        <w:tc>
          <w:tcPr>
            <w:tcW w:w="854" w:type="pct"/>
            <w:gridSpan w:val="2"/>
            <w:tcBorders>
              <w:top w:val="single" w:sz="4" w:space="0" w:color="auto"/>
            </w:tcBorders>
            <w:shd w:val="clear" w:color="auto" w:fill="F2F2F2" w:themeFill="background1" w:themeFillShade="F2"/>
            <w:noWrap/>
            <w:hideMark/>
          </w:tcPr>
          <w:p w14:paraId="6E5037A5" w14:textId="77777777" w:rsidR="0058789F" w:rsidRPr="00130295" w:rsidRDefault="0058789F" w:rsidP="00ED79A2">
            <w:pPr>
              <w:pStyle w:val="TableBodyTextrightalign"/>
            </w:pPr>
            <w:r w:rsidRPr="00355DC0">
              <w:t>–</w:t>
            </w:r>
          </w:p>
        </w:tc>
        <w:tc>
          <w:tcPr>
            <w:tcW w:w="848" w:type="pct"/>
            <w:gridSpan w:val="2"/>
            <w:tcBorders>
              <w:top w:val="single" w:sz="4" w:space="0" w:color="auto"/>
            </w:tcBorders>
            <w:noWrap/>
            <w:hideMark/>
          </w:tcPr>
          <w:p w14:paraId="1673A9C2" w14:textId="77777777" w:rsidR="0058789F" w:rsidRPr="00130295" w:rsidRDefault="0058789F" w:rsidP="00ED79A2">
            <w:pPr>
              <w:pStyle w:val="TableBodyTextrightalign"/>
            </w:pPr>
            <w:r>
              <w:t>616</w:t>
            </w:r>
          </w:p>
        </w:tc>
      </w:tr>
      <w:tr w:rsidR="0058789F" w:rsidRPr="00130295" w14:paraId="0A1DC5A2" w14:textId="77777777" w:rsidTr="00AD1066">
        <w:trPr>
          <w:trHeight w:val="255"/>
        </w:trPr>
        <w:tc>
          <w:tcPr>
            <w:tcW w:w="3298" w:type="pct"/>
            <w:gridSpan w:val="5"/>
            <w:noWrap/>
            <w:hideMark/>
          </w:tcPr>
          <w:p w14:paraId="4939186A" w14:textId="77777777" w:rsidR="0058789F" w:rsidRPr="00130295" w:rsidRDefault="0058789F" w:rsidP="00AD1066">
            <w:pPr>
              <w:pStyle w:val="TableBodyText"/>
            </w:pPr>
            <w:r w:rsidRPr="00130295">
              <w:t>Disposals</w:t>
            </w:r>
          </w:p>
        </w:tc>
        <w:tc>
          <w:tcPr>
            <w:tcW w:w="854" w:type="pct"/>
            <w:gridSpan w:val="2"/>
            <w:shd w:val="clear" w:color="auto" w:fill="F2F2F2" w:themeFill="background1" w:themeFillShade="F2"/>
            <w:noWrap/>
            <w:hideMark/>
          </w:tcPr>
          <w:p w14:paraId="2E6A788B" w14:textId="77777777" w:rsidR="0058789F" w:rsidRPr="00130295" w:rsidRDefault="0058789F" w:rsidP="00ED79A2">
            <w:pPr>
              <w:pStyle w:val="TableBodyTextrightalign"/>
            </w:pPr>
            <w:r w:rsidRPr="00355DC0">
              <w:t>–</w:t>
            </w:r>
          </w:p>
        </w:tc>
        <w:tc>
          <w:tcPr>
            <w:tcW w:w="848" w:type="pct"/>
            <w:gridSpan w:val="2"/>
            <w:noWrap/>
            <w:hideMark/>
          </w:tcPr>
          <w:p w14:paraId="459F44C3" w14:textId="77777777" w:rsidR="0058789F" w:rsidRPr="00130295" w:rsidRDefault="0058789F" w:rsidP="00ED79A2">
            <w:pPr>
              <w:pStyle w:val="TableBodyTextrightalign"/>
            </w:pPr>
            <w:r>
              <w:t>(169)</w:t>
            </w:r>
          </w:p>
        </w:tc>
      </w:tr>
      <w:tr w:rsidR="0058789F" w:rsidRPr="00130295" w14:paraId="7D87BD95" w14:textId="77777777" w:rsidTr="00AD1066">
        <w:trPr>
          <w:trHeight w:val="255"/>
        </w:trPr>
        <w:tc>
          <w:tcPr>
            <w:tcW w:w="3298" w:type="pct"/>
            <w:gridSpan w:val="5"/>
            <w:noWrap/>
          </w:tcPr>
          <w:p w14:paraId="333394B2" w14:textId="77777777" w:rsidR="0058789F" w:rsidRPr="00130295" w:rsidRDefault="0058789F" w:rsidP="00AD1066">
            <w:pPr>
              <w:pStyle w:val="TableBodyText"/>
            </w:pPr>
            <w:r w:rsidRPr="00130295">
              <w:t>Adjustment/</w:t>
            </w:r>
            <w:r>
              <w:t>r</w:t>
            </w:r>
            <w:r w:rsidRPr="00130295">
              <w:t>eclassification</w:t>
            </w:r>
          </w:p>
        </w:tc>
        <w:tc>
          <w:tcPr>
            <w:tcW w:w="854" w:type="pct"/>
            <w:gridSpan w:val="2"/>
            <w:shd w:val="clear" w:color="auto" w:fill="F2F2F2" w:themeFill="background1" w:themeFillShade="F2"/>
            <w:noWrap/>
          </w:tcPr>
          <w:p w14:paraId="5CDC3705" w14:textId="77777777" w:rsidR="0058789F" w:rsidRPr="00130295" w:rsidRDefault="0058789F" w:rsidP="00ED79A2">
            <w:pPr>
              <w:pStyle w:val="TableBodyTextrightalign"/>
            </w:pPr>
            <w:r>
              <w:t>1,641</w:t>
            </w:r>
          </w:p>
        </w:tc>
        <w:tc>
          <w:tcPr>
            <w:tcW w:w="848" w:type="pct"/>
            <w:gridSpan w:val="2"/>
            <w:noWrap/>
          </w:tcPr>
          <w:p w14:paraId="0737AA2A" w14:textId="77777777" w:rsidR="0058789F" w:rsidRPr="00130295" w:rsidRDefault="0058789F" w:rsidP="00ED79A2">
            <w:pPr>
              <w:pStyle w:val="TableBodyTextrightalign"/>
            </w:pPr>
            <w:r w:rsidRPr="00355DC0">
              <w:t>–</w:t>
            </w:r>
          </w:p>
        </w:tc>
      </w:tr>
      <w:tr w:rsidR="0058789F" w:rsidRPr="00130295" w14:paraId="39D0F6D6" w14:textId="77777777" w:rsidTr="00AD1066">
        <w:trPr>
          <w:trHeight w:val="255"/>
        </w:trPr>
        <w:tc>
          <w:tcPr>
            <w:tcW w:w="3298" w:type="pct"/>
            <w:gridSpan w:val="5"/>
            <w:noWrap/>
            <w:hideMark/>
          </w:tcPr>
          <w:p w14:paraId="5B810366" w14:textId="77777777" w:rsidR="0058789F" w:rsidRPr="00130295" w:rsidRDefault="0058789F" w:rsidP="00AD1066">
            <w:pPr>
              <w:pStyle w:val="TableBodyText"/>
            </w:pPr>
            <w:r w:rsidRPr="00130295">
              <w:t>Depreciation</w:t>
            </w:r>
          </w:p>
        </w:tc>
        <w:tc>
          <w:tcPr>
            <w:tcW w:w="854" w:type="pct"/>
            <w:gridSpan w:val="2"/>
            <w:shd w:val="clear" w:color="auto" w:fill="F2F2F2" w:themeFill="background1" w:themeFillShade="F2"/>
            <w:noWrap/>
            <w:hideMark/>
          </w:tcPr>
          <w:p w14:paraId="7F6C4D12" w14:textId="77777777" w:rsidR="0058789F" w:rsidRPr="00130295" w:rsidRDefault="0058789F" w:rsidP="00ED79A2">
            <w:pPr>
              <w:pStyle w:val="TableBodyTextrightalign"/>
            </w:pPr>
            <w:r>
              <w:t>(3,418)</w:t>
            </w:r>
          </w:p>
        </w:tc>
        <w:tc>
          <w:tcPr>
            <w:tcW w:w="848" w:type="pct"/>
            <w:gridSpan w:val="2"/>
            <w:noWrap/>
            <w:hideMark/>
          </w:tcPr>
          <w:p w14:paraId="78D5B6C1" w14:textId="77777777" w:rsidR="0058789F" w:rsidRPr="00130295" w:rsidRDefault="0058789F" w:rsidP="00ED79A2">
            <w:pPr>
              <w:pStyle w:val="TableBodyTextrightalign"/>
            </w:pPr>
            <w:r>
              <w:t>(280)</w:t>
            </w:r>
          </w:p>
        </w:tc>
      </w:tr>
      <w:tr w:rsidR="0058789F" w:rsidRPr="00130295" w14:paraId="41B5E617" w14:textId="77777777" w:rsidTr="00AD1066">
        <w:trPr>
          <w:trHeight w:val="255"/>
        </w:trPr>
        <w:tc>
          <w:tcPr>
            <w:tcW w:w="3298" w:type="pct"/>
            <w:gridSpan w:val="5"/>
            <w:noWrap/>
            <w:hideMark/>
          </w:tcPr>
          <w:p w14:paraId="209A38CD" w14:textId="77777777" w:rsidR="0058789F" w:rsidRPr="00130295" w:rsidRDefault="0058789F" w:rsidP="00AD1066">
            <w:pPr>
              <w:pStyle w:val="TableBodyText"/>
            </w:pPr>
            <w:r w:rsidRPr="00130295">
              <w:t>Transfers to asset held for sale</w:t>
            </w:r>
          </w:p>
        </w:tc>
        <w:tc>
          <w:tcPr>
            <w:tcW w:w="854" w:type="pct"/>
            <w:gridSpan w:val="2"/>
            <w:shd w:val="clear" w:color="auto" w:fill="F2F2F2" w:themeFill="background1" w:themeFillShade="F2"/>
            <w:noWrap/>
            <w:hideMark/>
          </w:tcPr>
          <w:p w14:paraId="5781C7C5" w14:textId="77777777" w:rsidR="0058789F" w:rsidRPr="00130295" w:rsidRDefault="0058789F" w:rsidP="00ED79A2">
            <w:pPr>
              <w:pStyle w:val="TableBodyTextrightalign"/>
            </w:pPr>
            <w:r w:rsidRPr="00355DC0">
              <w:t>–</w:t>
            </w:r>
          </w:p>
        </w:tc>
        <w:tc>
          <w:tcPr>
            <w:tcW w:w="848" w:type="pct"/>
            <w:gridSpan w:val="2"/>
            <w:noWrap/>
            <w:hideMark/>
          </w:tcPr>
          <w:p w14:paraId="28D9AC5B" w14:textId="77777777" w:rsidR="0058789F" w:rsidRPr="00130295" w:rsidRDefault="0058789F" w:rsidP="00ED79A2">
            <w:pPr>
              <w:pStyle w:val="TableBodyTextrightalign"/>
            </w:pPr>
            <w:r>
              <w:t>(17)</w:t>
            </w:r>
          </w:p>
        </w:tc>
      </w:tr>
      <w:tr w:rsidR="0058789F" w:rsidRPr="00130295" w14:paraId="1D1BA299"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3298" w:type="pct"/>
            <w:gridSpan w:val="5"/>
            <w:noWrap/>
            <w:hideMark/>
          </w:tcPr>
          <w:p w14:paraId="7A48E1AF" w14:textId="77777777" w:rsidR="0058789F" w:rsidRPr="009A74C9" w:rsidRDefault="0058789F" w:rsidP="009A74C9">
            <w:pPr>
              <w:pStyle w:val="TableBodyText"/>
            </w:pPr>
            <w:r w:rsidRPr="009A74C9">
              <w:t>Closing balance – 30 June 2022</w:t>
            </w:r>
          </w:p>
        </w:tc>
        <w:tc>
          <w:tcPr>
            <w:tcW w:w="854" w:type="pct"/>
            <w:gridSpan w:val="2"/>
            <w:shd w:val="clear" w:color="auto" w:fill="F2F2F2" w:themeFill="background1" w:themeFillShade="F2"/>
            <w:noWrap/>
            <w:hideMark/>
          </w:tcPr>
          <w:p w14:paraId="5906F4E7" w14:textId="77777777" w:rsidR="0058789F" w:rsidRPr="007E78B5" w:rsidRDefault="0058789F" w:rsidP="007E78B5">
            <w:pPr>
              <w:pStyle w:val="TableBodyTextrightalign"/>
              <w:rPr>
                <w:rStyle w:val="Characterbold"/>
              </w:rPr>
            </w:pPr>
            <w:r w:rsidRPr="007E78B5">
              <w:rPr>
                <w:rStyle w:val="Characterbold"/>
              </w:rPr>
              <w:t>9,569</w:t>
            </w:r>
          </w:p>
        </w:tc>
        <w:tc>
          <w:tcPr>
            <w:tcW w:w="848" w:type="pct"/>
            <w:gridSpan w:val="2"/>
            <w:noWrap/>
            <w:hideMark/>
          </w:tcPr>
          <w:p w14:paraId="7AEE2558" w14:textId="77777777" w:rsidR="0058789F" w:rsidRPr="007E78B5" w:rsidRDefault="0058789F" w:rsidP="007E78B5">
            <w:pPr>
              <w:pStyle w:val="TableBodyTextrightalign"/>
              <w:rPr>
                <w:rStyle w:val="Characterbold"/>
              </w:rPr>
            </w:pPr>
            <w:r w:rsidRPr="007E78B5">
              <w:rPr>
                <w:rStyle w:val="Characterbold"/>
              </w:rPr>
              <w:t>1,274</w:t>
            </w:r>
          </w:p>
        </w:tc>
      </w:tr>
    </w:tbl>
    <w:p w14:paraId="61973015" w14:textId="77777777" w:rsidR="0058789F" w:rsidRPr="00B22A19" w:rsidRDefault="0058789F" w:rsidP="0058789F">
      <w:pPr>
        <w:pStyle w:val="Heading5"/>
      </w:pPr>
      <w:r w:rsidRPr="00B22A19">
        <w:t>Initial recognition</w:t>
      </w:r>
    </w:p>
    <w:p w14:paraId="001C8919" w14:textId="77777777" w:rsidR="0058789F" w:rsidRPr="00B22A19" w:rsidRDefault="0058789F" w:rsidP="0058789F">
      <w:pPr>
        <w:pStyle w:val="BodyText"/>
      </w:pPr>
      <w:r w:rsidRPr="00B22A19">
        <w:t>Items of property, plant and equipment are measured initially at cost and subsequently revalued at fair value less accumulated depreciation and impairment. Where an asset is acquired for no or nominal cost, the cost is its fair value at the date of acquisition.</w:t>
      </w:r>
    </w:p>
    <w:p w14:paraId="61C43409" w14:textId="77777777" w:rsidR="0058789F" w:rsidRPr="007E78B5" w:rsidRDefault="0058789F" w:rsidP="0058789F">
      <w:pPr>
        <w:pStyle w:val="BodyText"/>
      </w:pPr>
      <w:r w:rsidRPr="00B22A19">
        <w:t xml:space="preserve">The cost of constructed non-financial physical assets includes the cost of all materials used in construction, direct labour on the project, and an appropriate proportion of variable and fixed </w:t>
      </w:r>
      <w:r w:rsidRPr="0054087C">
        <w:t>overheads.</w:t>
      </w:r>
    </w:p>
    <w:p w14:paraId="3F0D20B4" w14:textId="77777777" w:rsidR="0058789F" w:rsidRPr="00C73EC0" w:rsidRDefault="0058789F" w:rsidP="0058789F">
      <w:pPr>
        <w:pStyle w:val="Heading6"/>
      </w:pPr>
      <w:r w:rsidRPr="00C73EC0">
        <w:t xml:space="preserve">Right-of-use asset acquired </w:t>
      </w:r>
      <w:r>
        <w:t>as</w:t>
      </w:r>
      <w:r w:rsidRPr="00C73EC0">
        <w:t xml:space="preserve"> lessee</w:t>
      </w:r>
      <w:r>
        <w:t xml:space="preserve"> </w:t>
      </w:r>
      <w:r w:rsidRPr="00C73EC0">
        <w:t xml:space="preserve"> </w:t>
      </w:r>
    </w:p>
    <w:p w14:paraId="75AC5CAC" w14:textId="77777777" w:rsidR="0058789F" w:rsidRPr="00B22A19" w:rsidRDefault="0058789F" w:rsidP="0058789F">
      <w:pPr>
        <w:pStyle w:val="BodyText"/>
      </w:pPr>
      <w:r w:rsidRPr="00B22A19">
        <w:t>IBAC recognises a right-of-use asset and a lease liability at the lease commencement date. The right-of-use asset is initially measured at cost</w:t>
      </w:r>
      <w:r>
        <w:t>,</w:t>
      </w:r>
      <w:r w:rsidRPr="00B22A19">
        <w:t xml:space="preserve"> which comprises the initial amount of the lease liability adjusted for:</w:t>
      </w:r>
    </w:p>
    <w:p w14:paraId="706C3708" w14:textId="77777777" w:rsidR="0058789F" w:rsidRPr="00B22A19" w:rsidRDefault="0058789F" w:rsidP="0058789F">
      <w:pPr>
        <w:pStyle w:val="ListBullet"/>
        <w:ind w:left="357" w:hanging="357"/>
      </w:pPr>
      <w:r w:rsidRPr="00B22A19">
        <w:t>any lease payments made at or before the commencement date less any lease incentive received</w:t>
      </w:r>
      <w:r>
        <w:t>,</w:t>
      </w:r>
      <w:r w:rsidRPr="00B22A19">
        <w:t xml:space="preserve"> plus</w:t>
      </w:r>
    </w:p>
    <w:p w14:paraId="02881430" w14:textId="77777777" w:rsidR="0058789F" w:rsidRPr="00B22A19" w:rsidRDefault="0058789F" w:rsidP="0058789F">
      <w:pPr>
        <w:pStyle w:val="ListBullet"/>
        <w:ind w:left="357" w:hanging="357"/>
      </w:pPr>
      <w:r w:rsidRPr="00B22A19">
        <w:t>any initial direct costs incurred.</w:t>
      </w:r>
    </w:p>
    <w:p w14:paraId="397B26AB" w14:textId="77777777" w:rsidR="0058789F" w:rsidRPr="00B22A19" w:rsidRDefault="0058789F" w:rsidP="0058789F">
      <w:pPr>
        <w:pStyle w:val="Heading5"/>
      </w:pPr>
      <w:r w:rsidRPr="00B22A19">
        <w:t>Subsequent measurement</w:t>
      </w:r>
    </w:p>
    <w:p w14:paraId="44872E90" w14:textId="77777777" w:rsidR="0058789F" w:rsidRPr="00B22A19" w:rsidRDefault="0058789F" w:rsidP="0058789F">
      <w:pPr>
        <w:pStyle w:val="BodyText"/>
      </w:pPr>
      <w:r w:rsidRPr="00B22A19">
        <w:t>Property, plant and equipment</w:t>
      </w:r>
      <w:r>
        <w:t>,</w:t>
      </w:r>
      <w:r w:rsidRPr="00B22A19">
        <w:t xml:space="preserve"> as well as right-of-use assets under leases</w:t>
      </w:r>
      <w:r>
        <w:t>,</w:t>
      </w:r>
      <w:r w:rsidRPr="00B22A19">
        <w:t xml:space="preserve"> are subsequently measured at fair value less accumulated depreciation and impairment. Fair value is determined with regard to the asset</w:t>
      </w:r>
      <w:r>
        <w:t>’</w:t>
      </w:r>
      <w:r w:rsidRPr="00B22A19">
        <w:t>s highest and best use (considering legal or physical restrictions imposed on the asset, public announcements or commitments made in relation to the intended use of the asset)</w:t>
      </w:r>
      <w:r>
        <w:t xml:space="preserve"> and</w:t>
      </w:r>
      <w:r w:rsidRPr="00B22A19">
        <w:t xml:space="preserve"> is summarised in the following paragraphs by asset category. </w:t>
      </w:r>
      <w:r w:rsidRPr="00F2461A">
        <w:t xml:space="preserve">Additional information is disclosed in Note </w:t>
      </w:r>
      <w:r>
        <w:t>7.3</w:t>
      </w:r>
      <w:r w:rsidRPr="00F2461A">
        <w:fldChar w:fldCharType="begin"/>
      </w:r>
      <w:r w:rsidRPr="00F2461A">
        <w:instrText xml:space="preserve"> REF _Ref82071009 \r \h </w:instrText>
      </w:r>
      <w:r>
        <w:rPr>
          <w:highlight w:val="yellow"/>
        </w:rPr>
        <w:instrText xml:space="preserve"> \* MERGEFORMAT </w:instrText>
      </w:r>
      <w:r w:rsidR="00F31239">
        <w:fldChar w:fldCharType="separate"/>
      </w:r>
      <w:r w:rsidRPr="00F2461A">
        <w:fldChar w:fldCharType="end"/>
      </w:r>
      <w:r w:rsidRPr="00F2461A">
        <w:t xml:space="preserve"> in connection with how those fair values were determined.</w:t>
      </w:r>
    </w:p>
    <w:p w14:paraId="11121CE3" w14:textId="77777777" w:rsidR="0058789F" w:rsidRPr="00C73EC0" w:rsidRDefault="0058789F" w:rsidP="0058789F">
      <w:pPr>
        <w:pStyle w:val="Heading6"/>
      </w:pPr>
      <w:r w:rsidRPr="00C73EC0">
        <w:t xml:space="preserve">Right-of-use asset </w:t>
      </w:r>
      <w:r>
        <w:t>as lessee</w:t>
      </w:r>
    </w:p>
    <w:p w14:paraId="7EEAEA62" w14:textId="77777777" w:rsidR="0058789F" w:rsidRPr="00B22A19" w:rsidRDefault="0058789F" w:rsidP="0058789F">
      <w:pPr>
        <w:pStyle w:val="BodyText"/>
      </w:pPr>
      <w:r w:rsidRPr="00B22A19">
        <w:t xml:space="preserve">IBAC depreciates the right-of-use assets on a straight-line basis from the lease commencement date to the earlier of the end of the useful life of </w:t>
      </w:r>
      <w:r>
        <w:t>right</w:t>
      </w:r>
      <w:r w:rsidRPr="00B22A19">
        <w:t xml:space="preserve">-of-use asset or the end of the lease term. </w:t>
      </w:r>
      <w:r>
        <w:t>R</w:t>
      </w:r>
      <w:r w:rsidRPr="00B22A19">
        <w:t>ight-of-use assets are also subject to revaluation.</w:t>
      </w:r>
    </w:p>
    <w:p w14:paraId="152E9B1B" w14:textId="77777777" w:rsidR="0058789F" w:rsidRPr="00B22A19" w:rsidRDefault="0058789F" w:rsidP="0058789F">
      <w:pPr>
        <w:pStyle w:val="BodyText"/>
      </w:pPr>
      <w:r w:rsidRPr="00B22A19">
        <w:t xml:space="preserve">In addition, </w:t>
      </w:r>
      <w:r>
        <w:t>right</w:t>
      </w:r>
      <w:r w:rsidRPr="00B22A19">
        <w:t>-of-use asset</w:t>
      </w:r>
      <w:r>
        <w:t>s</w:t>
      </w:r>
      <w:r w:rsidRPr="00B22A19">
        <w:t xml:space="preserve"> is periodically reduced by impairment losses, if any</w:t>
      </w:r>
      <w:r>
        <w:t>,</w:t>
      </w:r>
      <w:r w:rsidRPr="00B22A19">
        <w:t xml:space="preserve"> and adjusted for certain remeasurements of the lease liability.</w:t>
      </w:r>
    </w:p>
    <w:p w14:paraId="380104B2" w14:textId="77777777" w:rsidR="0058789F" w:rsidRPr="00C73EC0" w:rsidRDefault="0058789F" w:rsidP="0058789F">
      <w:pPr>
        <w:pStyle w:val="Heading6"/>
      </w:pPr>
      <w:r w:rsidRPr="00C73EC0">
        <w:t>Leasehold improvements</w:t>
      </w:r>
    </w:p>
    <w:p w14:paraId="1A1DE8BF" w14:textId="77777777" w:rsidR="0058789F" w:rsidRPr="00B22A19" w:rsidRDefault="0058789F" w:rsidP="0058789F">
      <w:pPr>
        <w:pStyle w:val="BodyText"/>
      </w:pPr>
      <w:r w:rsidRPr="00B22A19">
        <w:t xml:space="preserve">Leasehold improvements are valued using the </w:t>
      </w:r>
      <w:r>
        <w:t xml:space="preserve">current replacement cost </w:t>
      </w:r>
      <w:r w:rsidRPr="00B22A19">
        <w:t>method, which is a reasonable approximation of fair value as the asset is depreciated over the term of the lease, reflecting the consumption of economic resources over the period of the agreement.</w:t>
      </w:r>
    </w:p>
    <w:p w14:paraId="0876B730" w14:textId="77777777" w:rsidR="0058789F" w:rsidRPr="00C73EC0" w:rsidRDefault="0058789F" w:rsidP="0058789F">
      <w:pPr>
        <w:pStyle w:val="Heading6"/>
      </w:pPr>
      <w:r w:rsidRPr="00C73EC0">
        <w:t>Computer, communication equipment, and plant and equipment</w:t>
      </w:r>
    </w:p>
    <w:p w14:paraId="4D5E7112" w14:textId="77777777" w:rsidR="0058789F" w:rsidRPr="00B22A19" w:rsidRDefault="0058789F" w:rsidP="0058789F">
      <w:pPr>
        <w:pStyle w:val="BodyText"/>
      </w:pPr>
      <w:r w:rsidRPr="00B22A19">
        <w:t>Computer, communication equipment, and plant and equipment are held at fair value. As these assets are specialised in use</w:t>
      </w:r>
      <w:r>
        <w:t xml:space="preserve"> and</w:t>
      </w:r>
      <w:r w:rsidRPr="00B22A19">
        <w:t xml:space="preserve"> rarely sold other than as part of a going concern, fair value is determined using the </w:t>
      </w:r>
      <w:r>
        <w:t>current</w:t>
      </w:r>
      <w:r w:rsidRPr="00B22A19">
        <w:t xml:space="preserve"> replacement cost method.</w:t>
      </w:r>
    </w:p>
    <w:p w14:paraId="3B24A811" w14:textId="77777777" w:rsidR="0058789F" w:rsidRPr="00C73EC0" w:rsidRDefault="0058789F" w:rsidP="0058789F">
      <w:pPr>
        <w:pStyle w:val="Heading6"/>
      </w:pPr>
      <w:r w:rsidRPr="00C73EC0">
        <w:t>Motor vehicles</w:t>
      </w:r>
    </w:p>
    <w:p w14:paraId="08505691" w14:textId="77777777" w:rsidR="0058789F" w:rsidRPr="00B22A19" w:rsidRDefault="0058789F" w:rsidP="0058789F">
      <w:pPr>
        <w:pStyle w:val="BodyText"/>
      </w:pPr>
      <w:r w:rsidRPr="00B22A19">
        <w:t xml:space="preserve">Motor vehicles are valued using the </w:t>
      </w:r>
      <w:r>
        <w:t>current</w:t>
      </w:r>
      <w:r w:rsidRPr="00B22A19">
        <w:t xml:space="preserve"> replacement cost method. IBAC acquires new vehicles and at times disposes of them before the end of their economic life. The process of acquisition, use and disposal in the market is managed by experienced fleet managers who set the relevant depreciation rates to reflect </w:t>
      </w:r>
      <w:r>
        <w:t>vehicle use</w:t>
      </w:r>
      <w:r w:rsidRPr="00B22A19">
        <w:t>.</w:t>
      </w:r>
    </w:p>
    <w:p w14:paraId="0D15A99B" w14:textId="77777777" w:rsidR="0058789F" w:rsidRPr="00B22A19" w:rsidRDefault="0058789F" w:rsidP="0058789F">
      <w:pPr>
        <w:pStyle w:val="Heading5"/>
      </w:pPr>
      <w:r w:rsidRPr="00B22A19">
        <w:t>Impairment</w:t>
      </w:r>
    </w:p>
    <w:p w14:paraId="13186A3D" w14:textId="77777777" w:rsidR="0058789F" w:rsidRPr="00B22A19" w:rsidRDefault="0058789F" w:rsidP="0058789F">
      <w:pPr>
        <w:pStyle w:val="BodyText"/>
      </w:pPr>
      <w:r w:rsidRPr="00B22A19">
        <w:t>Non-financial physical assets, including items of property, plant and equipment</w:t>
      </w:r>
      <w:r>
        <w:t>,</w:t>
      </w:r>
      <w:r w:rsidRPr="00B22A19">
        <w:t xml:space="preserve"> are tested for impairment whenever there is an indication that the asset may be impaired.</w:t>
      </w:r>
    </w:p>
    <w:p w14:paraId="2AB07237" w14:textId="77777777" w:rsidR="0058789F" w:rsidRPr="00B22A19" w:rsidRDefault="0058789F" w:rsidP="0058789F">
      <w:pPr>
        <w:pStyle w:val="BodyText"/>
      </w:pPr>
      <w:r w:rsidRPr="00B22A19">
        <w:t xml:space="preserve">The assets concerned are tested as to whether their carrying value exceeds their recoverable amount. Where an asset’s carrying value exceeds its recoverable amount, the difference is written off as </w:t>
      </w:r>
      <w:r>
        <w:t xml:space="preserve">an </w:t>
      </w:r>
      <w:r w:rsidRPr="00B22A19">
        <w:t>other economic flow, except to the extent that the write</w:t>
      </w:r>
      <w:r>
        <w:t>-</w:t>
      </w:r>
      <w:r w:rsidRPr="00B22A19">
        <w:t>down can be debited to an asset revaluation surplus amount applicable to that class of asset.</w:t>
      </w:r>
    </w:p>
    <w:p w14:paraId="4E1A6978" w14:textId="77777777" w:rsidR="0058789F" w:rsidRDefault="0058789F" w:rsidP="0058789F">
      <w:pPr>
        <w:pStyle w:val="BodyText"/>
      </w:pPr>
      <w:r w:rsidRPr="00B22A19">
        <w:t xml:space="preserve">The recoverable amount of primarily non-cash-generating assets of not-for-profit entities, which are typically specialised in nature and held for </w:t>
      </w:r>
      <w:r>
        <w:t xml:space="preserve">the </w:t>
      </w:r>
      <w:r w:rsidRPr="00B22A19">
        <w:t>continu</w:t>
      </w:r>
      <w:r>
        <w:t>ed</w:t>
      </w:r>
      <w:r w:rsidRPr="00B22A19">
        <w:t xml:space="preserve"> use of their service capacity, is expected to be materially the same as fair value determined under </w:t>
      </w:r>
      <w:r w:rsidRPr="00E95B19">
        <w:t>AASB 13</w:t>
      </w:r>
      <w:r w:rsidRPr="00B22A19">
        <w:t xml:space="preserve"> </w:t>
      </w:r>
      <w:r w:rsidRPr="009A74C9">
        <w:rPr>
          <w:rStyle w:val="Characteritalic"/>
        </w:rPr>
        <w:t>Fair Value Measurement</w:t>
      </w:r>
      <w:r w:rsidRPr="00551357">
        <w:t>,</w:t>
      </w:r>
      <w:r w:rsidRPr="00B22A19">
        <w:t xml:space="preserve"> with the consequence that AASB 136 does not apply to such assets that are regularly revalued.</w:t>
      </w:r>
    </w:p>
    <w:p w14:paraId="664CF0FD" w14:textId="77777777" w:rsidR="0058789F" w:rsidRPr="008C0F19" w:rsidRDefault="0058789F" w:rsidP="006F399C">
      <w:pPr>
        <w:pStyle w:val="NotesHeading3"/>
      </w:pPr>
      <w:r>
        <w:t xml:space="preserve">  </w:t>
      </w:r>
      <w:r w:rsidRPr="008C0F19">
        <w:t>Depreciation and amortisation</w:t>
      </w:r>
    </w:p>
    <w:p w14:paraId="30C6164B" w14:textId="77777777" w:rsidR="0058789F" w:rsidRDefault="0058789F" w:rsidP="0058789F">
      <w:pPr>
        <w:pStyle w:val="Caption"/>
      </w:pPr>
      <w:r>
        <w:t>Charge</w:t>
      </w:r>
      <w:r w:rsidRPr="009946D3">
        <w:t xml:space="preserve"> for the period</w:t>
      </w:r>
    </w:p>
    <w:tbl>
      <w:tblPr>
        <w:tblStyle w:val="CustomTabledetailed"/>
        <w:tblW w:w="5000" w:type="pct"/>
        <w:tblLook w:val="0660" w:firstRow="1" w:lastRow="1" w:firstColumn="0" w:lastColumn="0" w:noHBand="1" w:noVBand="1"/>
      </w:tblPr>
      <w:tblGrid>
        <w:gridCol w:w="4713"/>
        <w:gridCol w:w="2157"/>
        <w:gridCol w:w="2157"/>
      </w:tblGrid>
      <w:tr w:rsidR="0058789F" w:rsidRPr="00A10FF0" w14:paraId="7A984716"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0" w:type="pct"/>
            <w:noWrap/>
            <w:hideMark/>
          </w:tcPr>
          <w:p w14:paraId="3A5202CE" w14:textId="77777777" w:rsidR="0058789F" w:rsidRPr="00A10FF0" w:rsidRDefault="0058789F" w:rsidP="00AD1066">
            <w:pPr>
              <w:pStyle w:val="TableHeading1"/>
            </w:pPr>
            <w:r w:rsidRPr="00A10FF0">
              <w:t> </w:t>
            </w:r>
          </w:p>
        </w:tc>
        <w:tc>
          <w:tcPr>
            <w:tcW w:w="0" w:type="pct"/>
            <w:noWrap/>
            <w:hideMark/>
          </w:tcPr>
          <w:p w14:paraId="77425E37" w14:textId="77777777" w:rsidR="0058789F" w:rsidRDefault="0058789F" w:rsidP="00254C0B">
            <w:pPr>
              <w:pStyle w:val="TableHeading3rightalign"/>
            </w:pPr>
            <w:r w:rsidRPr="00A10FF0">
              <w:t>202</w:t>
            </w:r>
            <w:r>
              <w:t>3</w:t>
            </w:r>
          </w:p>
          <w:p w14:paraId="48256BD3" w14:textId="77777777" w:rsidR="0058789F" w:rsidRPr="00A10FF0" w:rsidRDefault="0058789F" w:rsidP="00254C0B">
            <w:pPr>
              <w:pStyle w:val="TableHeading3rightalign"/>
            </w:pPr>
            <w:r>
              <w:t>(</w:t>
            </w:r>
            <w:r w:rsidRPr="005F11DD">
              <w:t>$’000</w:t>
            </w:r>
            <w:r>
              <w:t>)</w:t>
            </w:r>
          </w:p>
        </w:tc>
        <w:tc>
          <w:tcPr>
            <w:tcW w:w="0" w:type="pct"/>
            <w:noWrap/>
            <w:hideMark/>
          </w:tcPr>
          <w:p w14:paraId="5EA663A1" w14:textId="77777777" w:rsidR="0058789F" w:rsidRDefault="0058789F" w:rsidP="00254C0B">
            <w:pPr>
              <w:pStyle w:val="TableHeading3rightalign"/>
            </w:pPr>
            <w:r w:rsidRPr="00A10FF0">
              <w:t>202</w:t>
            </w:r>
            <w:r>
              <w:t>2</w:t>
            </w:r>
          </w:p>
          <w:p w14:paraId="3048F97F" w14:textId="77777777" w:rsidR="0058789F" w:rsidRPr="00A10FF0" w:rsidRDefault="0058789F" w:rsidP="00254C0B">
            <w:pPr>
              <w:pStyle w:val="TableHeading3rightalign"/>
            </w:pPr>
            <w:r>
              <w:t>(</w:t>
            </w:r>
            <w:r w:rsidRPr="005F11DD">
              <w:t>$’000</w:t>
            </w:r>
            <w:r>
              <w:t>)</w:t>
            </w:r>
          </w:p>
        </w:tc>
      </w:tr>
      <w:tr w:rsidR="0058789F" w:rsidRPr="00A10FF0" w14:paraId="03DDB87F" w14:textId="77777777" w:rsidTr="00AD1066">
        <w:trPr>
          <w:trHeight w:val="255"/>
        </w:trPr>
        <w:tc>
          <w:tcPr>
            <w:tcW w:w="0" w:type="pct"/>
            <w:gridSpan w:val="3"/>
            <w:noWrap/>
            <w:hideMark/>
          </w:tcPr>
          <w:p w14:paraId="3EEC21E9" w14:textId="77777777" w:rsidR="0058789F" w:rsidRPr="00A10FF0" w:rsidRDefault="0058789F" w:rsidP="00AD1066">
            <w:pPr>
              <w:pStyle w:val="TableBodyText"/>
              <w:jc w:val="right"/>
            </w:pPr>
          </w:p>
        </w:tc>
      </w:tr>
      <w:tr w:rsidR="0058789F" w:rsidRPr="00A10FF0" w14:paraId="73561485" w14:textId="77777777" w:rsidTr="00AD1066">
        <w:trPr>
          <w:trHeight w:val="255"/>
        </w:trPr>
        <w:tc>
          <w:tcPr>
            <w:tcW w:w="0" w:type="pct"/>
            <w:noWrap/>
            <w:hideMark/>
          </w:tcPr>
          <w:p w14:paraId="6BFB933C" w14:textId="77777777" w:rsidR="0058789F" w:rsidRPr="00FD2AA2" w:rsidRDefault="0058789F" w:rsidP="00AD1066">
            <w:pPr>
              <w:pStyle w:val="TableBodyText"/>
            </w:pPr>
            <w:r w:rsidRPr="00FD2AA2">
              <w:t xml:space="preserve">Buildings – </w:t>
            </w:r>
            <w:r>
              <w:t>right of use</w:t>
            </w:r>
          </w:p>
        </w:tc>
        <w:tc>
          <w:tcPr>
            <w:tcW w:w="0" w:type="pct"/>
            <w:shd w:val="clear" w:color="auto" w:fill="F2F2F2" w:themeFill="background1" w:themeFillShade="F2"/>
            <w:noWrap/>
          </w:tcPr>
          <w:p w14:paraId="2D4C605B" w14:textId="77777777" w:rsidR="0058789F" w:rsidRPr="00FD2AA2" w:rsidRDefault="0058789F" w:rsidP="00AD1066">
            <w:pPr>
              <w:pStyle w:val="TableBodyTextrightalign"/>
            </w:pPr>
            <w:r>
              <w:t>2,918</w:t>
            </w:r>
          </w:p>
        </w:tc>
        <w:tc>
          <w:tcPr>
            <w:tcW w:w="0" w:type="pct"/>
            <w:noWrap/>
            <w:hideMark/>
          </w:tcPr>
          <w:p w14:paraId="66194AC3" w14:textId="77777777" w:rsidR="0058789F" w:rsidRPr="00FD2AA2" w:rsidRDefault="0058789F" w:rsidP="00AD1066">
            <w:pPr>
              <w:pStyle w:val="TableBodyTextrightalign"/>
            </w:pPr>
            <w:r>
              <w:t>3,417</w:t>
            </w:r>
          </w:p>
        </w:tc>
      </w:tr>
      <w:tr w:rsidR="0058789F" w:rsidRPr="00A10FF0" w14:paraId="0AFF0878" w14:textId="77777777" w:rsidTr="00AD1066">
        <w:trPr>
          <w:trHeight w:val="255"/>
        </w:trPr>
        <w:tc>
          <w:tcPr>
            <w:tcW w:w="0" w:type="pct"/>
            <w:noWrap/>
            <w:hideMark/>
          </w:tcPr>
          <w:p w14:paraId="485E31EB" w14:textId="77777777" w:rsidR="0058789F" w:rsidRPr="00FD2AA2" w:rsidRDefault="0058789F" w:rsidP="00AD1066">
            <w:pPr>
              <w:pStyle w:val="TableBodyText"/>
            </w:pPr>
            <w:r w:rsidRPr="00FD2AA2">
              <w:t>Leasehold improvements</w:t>
            </w:r>
          </w:p>
        </w:tc>
        <w:tc>
          <w:tcPr>
            <w:tcW w:w="0" w:type="pct"/>
            <w:shd w:val="clear" w:color="auto" w:fill="F2F2F2" w:themeFill="background1" w:themeFillShade="F2"/>
            <w:noWrap/>
          </w:tcPr>
          <w:p w14:paraId="60ADEB19" w14:textId="77777777" w:rsidR="0058789F" w:rsidRPr="00FD2AA2" w:rsidRDefault="0058789F" w:rsidP="00AD1066">
            <w:pPr>
              <w:pStyle w:val="TableBodyTextrightalign"/>
            </w:pPr>
            <w:r>
              <w:t>368</w:t>
            </w:r>
          </w:p>
        </w:tc>
        <w:tc>
          <w:tcPr>
            <w:tcW w:w="0" w:type="pct"/>
            <w:noWrap/>
            <w:hideMark/>
          </w:tcPr>
          <w:p w14:paraId="0B20F90C" w14:textId="77777777" w:rsidR="0058789F" w:rsidRPr="00FD2AA2" w:rsidRDefault="0058789F" w:rsidP="00AD1066">
            <w:pPr>
              <w:pStyle w:val="TableBodyTextrightalign"/>
            </w:pPr>
            <w:r>
              <w:t>285</w:t>
            </w:r>
          </w:p>
        </w:tc>
      </w:tr>
      <w:tr w:rsidR="0058789F" w:rsidRPr="00A10FF0" w14:paraId="0D5B95F6" w14:textId="77777777" w:rsidTr="00AD1066">
        <w:trPr>
          <w:trHeight w:val="255"/>
        </w:trPr>
        <w:tc>
          <w:tcPr>
            <w:tcW w:w="0" w:type="pct"/>
            <w:noWrap/>
            <w:hideMark/>
          </w:tcPr>
          <w:p w14:paraId="74F4A587" w14:textId="77777777" w:rsidR="0058789F" w:rsidRPr="00FD2AA2" w:rsidRDefault="0058789F" w:rsidP="00AD1066">
            <w:pPr>
              <w:pStyle w:val="TableBodyText"/>
            </w:pPr>
            <w:r w:rsidRPr="00FD2AA2">
              <w:t>Computer and communication equipment</w:t>
            </w:r>
          </w:p>
        </w:tc>
        <w:tc>
          <w:tcPr>
            <w:tcW w:w="0" w:type="pct"/>
            <w:shd w:val="clear" w:color="auto" w:fill="F2F2F2" w:themeFill="background1" w:themeFillShade="F2"/>
            <w:noWrap/>
          </w:tcPr>
          <w:p w14:paraId="687F2640" w14:textId="77777777" w:rsidR="0058789F" w:rsidRPr="00FD2AA2" w:rsidRDefault="0058789F" w:rsidP="00AD1066">
            <w:pPr>
              <w:pStyle w:val="TableBodyTextrightalign"/>
            </w:pPr>
            <w:r>
              <w:t>696</w:t>
            </w:r>
          </w:p>
        </w:tc>
        <w:tc>
          <w:tcPr>
            <w:tcW w:w="0" w:type="pct"/>
            <w:noWrap/>
            <w:hideMark/>
          </w:tcPr>
          <w:p w14:paraId="70EB48FA" w14:textId="77777777" w:rsidR="0058789F" w:rsidRPr="00FD2AA2" w:rsidRDefault="0058789F" w:rsidP="00AD1066">
            <w:pPr>
              <w:pStyle w:val="TableBodyTextrightalign"/>
            </w:pPr>
            <w:r>
              <w:t>661</w:t>
            </w:r>
          </w:p>
        </w:tc>
      </w:tr>
      <w:tr w:rsidR="0058789F" w:rsidRPr="00A10FF0" w14:paraId="3D6F615B" w14:textId="77777777" w:rsidTr="00AD1066">
        <w:trPr>
          <w:trHeight w:val="255"/>
        </w:trPr>
        <w:tc>
          <w:tcPr>
            <w:tcW w:w="0" w:type="pct"/>
            <w:noWrap/>
            <w:hideMark/>
          </w:tcPr>
          <w:p w14:paraId="0D94AAA7" w14:textId="77777777" w:rsidR="0058789F" w:rsidRPr="00FD2AA2" w:rsidRDefault="0058789F" w:rsidP="00AD1066">
            <w:pPr>
              <w:pStyle w:val="TableBodyText"/>
            </w:pPr>
            <w:r w:rsidRPr="00FD2AA2">
              <w:t>Plant and equipment</w:t>
            </w:r>
          </w:p>
        </w:tc>
        <w:tc>
          <w:tcPr>
            <w:tcW w:w="0" w:type="pct"/>
            <w:shd w:val="clear" w:color="auto" w:fill="F2F2F2" w:themeFill="background1" w:themeFillShade="F2"/>
            <w:noWrap/>
          </w:tcPr>
          <w:p w14:paraId="1B63898F" w14:textId="77777777" w:rsidR="0058789F" w:rsidRPr="00FD2AA2" w:rsidRDefault="0058789F" w:rsidP="00AD1066">
            <w:pPr>
              <w:pStyle w:val="TableBodyTextrightalign"/>
            </w:pPr>
            <w:r>
              <w:t>120</w:t>
            </w:r>
          </w:p>
        </w:tc>
        <w:tc>
          <w:tcPr>
            <w:tcW w:w="0" w:type="pct"/>
            <w:noWrap/>
            <w:hideMark/>
          </w:tcPr>
          <w:p w14:paraId="54A0F1F7" w14:textId="77777777" w:rsidR="0058789F" w:rsidRPr="00FD2AA2" w:rsidRDefault="0058789F" w:rsidP="00AD1066">
            <w:pPr>
              <w:pStyle w:val="TableBodyTextrightalign"/>
            </w:pPr>
            <w:r>
              <w:t>188</w:t>
            </w:r>
          </w:p>
        </w:tc>
      </w:tr>
      <w:tr w:rsidR="0058789F" w:rsidRPr="00A10FF0" w14:paraId="38295340" w14:textId="77777777" w:rsidTr="00AD1066">
        <w:trPr>
          <w:trHeight w:val="255"/>
        </w:trPr>
        <w:tc>
          <w:tcPr>
            <w:tcW w:w="0" w:type="pct"/>
            <w:noWrap/>
            <w:hideMark/>
          </w:tcPr>
          <w:p w14:paraId="74F6A49D" w14:textId="77777777" w:rsidR="0058789F" w:rsidRPr="00FD2AA2" w:rsidRDefault="0058789F" w:rsidP="00AD1066">
            <w:pPr>
              <w:pStyle w:val="TableBodyText"/>
            </w:pPr>
            <w:r w:rsidRPr="00FD2AA2">
              <w:t>Motor vehicles</w:t>
            </w:r>
          </w:p>
        </w:tc>
        <w:tc>
          <w:tcPr>
            <w:tcW w:w="0" w:type="pct"/>
            <w:shd w:val="clear" w:color="auto" w:fill="F2F2F2" w:themeFill="background1" w:themeFillShade="F2"/>
            <w:noWrap/>
          </w:tcPr>
          <w:p w14:paraId="351622F5" w14:textId="77777777" w:rsidR="0058789F" w:rsidRPr="00FD2AA2" w:rsidRDefault="0058789F" w:rsidP="00AD1066">
            <w:pPr>
              <w:pStyle w:val="TableBodyTextrightalign"/>
            </w:pPr>
            <w:r>
              <w:t>263</w:t>
            </w:r>
          </w:p>
        </w:tc>
        <w:tc>
          <w:tcPr>
            <w:tcW w:w="0" w:type="pct"/>
            <w:noWrap/>
            <w:hideMark/>
          </w:tcPr>
          <w:p w14:paraId="2D47D7AA" w14:textId="77777777" w:rsidR="0058789F" w:rsidRPr="00FD2AA2" w:rsidRDefault="0058789F" w:rsidP="00AD1066">
            <w:pPr>
              <w:pStyle w:val="TableBodyTextrightalign"/>
            </w:pPr>
            <w:r>
              <w:t>266</w:t>
            </w:r>
          </w:p>
        </w:tc>
      </w:tr>
      <w:tr w:rsidR="0058789F" w:rsidRPr="00A10FF0" w14:paraId="29F416ED" w14:textId="77777777" w:rsidTr="00AD1066">
        <w:trPr>
          <w:trHeight w:val="255"/>
        </w:trPr>
        <w:tc>
          <w:tcPr>
            <w:tcW w:w="0" w:type="pct"/>
            <w:tcBorders>
              <w:bottom w:val="dotted" w:sz="4" w:space="0" w:color="auto"/>
            </w:tcBorders>
            <w:noWrap/>
            <w:hideMark/>
          </w:tcPr>
          <w:p w14:paraId="246B8476" w14:textId="77777777" w:rsidR="0058789F" w:rsidRPr="00FD2AA2" w:rsidRDefault="0058789F" w:rsidP="00AD1066">
            <w:pPr>
              <w:pStyle w:val="TableBodyText"/>
            </w:pPr>
            <w:r w:rsidRPr="00FD2AA2">
              <w:t>Intangible assets</w:t>
            </w:r>
          </w:p>
        </w:tc>
        <w:tc>
          <w:tcPr>
            <w:tcW w:w="0" w:type="pct"/>
            <w:tcBorders>
              <w:bottom w:val="dotted" w:sz="4" w:space="0" w:color="auto"/>
            </w:tcBorders>
            <w:shd w:val="clear" w:color="auto" w:fill="F2F2F2" w:themeFill="background1" w:themeFillShade="F2"/>
            <w:noWrap/>
          </w:tcPr>
          <w:p w14:paraId="4BC55DE9" w14:textId="77777777" w:rsidR="0058789F" w:rsidRPr="00FD2AA2" w:rsidRDefault="0058789F" w:rsidP="00AD1066">
            <w:pPr>
              <w:pStyle w:val="TableBodyTextrightalign"/>
            </w:pPr>
            <w:r>
              <w:t>721</w:t>
            </w:r>
          </w:p>
        </w:tc>
        <w:tc>
          <w:tcPr>
            <w:tcW w:w="0" w:type="pct"/>
            <w:tcBorders>
              <w:bottom w:val="dotted" w:sz="4" w:space="0" w:color="auto"/>
            </w:tcBorders>
            <w:noWrap/>
            <w:hideMark/>
          </w:tcPr>
          <w:p w14:paraId="6DB09294" w14:textId="77777777" w:rsidR="0058789F" w:rsidRPr="00FD2AA2" w:rsidRDefault="0058789F" w:rsidP="00AD1066">
            <w:pPr>
              <w:pStyle w:val="TableBodyTextrightalign"/>
            </w:pPr>
            <w:r>
              <w:t>474</w:t>
            </w:r>
          </w:p>
        </w:tc>
      </w:tr>
      <w:tr w:rsidR="0058789F" w:rsidRPr="00A10FF0" w14:paraId="79C066D8"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0" w:type="pct"/>
            <w:tcBorders>
              <w:top w:val="dotted" w:sz="4" w:space="0" w:color="auto"/>
            </w:tcBorders>
            <w:noWrap/>
            <w:hideMark/>
          </w:tcPr>
          <w:p w14:paraId="14204FF3" w14:textId="77777777" w:rsidR="0058789F" w:rsidRPr="00FD2AA2" w:rsidRDefault="0058789F" w:rsidP="00AD1066">
            <w:pPr>
              <w:pStyle w:val="TableBodyText"/>
            </w:pPr>
            <w:r w:rsidRPr="00FD2AA2">
              <w:t>Total depreciation and amortisation</w:t>
            </w:r>
          </w:p>
        </w:tc>
        <w:tc>
          <w:tcPr>
            <w:tcW w:w="0" w:type="pct"/>
            <w:tcBorders>
              <w:top w:val="dotted" w:sz="4" w:space="0" w:color="auto"/>
            </w:tcBorders>
            <w:shd w:val="clear" w:color="auto" w:fill="F2F2F2" w:themeFill="background1" w:themeFillShade="F2"/>
            <w:noWrap/>
          </w:tcPr>
          <w:p w14:paraId="36A7EC8D" w14:textId="77777777" w:rsidR="0058789F" w:rsidRPr="00FD2AA2" w:rsidRDefault="0058789F" w:rsidP="00AD1066">
            <w:pPr>
              <w:pStyle w:val="TableBodyTextrightalign"/>
            </w:pPr>
            <w:r>
              <w:t>5,087</w:t>
            </w:r>
          </w:p>
        </w:tc>
        <w:tc>
          <w:tcPr>
            <w:tcW w:w="0" w:type="pct"/>
            <w:tcBorders>
              <w:top w:val="dotted" w:sz="4" w:space="0" w:color="auto"/>
            </w:tcBorders>
            <w:noWrap/>
            <w:hideMark/>
          </w:tcPr>
          <w:p w14:paraId="632ABDCE" w14:textId="77777777" w:rsidR="0058789F" w:rsidRPr="00FD2AA2" w:rsidRDefault="0058789F" w:rsidP="00AD1066">
            <w:pPr>
              <w:pStyle w:val="TableBodyTextrightalign"/>
            </w:pPr>
            <w:r>
              <w:t>5,286</w:t>
            </w:r>
          </w:p>
        </w:tc>
      </w:tr>
    </w:tbl>
    <w:p w14:paraId="700B813C" w14:textId="77777777" w:rsidR="0058789F" w:rsidRDefault="0058789F" w:rsidP="0058789F">
      <w:pPr>
        <w:pStyle w:val="BodyText"/>
      </w:pPr>
      <w:r>
        <w:t>All property, plant and equipment, and other non-financial physical assets that have finite useful lives are depreciated.</w:t>
      </w:r>
    </w:p>
    <w:p w14:paraId="0469C9D8" w14:textId="77777777" w:rsidR="0058789F" w:rsidRPr="00E17C94" w:rsidRDefault="0058789F" w:rsidP="0058789F">
      <w:pPr>
        <w:pStyle w:val="BodyText"/>
      </w:pPr>
      <w:r>
        <w:t>Depreciation is generally calculated on a straight-line basis, at rates that allocate the asset’s value, less any estimated residual value, over its estimated useful life. The following are typical estimated useful lives for the different asset classes for current and prior years.</w:t>
      </w:r>
    </w:p>
    <w:p w14:paraId="69711E6F" w14:textId="77777777" w:rsidR="0058789F" w:rsidRDefault="0058789F" w:rsidP="0058789F">
      <w:pPr>
        <w:pStyle w:val="Caption"/>
      </w:pPr>
      <w:r w:rsidRPr="00C019DC">
        <w:t>Useful life of assets</w:t>
      </w:r>
    </w:p>
    <w:tbl>
      <w:tblPr>
        <w:tblStyle w:val="CustomTablestandard"/>
        <w:tblW w:w="0" w:type="auto"/>
        <w:tblLook w:val="04A0" w:firstRow="1" w:lastRow="0" w:firstColumn="1" w:lastColumn="0" w:noHBand="0" w:noVBand="1"/>
      </w:tblPr>
      <w:tblGrid>
        <w:gridCol w:w="4678"/>
        <w:gridCol w:w="2126"/>
      </w:tblGrid>
      <w:tr w:rsidR="0058789F" w14:paraId="4A95129A" w14:textId="77777777" w:rsidTr="00AD1066">
        <w:trPr>
          <w:cnfStyle w:val="100000000000" w:firstRow="1" w:lastRow="0" w:firstColumn="0" w:lastColumn="0" w:oddVBand="0" w:evenVBand="0" w:oddHBand="0" w:evenHBand="0" w:firstRowFirstColumn="0" w:firstRowLastColumn="0" w:lastRowFirstColumn="0" w:lastRowLastColumn="0"/>
        </w:trPr>
        <w:tc>
          <w:tcPr>
            <w:tcW w:w="4678" w:type="dxa"/>
          </w:tcPr>
          <w:p w14:paraId="33A986A8" w14:textId="77777777" w:rsidR="0058789F" w:rsidRDefault="0058789F" w:rsidP="00AD1066">
            <w:pPr>
              <w:pStyle w:val="TableHeading1"/>
            </w:pPr>
            <w:r w:rsidRPr="00DA7A0F">
              <w:t xml:space="preserve">Asset </w:t>
            </w:r>
          </w:p>
        </w:tc>
        <w:tc>
          <w:tcPr>
            <w:tcW w:w="2126" w:type="dxa"/>
          </w:tcPr>
          <w:p w14:paraId="099F97F4" w14:textId="77777777" w:rsidR="0058789F" w:rsidRDefault="0058789F" w:rsidP="00AD1066">
            <w:pPr>
              <w:pStyle w:val="TableHeading1"/>
            </w:pPr>
            <w:r w:rsidRPr="00DA7A0F">
              <w:t>Useful life</w:t>
            </w:r>
          </w:p>
        </w:tc>
      </w:tr>
      <w:tr w:rsidR="0058789F" w14:paraId="3257F553" w14:textId="77777777" w:rsidTr="000312B0">
        <w:tc>
          <w:tcPr>
            <w:tcW w:w="4678" w:type="dxa"/>
            <w:tcBorders>
              <w:bottom w:val="nil"/>
            </w:tcBorders>
          </w:tcPr>
          <w:p w14:paraId="53F7892B" w14:textId="77777777" w:rsidR="0058789F" w:rsidRDefault="0058789F" w:rsidP="00AD1066">
            <w:pPr>
              <w:pStyle w:val="TableBodyText"/>
            </w:pPr>
            <w:r w:rsidRPr="00DF26ED">
              <w:t>Buildings – right of use</w:t>
            </w:r>
          </w:p>
        </w:tc>
        <w:tc>
          <w:tcPr>
            <w:tcW w:w="2126" w:type="dxa"/>
            <w:tcBorders>
              <w:bottom w:val="nil"/>
            </w:tcBorders>
          </w:tcPr>
          <w:p w14:paraId="5A560DB0" w14:textId="77777777" w:rsidR="0058789F" w:rsidRDefault="0058789F" w:rsidP="00AD1066">
            <w:pPr>
              <w:pStyle w:val="TableBodyText"/>
            </w:pPr>
            <w:r w:rsidRPr="00DF26ED">
              <w:t>3–13 years</w:t>
            </w:r>
          </w:p>
        </w:tc>
      </w:tr>
      <w:tr w:rsidR="0058789F" w14:paraId="253207D1" w14:textId="77777777" w:rsidTr="000312B0">
        <w:tc>
          <w:tcPr>
            <w:tcW w:w="4678" w:type="dxa"/>
            <w:tcBorders>
              <w:top w:val="nil"/>
              <w:bottom w:val="nil"/>
            </w:tcBorders>
          </w:tcPr>
          <w:p w14:paraId="736B4991" w14:textId="77777777" w:rsidR="0058789F" w:rsidRPr="00D65C79" w:rsidRDefault="0058789F" w:rsidP="00AD1066">
            <w:pPr>
              <w:pStyle w:val="TableBodyText"/>
            </w:pPr>
            <w:r w:rsidRPr="00D65C79">
              <w:t>Leasehold improvements</w:t>
            </w:r>
          </w:p>
          <w:p w14:paraId="75F22666" w14:textId="77777777" w:rsidR="0058789F" w:rsidRDefault="0058789F" w:rsidP="00AD1066">
            <w:pPr>
              <w:pStyle w:val="TableBodyText"/>
            </w:pPr>
            <w:r w:rsidRPr="00D65C79">
              <w:t xml:space="preserve">Computer and communication equipment </w:t>
            </w:r>
          </w:p>
        </w:tc>
        <w:tc>
          <w:tcPr>
            <w:tcW w:w="2126" w:type="dxa"/>
            <w:tcBorders>
              <w:top w:val="nil"/>
              <w:bottom w:val="nil"/>
            </w:tcBorders>
          </w:tcPr>
          <w:p w14:paraId="65B81874" w14:textId="77777777" w:rsidR="0058789F" w:rsidRPr="00D65C79" w:rsidRDefault="0058789F" w:rsidP="00AD1066">
            <w:pPr>
              <w:pStyle w:val="TableBodyText"/>
            </w:pPr>
            <w:r>
              <w:t>3</w:t>
            </w:r>
            <w:r w:rsidRPr="00D65C79">
              <w:t>–</w:t>
            </w:r>
            <w:r>
              <w:t>13</w:t>
            </w:r>
            <w:r w:rsidRPr="00D65C79">
              <w:t xml:space="preserve"> years</w:t>
            </w:r>
          </w:p>
          <w:p w14:paraId="628F0EA7" w14:textId="77777777" w:rsidR="0058789F" w:rsidRDefault="0058789F" w:rsidP="00AD1066">
            <w:pPr>
              <w:pStyle w:val="TableBodyText"/>
            </w:pPr>
            <w:r w:rsidRPr="00D65C79">
              <w:t>3–5 years</w:t>
            </w:r>
          </w:p>
        </w:tc>
      </w:tr>
      <w:tr w:rsidR="0058789F" w14:paraId="20408D4F" w14:textId="77777777" w:rsidTr="000312B0">
        <w:tc>
          <w:tcPr>
            <w:tcW w:w="4678" w:type="dxa"/>
            <w:tcBorders>
              <w:top w:val="nil"/>
            </w:tcBorders>
          </w:tcPr>
          <w:p w14:paraId="0B62AD07" w14:textId="77777777" w:rsidR="0058789F" w:rsidRPr="00D65C79" w:rsidRDefault="0058789F" w:rsidP="00AD1066">
            <w:pPr>
              <w:pStyle w:val="TableBodyText"/>
            </w:pPr>
            <w:r w:rsidRPr="00D65C79">
              <w:t>Plant and equipment</w:t>
            </w:r>
          </w:p>
          <w:p w14:paraId="63949FAF" w14:textId="77777777" w:rsidR="0058789F" w:rsidRPr="00D65C79" w:rsidRDefault="0058789F" w:rsidP="00AD1066">
            <w:pPr>
              <w:pStyle w:val="TableBodyText"/>
            </w:pPr>
            <w:r w:rsidRPr="00D65C79">
              <w:t>Motor vehicles (including</w:t>
            </w:r>
            <w:r>
              <w:t xml:space="preserve"> right of use</w:t>
            </w:r>
            <w:r w:rsidRPr="00D65C79">
              <w:t>)</w:t>
            </w:r>
          </w:p>
          <w:p w14:paraId="57BEFAFA" w14:textId="77777777" w:rsidR="0058789F" w:rsidRDefault="0058789F" w:rsidP="00AD1066">
            <w:pPr>
              <w:pStyle w:val="TableBodyText"/>
            </w:pPr>
            <w:r w:rsidRPr="00D65C79">
              <w:t>Intangible assets</w:t>
            </w:r>
          </w:p>
        </w:tc>
        <w:tc>
          <w:tcPr>
            <w:tcW w:w="2126" w:type="dxa"/>
            <w:tcBorders>
              <w:top w:val="nil"/>
            </w:tcBorders>
          </w:tcPr>
          <w:p w14:paraId="54AF3311" w14:textId="77777777" w:rsidR="0058789F" w:rsidRPr="00D65C79" w:rsidRDefault="0058789F" w:rsidP="00AD1066">
            <w:pPr>
              <w:pStyle w:val="TableBodyText"/>
            </w:pPr>
            <w:r w:rsidRPr="00D65C79">
              <w:t>3–10 years</w:t>
            </w:r>
          </w:p>
          <w:p w14:paraId="604702BE" w14:textId="77777777" w:rsidR="0058789F" w:rsidRPr="00D65C79" w:rsidRDefault="0058789F" w:rsidP="00AD1066">
            <w:pPr>
              <w:pStyle w:val="TableBodyText"/>
            </w:pPr>
            <w:r w:rsidRPr="00D65C79">
              <w:t>2–5 years</w:t>
            </w:r>
          </w:p>
          <w:p w14:paraId="1F411E9F" w14:textId="77777777" w:rsidR="0058789F" w:rsidRDefault="0058789F" w:rsidP="00AD1066">
            <w:pPr>
              <w:pStyle w:val="TableBodyText"/>
            </w:pPr>
            <w:r w:rsidRPr="00D65C79">
              <w:t>3–6 years</w:t>
            </w:r>
          </w:p>
        </w:tc>
      </w:tr>
    </w:tbl>
    <w:p w14:paraId="484C63F9" w14:textId="77777777" w:rsidR="0058789F" w:rsidRPr="001942D3" w:rsidRDefault="0058789F" w:rsidP="0058789F">
      <w:pPr>
        <w:pStyle w:val="BodyText"/>
      </w:pPr>
      <w:r w:rsidRPr="001942D3">
        <w:t>The estimated useful lives, residual values and depreciation method are reviewed at the end of each annual reporting period and adjustments made where appropriate.</w:t>
      </w:r>
    </w:p>
    <w:p w14:paraId="35A41C94" w14:textId="77777777" w:rsidR="0058789F" w:rsidRPr="001942D3" w:rsidRDefault="0058789F" w:rsidP="0058789F">
      <w:pPr>
        <w:pStyle w:val="BodyText"/>
      </w:pPr>
      <w:r w:rsidRPr="001942D3">
        <w:t>Right-of-use assets are generally depreciated over the shorter of the asset’s useful life and the lease term. Where IBAC obtains ownership of the underlying leased asset or if the cost of the right-of-use asset reflects that IBAC will exercise a purchase option, IBAC depreciates the right-of-use asset over its useful life.</w:t>
      </w:r>
    </w:p>
    <w:p w14:paraId="73E91A6D" w14:textId="77777777" w:rsidR="0058789F" w:rsidRPr="001942D3" w:rsidRDefault="0058789F" w:rsidP="0058789F">
      <w:pPr>
        <w:pStyle w:val="BodyText"/>
      </w:pPr>
      <w:r w:rsidRPr="001942D3">
        <w:t>Leasehold improvements are depreciated over the shorter of the lease term and their useful lives.</w:t>
      </w:r>
    </w:p>
    <w:p w14:paraId="50A7BE6F" w14:textId="77777777" w:rsidR="0058789F" w:rsidRDefault="0058789F" w:rsidP="0058789F">
      <w:pPr>
        <w:pStyle w:val="BodyText"/>
        <w:sectPr w:rsidR="0058789F" w:rsidSect="0074334F">
          <w:pgSz w:w="11907" w:h="16839" w:code="9"/>
          <w:pgMar w:top="1440" w:right="1440" w:bottom="1440" w:left="1440" w:header="720" w:footer="720" w:gutter="0"/>
          <w:cols w:space="720"/>
          <w:docGrid w:linePitch="360"/>
        </w:sectPr>
      </w:pPr>
    </w:p>
    <w:p w14:paraId="4E418576" w14:textId="77777777" w:rsidR="0058789F" w:rsidRPr="00642619" w:rsidRDefault="0058789F" w:rsidP="006F399C">
      <w:pPr>
        <w:pStyle w:val="NotesHeading3"/>
      </w:pPr>
      <w:r w:rsidRPr="007211D6">
        <w:t xml:space="preserve"> </w:t>
      </w:r>
      <w:r w:rsidRPr="00642619">
        <w:t xml:space="preserve">Reconciliation of </w:t>
      </w:r>
      <w:r w:rsidRPr="006F399C">
        <w:t>movements</w:t>
      </w:r>
      <w:r w:rsidRPr="00642619">
        <w:t xml:space="preserve"> in carrying values of key assets</w:t>
      </w:r>
    </w:p>
    <w:tbl>
      <w:tblPr>
        <w:tblStyle w:val="CustomTabledetailed"/>
        <w:tblW w:w="13959" w:type="dxa"/>
        <w:tblLayout w:type="fixed"/>
        <w:tblLook w:val="0660" w:firstRow="1" w:lastRow="1" w:firstColumn="0" w:lastColumn="0" w:noHBand="1" w:noVBand="1"/>
      </w:tblPr>
      <w:tblGrid>
        <w:gridCol w:w="2294"/>
        <w:gridCol w:w="832"/>
        <w:gridCol w:w="832"/>
        <w:gridCol w:w="832"/>
        <w:gridCol w:w="833"/>
        <w:gridCol w:w="833"/>
        <w:gridCol w:w="834"/>
        <w:gridCol w:w="833"/>
        <w:gridCol w:w="833"/>
        <w:gridCol w:w="833"/>
        <w:gridCol w:w="833"/>
        <w:gridCol w:w="833"/>
        <w:gridCol w:w="833"/>
        <w:gridCol w:w="833"/>
        <w:gridCol w:w="838"/>
      </w:tblGrid>
      <w:tr w:rsidR="0058789F" w:rsidRPr="0074334F" w14:paraId="72BF61FD" w14:textId="77777777" w:rsidTr="00AD1066">
        <w:trPr>
          <w:cnfStyle w:val="100000000000" w:firstRow="1" w:lastRow="0" w:firstColumn="0" w:lastColumn="0" w:oddVBand="0" w:evenVBand="0" w:oddHBand="0" w:evenHBand="0" w:firstRowFirstColumn="0" w:firstRowLastColumn="0" w:lastRowFirstColumn="0" w:lastRowLastColumn="0"/>
          <w:trHeight w:val="586"/>
        </w:trPr>
        <w:tc>
          <w:tcPr>
            <w:tcW w:w="2294" w:type="dxa"/>
            <w:noWrap/>
            <w:hideMark/>
          </w:tcPr>
          <w:p w14:paraId="42A9D13D" w14:textId="77777777" w:rsidR="0058789F" w:rsidRPr="0074334F" w:rsidRDefault="0058789F" w:rsidP="00AD1066">
            <w:pPr>
              <w:pStyle w:val="TableHeading1"/>
            </w:pPr>
            <w:r w:rsidRPr="0074334F">
              <w:t> </w:t>
            </w:r>
          </w:p>
        </w:tc>
        <w:tc>
          <w:tcPr>
            <w:tcW w:w="1664" w:type="dxa"/>
            <w:gridSpan w:val="2"/>
            <w:vAlign w:val="top"/>
            <w:hideMark/>
          </w:tcPr>
          <w:p w14:paraId="07CCF50B" w14:textId="77777777" w:rsidR="0058789F" w:rsidRPr="0074334F" w:rsidRDefault="0058789F" w:rsidP="00AD1066">
            <w:pPr>
              <w:pStyle w:val="TableHeading1"/>
            </w:pPr>
            <w:r w:rsidRPr="0074334F">
              <w:t xml:space="preserve">Buildings </w:t>
            </w:r>
            <w:r w:rsidRPr="00D65C79">
              <w:t>–</w:t>
            </w:r>
            <w:r w:rsidRPr="0074334F">
              <w:t xml:space="preserve"> </w:t>
            </w:r>
            <w:r>
              <w:t>right of use</w:t>
            </w:r>
          </w:p>
        </w:tc>
        <w:tc>
          <w:tcPr>
            <w:tcW w:w="1665" w:type="dxa"/>
            <w:gridSpan w:val="2"/>
            <w:vAlign w:val="top"/>
            <w:hideMark/>
          </w:tcPr>
          <w:p w14:paraId="5CE15F57" w14:textId="77777777" w:rsidR="0058789F" w:rsidRPr="0074334F" w:rsidRDefault="0058789F" w:rsidP="00AD1066">
            <w:pPr>
              <w:pStyle w:val="TableHeading1"/>
            </w:pPr>
            <w:r w:rsidRPr="0074334F">
              <w:t>Leasehold improvements</w:t>
            </w:r>
          </w:p>
        </w:tc>
        <w:tc>
          <w:tcPr>
            <w:tcW w:w="1667" w:type="dxa"/>
            <w:gridSpan w:val="2"/>
            <w:vAlign w:val="top"/>
            <w:hideMark/>
          </w:tcPr>
          <w:p w14:paraId="4D137D39" w14:textId="77777777" w:rsidR="0058789F" w:rsidRPr="0074334F" w:rsidRDefault="0058789F" w:rsidP="00AD1066">
            <w:pPr>
              <w:pStyle w:val="TableHeading1"/>
            </w:pPr>
            <w:r>
              <w:t>Capital work in Progress</w:t>
            </w:r>
            <w:r w:rsidRPr="0074334F">
              <w:t xml:space="preserve"> at cost</w:t>
            </w:r>
          </w:p>
        </w:tc>
        <w:tc>
          <w:tcPr>
            <w:tcW w:w="1666" w:type="dxa"/>
            <w:gridSpan w:val="2"/>
            <w:vAlign w:val="top"/>
            <w:hideMark/>
          </w:tcPr>
          <w:p w14:paraId="7FB7CDC4" w14:textId="77777777" w:rsidR="0058789F" w:rsidRPr="0074334F" w:rsidRDefault="0058789F" w:rsidP="00AD1066">
            <w:pPr>
              <w:pStyle w:val="TableHeading1"/>
            </w:pPr>
            <w:r w:rsidRPr="0074334F">
              <w:t>Computer and communication equipment at fair value</w:t>
            </w:r>
          </w:p>
        </w:tc>
        <w:tc>
          <w:tcPr>
            <w:tcW w:w="1666" w:type="dxa"/>
            <w:gridSpan w:val="2"/>
            <w:vAlign w:val="top"/>
            <w:hideMark/>
          </w:tcPr>
          <w:p w14:paraId="495DE525" w14:textId="5916ED68" w:rsidR="0058789F" w:rsidRPr="0074334F" w:rsidRDefault="0058789F" w:rsidP="00AD1066">
            <w:pPr>
              <w:pStyle w:val="TableHeading1"/>
            </w:pPr>
            <w:r w:rsidRPr="0074334F">
              <w:t>Plant and equipment at</w:t>
            </w:r>
            <w:r w:rsidR="00B016AB">
              <w:t xml:space="preserve"> </w:t>
            </w:r>
            <w:r w:rsidRPr="0074334F">
              <w:t>fair</w:t>
            </w:r>
            <w:r w:rsidR="00B016AB">
              <w:t> </w:t>
            </w:r>
            <w:r w:rsidRPr="0074334F">
              <w:t>value</w:t>
            </w:r>
          </w:p>
        </w:tc>
        <w:tc>
          <w:tcPr>
            <w:tcW w:w="1666" w:type="dxa"/>
            <w:gridSpan w:val="2"/>
            <w:vAlign w:val="top"/>
            <w:hideMark/>
          </w:tcPr>
          <w:p w14:paraId="322C898B" w14:textId="77777777" w:rsidR="0058789F" w:rsidRPr="0074334F" w:rsidRDefault="0058789F" w:rsidP="00AD1066">
            <w:pPr>
              <w:pStyle w:val="TableHeading1"/>
            </w:pPr>
            <w:r w:rsidRPr="0074334F">
              <w:t>Motor vehicles at fair value</w:t>
            </w:r>
          </w:p>
        </w:tc>
        <w:tc>
          <w:tcPr>
            <w:tcW w:w="1671" w:type="dxa"/>
            <w:gridSpan w:val="2"/>
            <w:vAlign w:val="top"/>
            <w:hideMark/>
          </w:tcPr>
          <w:p w14:paraId="71A56FD0" w14:textId="77777777" w:rsidR="0058789F" w:rsidRPr="0074334F" w:rsidRDefault="0058789F" w:rsidP="00AD1066">
            <w:pPr>
              <w:pStyle w:val="TableHeading1"/>
            </w:pPr>
            <w:r w:rsidRPr="0074334F">
              <w:t>Total</w:t>
            </w:r>
          </w:p>
        </w:tc>
      </w:tr>
      <w:tr w:rsidR="00EF75E6" w:rsidRPr="0074334F" w14:paraId="3D1C7D26" w14:textId="77777777" w:rsidTr="00AD1066">
        <w:trPr>
          <w:trHeight w:val="264"/>
        </w:trPr>
        <w:tc>
          <w:tcPr>
            <w:tcW w:w="2294" w:type="dxa"/>
            <w:shd w:val="clear" w:color="auto" w:fill="E5DFEC" w:themeFill="accent4" w:themeFillTint="33"/>
            <w:noWrap/>
            <w:hideMark/>
          </w:tcPr>
          <w:p w14:paraId="331F289D" w14:textId="77777777" w:rsidR="0058789F" w:rsidRPr="0074334F" w:rsidRDefault="0058789F" w:rsidP="00AD1066">
            <w:pPr>
              <w:pStyle w:val="TableBodyText"/>
            </w:pPr>
            <w:r w:rsidRPr="0074334F">
              <w:t xml:space="preserve"> </w:t>
            </w:r>
          </w:p>
        </w:tc>
        <w:tc>
          <w:tcPr>
            <w:tcW w:w="832" w:type="dxa"/>
            <w:shd w:val="clear" w:color="auto" w:fill="E5DFEC" w:themeFill="accent4" w:themeFillTint="33"/>
            <w:noWrap/>
            <w:hideMark/>
          </w:tcPr>
          <w:p w14:paraId="4D65D2B2" w14:textId="77777777" w:rsidR="0058789F" w:rsidRDefault="0058789F" w:rsidP="00AD1066">
            <w:pPr>
              <w:pStyle w:val="TableHeading3rightalign"/>
            </w:pPr>
            <w:r w:rsidRPr="0074334F">
              <w:t>202</w:t>
            </w:r>
            <w:r>
              <w:t>3</w:t>
            </w:r>
          </w:p>
          <w:p w14:paraId="5650D154" w14:textId="77777777" w:rsidR="0058789F" w:rsidRPr="0074334F" w:rsidRDefault="0058789F" w:rsidP="00AD1066">
            <w:pPr>
              <w:pStyle w:val="TableHeading3rightalign"/>
            </w:pPr>
            <w:r>
              <w:t>(</w:t>
            </w:r>
            <w:r w:rsidRPr="0074334F">
              <w:t>$’000</w:t>
            </w:r>
            <w:r>
              <w:t>)</w:t>
            </w:r>
          </w:p>
        </w:tc>
        <w:tc>
          <w:tcPr>
            <w:tcW w:w="832" w:type="dxa"/>
            <w:shd w:val="clear" w:color="auto" w:fill="E5DFEC" w:themeFill="accent4" w:themeFillTint="33"/>
            <w:noWrap/>
            <w:hideMark/>
          </w:tcPr>
          <w:p w14:paraId="757B551C" w14:textId="77777777" w:rsidR="0058789F" w:rsidRDefault="0058789F" w:rsidP="00AD1066">
            <w:pPr>
              <w:pStyle w:val="TableHeading3rightalign"/>
            </w:pPr>
            <w:r w:rsidRPr="0074334F">
              <w:t>202</w:t>
            </w:r>
            <w:r>
              <w:t>2</w:t>
            </w:r>
          </w:p>
          <w:p w14:paraId="177D0BF6" w14:textId="77777777" w:rsidR="0058789F" w:rsidRPr="0074334F" w:rsidRDefault="0058789F" w:rsidP="00AD1066">
            <w:pPr>
              <w:pStyle w:val="TableHeading3rightalign"/>
            </w:pPr>
            <w:r>
              <w:t>(</w:t>
            </w:r>
            <w:r w:rsidRPr="0074334F">
              <w:t>$’000</w:t>
            </w:r>
            <w:r>
              <w:t>)</w:t>
            </w:r>
          </w:p>
        </w:tc>
        <w:tc>
          <w:tcPr>
            <w:tcW w:w="832" w:type="dxa"/>
            <w:shd w:val="clear" w:color="auto" w:fill="E5DFEC" w:themeFill="accent4" w:themeFillTint="33"/>
            <w:noWrap/>
            <w:hideMark/>
          </w:tcPr>
          <w:p w14:paraId="3340885A" w14:textId="77777777" w:rsidR="0058789F" w:rsidRDefault="0058789F" w:rsidP="00AD1066">
            <w:pPr>
              <w:pStyle w:val="TableHeading3rightalign"/>
            </w:pPr>
            <w:r w:rsidRPr="0074334F">
              <w:t>202</w:t>
            </w:r>
            <w:r>
              <w:t>3</w:t>
            </w:r>
          </w:p>
          <w:p w14:paraId="4DBBB013" w14:textId="77777777" w:rsidR="0058789F" w:rsidRPr="0074334F" w:rsidRDefault="0058789F" w:rsidP="00AD1066">
            <w:pPr>
              <w:pStyle w:val="TableHeading3rightalign"/>
            </w:pPr>
            <w:r>
              <w:t>(</w:t>
            </w:r>
            <w:r w:rsidRPr="0074334F">
              <w:t>$’000</w:t>
            </w:r>
            <w:r>
              <w:t>)</w:t>
            </w:r>
          </w:p>
        </w:tc>
        <w:tc>
          <w:tcPr>
            <w:tcW w:w="833" w:type="dxa"/>
            <w:shd w:val="clear" w:color="auto" w:fill="E5DFEC" w:themeFill="accent4" w:themeFillTint="33"/>
            <w:noWrap/>
            <w:hideMark/>
          </w:tcPr>
          <w:p w14:paraId="345E9867" w14:textId="77777777" w:rsidR="0058789F" w:rsidRDefault="0058789F" w:rsidP="00AD1066">
            <w:pPr>
              <w:pStyle w:val="TableHeading3rightalign"/>
            </w:pPr>
            <w:r w:rsidRPr="0074334F">
              <w:t>202</w:t>
            </w:r>
            <w:r>
              <w:t>2</w:t>
            </w:r>
          </w:p>
          <w:p w14:paraId="2C09768B" w14:textId="77777777" w:rsidR="0058789F" w:rsidRPr="0074334F" w:rsidRDefault="0058789F" w:rsidP="00AD1066">
            <w:pPr>
              <w:pStyle w:val="TableHeading3rightalign"/>
            </w:pPr>
            <w:r>
              <w:t>(</w:t>
            </w:r>
            <w:r w:rsidRPr="0074334F">
              <w:t>$’000</w:t>
            </w:r>
            <w:r>
              <w:t>)</w:t>
            </w:r>
          </w:p>
        </w:tc>
        <w:tc>
          <w:tcPr>
            <w:tcW w:w="833" w:type="dxa"/>
            <w:shd w:val="clear" w:color="auto" w:fill="E5DFEC" w:themeFill="accent4" w:themeFillTint="33"/>
            <w:noWrap/>
            <w:hideMark/>
          </w:tcPr>
          <w:p w14:paraId="02158525" w14:textId="77777777" w:rsidR="0058789F" w:rsidRDefault="0058789F" w:rsidP="00AD1066">
            <w:pPr>
              <w:pStyle w:val="TableHeading3rightalign"/>
            </w:pPr>
            <w:r w:rsidRPr="0074334F">
              <w:t>202</w:t>
            </w:r>
            <w:r>
              <w:t>3</w:t>
            </w:r>
          </w:p>
          <w:p w14:paraId="0EA19D55" w14:textId="77777777" w:rsidR="0058789F" w:rsidRPr="0074334F" w:rsidRDefault="0058789F" w:rsidP="00AD1066">
            <w:pPr>
              <w:pStyle w:val="TableHeading3rightalign"/>
            </w:pPr>
            <w:r>
              <w:t>(</w:t>
            </w:r>
            <w:r w:rsidRPr="0074334F">
              <w:t>$’000</w:t>
            </w:r>
            <w:r>
              <w:t>)</w:t>
            </w:r>
          </w:p>
        </w:tc>
        <w:tc>
          <w:tcPr>
            <w:tcW w:w="834" w:type="dxa"/>
            <w:shd w:val="clear" w:color="auto" w:fill="E5DFEC" w:themeFill="accent4" w:themeFillTint="33"/>
            <w:noWrap/>
            <w:hideMark/>
          </w:tcPr>
          <w:p w14:paraId="691D84E5" w14:textId="77777777" w:rsidR="0058789F" w:rsidRDefault="0058789F" w:rsidP="00AD1066">
            <w:pPr>
              <w:pStyle w:val="TableHeading3rightalign"/>
            </w:pPr>
            <w:r w:rsidRPr="0074334F">
              <w:t>202</w:t>
            </w:r>
            <w:r>
              <w:t>2</w:t>
            </w:r>
          </w:p>
          <w:p w14:paraId="2C802CD2" w14:textId="77777777" w:rsidR="0058789F" w:rsidRPr="0074334F" w:rsidRDefault="0058789F" w:rsidP="00AD1066">
            <w:pPr>
              <w:pStyle w:val="TableHeading3rightalign"/>
            </w:pPr>
            <w:r>
              <w:t>(</w:t>
            </w:r>
            <w:r w:rsidRPr="0074334F">
              <w:t>$’000</w:t>
            </w:r>
            <w:r>
              <w:t>)</w:t>
            </w:r>
          </w:p>
        </w:tc>
        <w:tc>
          <w:tcPr>
            <w:tcW w:w="833" w:type="dxa"/>
            <w:shd w:val="clear" w:color="auto" w:fill="E5DFEC" w:themeFill="accent4" w:themeFillTint="33"/>
            <w:noWrap/>
            <w:hideMark/>
          </w:tcPr>
          <w:p w14:paraId="4C442FC8" w14:textId="77777777" w:rsidR="0058789F" w:rsidRDefault="0058789F" w:rsidP="00AD1066">
            <w:pPr>
              <w:pStyle w:val="TableHeading3rightalign"/>
            </w:pPr>
            <w:r w:rsidRPr="0074334F">
              <w:t>202</w:t>
            </w:r>
            <w:r>
              <w:t>3</w:t>
            </w:r>
          </w:p>
          <w:p w14:paraId="6EE9EE09" w14:textId="77777777" w:rsidR="0058789F" w:rsidRPr="0074334F" w:rsidRDefault="0058789F" w:rsidP="00AD1066">
            <w:pPr>
              <w:pStyle w:val="TableHeading3rightalign"/>
            </w:pPr>
            <w:r>
              <w:t>(</w:t>
            </w:r>
            <w:r w:rsidRPr="0074334F">
              <w:t>$’000</w:t>
            </w:r>
            <w:r>
              <w:t>)</w:t>
            </w:r>
          </w:p>
        </w:tc>
        <w:tc>
          <w:tcPr>
            <w:tcW w:w="833" w:type="dxa"/>
            <w:shd w:val="clear" w:color="auto" w:fill="E5DFEC" w:themeFill="accent4" w:themeFillTint="33"/>
            <w:noWrap/>
            <w:hideMark/>
          </w:tcPr>
          <w:p w14:paraId="1F5DBC11" w14:textId="77777777" w:rsidR="0058789F" w:rsidRDefault="0058789F" w:rsidP="00AD1066">
            <w:pPr>
              <w:pStyle w:val="TableHeading3rightalign"/>
            </w:pPr>
            <w:r w:rsidRPr="0074334F">
              <w:t>202</w:t>
            </w:r>
            <w:r>
              <w:t>2</w:t>
            </w:r>
          </w:p>
          <w:p w14:paraId="6A04A81F" w14:textId="77777777" w:rsidR="0058789F" w:rsidRPr="0074334F" w:rsidRDefault="0058789F" w:rsidP="00AD1066">
            <w:pPr>
              <w:pStyle w:val="TableHeading3rightalign"/>
            </w:pPr>
            <w:r>
              <w:t>(</w:t>
            </w:r>
            <w:r w:rsidRPr="0074334F">
              <w:t>$’000</w:t>
            </w:r>
            <w:r>
              <w:t>)</w:t>
            </w:r>
          </w:p>
        </w:tc>
        <w:tc>
          <w:tcPr>
            <w:tcW w:w="833" w:type="dxa"/>
            <w:shd w:val="clear" w:color="auto" w:fill="E5DFEC" w:themeFill="accent4" w:themeFillTint="33"/>
            <w:noWrap/>
            <w:hideMark/>
          </w:tcPr>
          <w:p w14:paraId="4FB2A632" w14:textId="77777777" w:rsidR="0058789F" w:rsidRDefault="0058789F" w:rsidP="00AD1066">
            <w:pPr>
              <w:pStyle w:val="TableHeading3rightalign"/>
            </w:pPr>
            <w:r w:rsidRPr="0074334F">
              <w:t>202</w:t>
            </w:r>
            <w:r>
              <w:t>3</w:t>
            </w:r>
          </w:p>
          <w:p w14:paraId="139EAC73" w14:textId="77777777" w:rsidR="0058789F" w:rsidRPr="0074334F" w:rsidRDefault="0058789F" w:rsidP="00AD1066">
            <w:pPr>
              <w:pStyle w:val="TableHeading3rightalign"/>
            </w:pPr>
            <w:r>
              <w:t>(</w:t>
            </w:r>
            <w:r w:rsidRPr="0074334F">
              <w:t>$’000</w:t>
            </w:r>
            <w:r>
              <w:t>)</w:t>
            </w:r>
          </w:p>
        </w:tc>
        <w:tc>
          <w:tcPr>
            <w:tcW w:w="833" w:type="dxa"/>
            <w:shd w:val="clear" w:color="auto" w:fill="E5DFEC" w:themeFill="accent4" w:themeFillTint="33"/>
            <w:noWrap/>
            <w:hideMark/>
          </w:tcPr>
          <w:p w14:paraId="494A7AEA" w14:textId="77777777" w:rsidR="0058789F" w:rsidRDefault="0058789F" w:rsidP="00AD1066">
            <w:pPr>
              <w:pStyle w:val="TableHeading3rightalign"/>
            </w:pPr>
            <w:r w:rsidRPr="0074334F">
              <w:t>202</w:t>
            </w:r>
            <w:r>
              <w:t>2</w:t>
            </w:r>
          </w:p>
          <w:p w14:paraId="495A3341" w14:textId="77777777" w:rsidR="0058789F" w:rsidRPr="0074334F" w:rsidRDefault="0058789F" w:rsidP="00AD1066">
            <w:pPr>
              <w:pStyle w:val="TableHeading3rightalign"/>
            </w:pPr>
            <w:r>
              <w:t>(</w:t>
            </w:r>
            <w:r w:rsidRPr="0074334F">
              <w:t>$’000</w:t>
            </w:r>
            <w:r>
              <w:t>)</w:t>
            </w:r>
          </w:p>
        </w:tc>
        <w:tc>
          <w:tcPr>
            <w:tcW w:w="833" w:type="dxa"/>
            <w:shd w:val="clear" w:color="auto" w:fill="E5DFEC" w:themeFill="accent4" w:themeFillTint="33"/>
            <w:noWrap/>
            <w:hideMark/>
          </w:tcPr>
          <w:p w14:paraId="246D330F" w14:textId="77777777" w:rsidR="0058789F" w:rsidRDefault="0058789F" w:rsidP="00AD1066">
            <w:pPr>
              <w:pStyle w:val="TableHeading3rightalign"/>
            </w:pPr>
            <w:r w:rsidRPr="0074334F">
              <w:t>202</w:t>
            </w:r>
            <w:r>
              <w:t>3</w:t>
            </w:r>
          </w:p>
          <w:p w14:paraId="0C4C9640" w14:textId="77777777" w:rsidR="0058789F" w:rsidRPr="0074334F" w:rsidRDefault="0058789F" w:rsidP="00AD1066">
            <w:pPr>
              <w:pStyle w:val="TableHeading3rightalign"/>
            </w:pPr>
            <w:r>
              <w:t>(</w:t>
            </w:r>
            <w:r w:rsidRPr="0074334F">
              <w:t>$’000</w:t>
            </w:r>
            <w:r>
              <w:t>)</w:t>
            </w:r>
          </w:p>
        </w:tc>
        <w:tc>
          <w:tcPr>
            <w:tcW w:w="833" w:type="dxa"/>
            <w:shd w:val="clear" w:color="auto" w:fill="E5DFEC" w:themeFill="accent4" w:themeFillTint="33"/>
            <w:noWrap/>
            <w:hideMark/>
          </w:tcPr>
          <w:p w14:paraId="712CD9E2" w14:textId="77777777" w:rsidR="0058789F" w:rsidRDefault="0058789F" w:rsidP="00AD1066">
            <w:pPr>
              <w:pStyle w:val="TableHeading3rightalign"/>
            </w:pPr>
            <w:r w:rsidRPr="0074334F">
              <w:t>202</w:t>
            </w:r>
            <w:r>
              <w:t>2</w:t>
            </w:r>
          </w:p>
          <w:p w14:paraId="60AF9BA0" w14:textId="77777777" w:rsidR="0058789F" w:rsidRPr="0074334F" w:rsidRDefault="0058789F" w:rsidP="00AD1066">
            <w:pPr>
              <w:pStyle w:val="TableHeading3rightalign"/>
            </w:pPr>
            <w:r>
              <w:t>(</w:t>
            </w:r>
            <w:r w:rsidRPr="0074334F">
              <w:t>$’000</w:t>
            </w:r>
            <w:r>
              <w:t>)</w:t>
            </w:r>
          </w:p>
        </w:tc>
        <w:tc>
          <w:tcPr>
            <w:tcW w:w="833" w:type="dxa"/>
            <w:shd w:val="clear" w:color="auto" w:fill="E5DFEC" w:themeFill="accent4" w:themeFillTint="33"/>
            <w:noWrap/>
            <w:hideMark/>
          </w:tcPr>
          <w:p w14:paraId="4BF231F3" w14:textId="77777777" w:rsidR="0058789F" w:rsidRDefault="0058789F" w:rsidP="00AD1066">
            <w:pPr>
              <w:pStyle w:val="TableHeading3rightalign"/>
            </w:pPr>
            <w:r w:rsidRPr="0074334F">
              <w:t>202</w:t>
            </w:r>
            <w:r>
              <w:t>3</w:t>
            </w:r>
          </w:p>
          <w:p w14:paraId="2573158A" w14:textId="77777777" w:rsidR="0058789F" w:rsidRPr="0074334F" w:rsidRDefault="0058789F" w:rsidP="00AD1066">
            <w:pPr>
              <w:pStyle w:val="TableHeading3rightalign"/>
            </w:pPr>
            <w:r>
              <w:t>(</w:t>
            </w:r>
            <w:r w:rsidRPr="0074334F">
              <w:t>$’000</w:t>
            </w:r>
            <w:r>
              <w:t>)</w:t>
            </w:r>
          </w:p>
        </w:tc>
        <w:tc>
          <w:tcPr>
            <w:tcW w:w="838" w:type="dxa"/>
            <w:shd w:val="clear" w:color="auto" w:fill="E5DFEC" w:themeFill="accent4" w:themeFillTint="33"/>
            <w:noWrap/>
            <w:hideMark/>
          </w:tcPr>
          <w:p w14:paraId="4B0E15F1" w14:textId="77777777" w:rsidR="0058789F" w:rsidRDefault="0058789F" w:rsidP="00AD1066">
            <w:pPr>
              <w:pStyle w:val="TableHeading3rightalign"/>
            </w:pPr>
            <w:r w:rsidRPr="0074334F">
              <w:t>202</w:t>
            </w:r>
            <w:r>
              <w:t>2</w:t>
            </w:r>
          </w:p>
          <w:p w14:paraId="766C8AFA" w14:textId="77777777" w:rsidR="0058789F" w:rsidRPr="0074334F" w:rsidRDefault="0058789F" w:rsidP="00AD1066">
            <w:pPr>
              <w:pStyle w:val="TableHeading3rightalign"/>
            </w:pPr>
            <w:r>
              <w:t>(</w:t>
            </w:r>
            <w:r w:rsidRPr="0074334F">
              <w:t>$’000</w:t>
            </w:r>
            <w:r>
              <w:t>)</w:t>
            </w:r>
          </w:p>
        </w:tc>
      </w:tr>
      <w:tr w:rsidR="0058789F" w:rsidRPr="0074334F" w14:paraId="796D2120" w14:textId="77777777" w:rsidTr="00AD1066">
        <w:trPr>
          <w:trHeight w:val="34"/>
        </w:trPr>
        <w:tc>
          <w:tcPr>
            <w:tcW w:w="13959" w:type="dxa"/>
            <w:gridSpan w:val="15"/>
            <w:noWrap/>
            <w:hideMark/>
          </w:tcPr>
          <w:p w14:paraId="08F9FD0A" w14:textId="77777777" w:rsidR="0058789F" w:rsidRPr="00642619" w:rsidRDefault="0058789F" w:rsidP="00AD1066">
            <w:pPr>
              <w:pStyle w:val="TableBodyTextsmall"/>
            </w:pPr>
            <w:r>
              <w:t xml:space="preserve"> </w:t>
            </w:r>
          </w:p>
        </w:tc>
      </w:tr>
      <w:tr w:rsidR="0058789F" w:rsidRPr="0074334F" w14:paraId="5188BBB2" w14:textId="77777777" w:rsidTr="00AD1066">
        <w:trPr>
          <w:trHeight w:val="419"/>
        </w:trPr>
        <w:tc>
          <w:tcPr>
            <w:tcW w:w="2294" w:type="dxa"/>
            <w:noWrap/>
            <w:hideMark/>
          </w:tcPr>
          <w:p w14:paraId="6A9CC72D" w14:textId="77777777" w:rsidR="0058789F" w:rsidRPr="0074334F" w:rsidRDefault="0058789F" w:rsidP="00AD1066">
            <w:pPr>
              <w:pStyle w:val="TableBodyText"/>
            </w:pPr>
            <w:r w:rsidRPr="0074334F">
              <w:t>Opening balance</w:t>
            </w:r>
          </w:p>
        </w:tc>
        <w:tc>
          <w:tcPr>
            <w:tcW w:w="832" w:type="dxa"/>
            <w:shd w:val="clear" w:color="auto" w:fill="F2F2F2" w:themeFill="background1" w:themeFillShade="F2"/>
            <w:noWrap/>
          </w:tcPr>
          <w:p w14:paraId="1B92019C" w14:textId="77777777" w:rsidR="0058789F" w:rsidRPr="0074334F" w:rsidRDefault="0058789F" w:rsidP="00AD1066">
            <w:pPr>
              <w:pStyle w:val="TableBodyTextrightalign"/>
            </w:pPr>
            <w:r>
              <w:t>9,568</w:t>
            </w:r>
          </w:p>
        </w:tc>
        <w:tc>
          <w:tcPr>
            <w:tcW w:w="832" w:type="dxa"/>
            <w:noWrap/>
            <w:hideMark/>
          </w:tcPr>
          <w:p w14:paraId="4B54859A" w14:textId="77777777" w:rsidR="0058789F" w:rsidRPr="0074334F" w:rsidRDefault="0058789F" w:rsidP="00AD1066">
            <w:pPr>
              <w:pStyle w:val="TableBodyTextrightalign"/>
            </w:pPr>
            <w:r>
              <w:t>11,345</w:t>
            </w:r>
          </w:p>
        </w:tc>
        <w:tc>
          <w:tcPr>
            <w:tcW w:w="832" w:type="dxa"/>
            <w:shd w:val="clear" w:color="auto" w:fill="F2F2F2" w:themeFill="background1" w:themeFillShade="F2"/>
            <w:noWrap/>
          </w:tcPr>
          <w:p w14:paraId="04964D2D" w14:textId="77777777" w:rsidR="0058789F" w:rsidRPr="0074334F" w:rsidRDefault="0058789F" w:rsidP="00AD1066">
            <w:pPr>
              <w:pStyle w:val="TableBodyTextrightalign"/>
            </w:pPr>
            <w:r>
              <w:t>1,133</w:t>
            </w:r>
          </w:p>
        </w:tc>
        <w:tc>
          <w:tcPr>
            <w:tcW w:w="833" w:type="dxa"/>
            <w:noWrap/>
            <w:hideMark/>
          </w:tcPr>
          <w:p w14:paraId="151B5DDD" w14:textId="77777777" w:rsidR="0058789F" w:rsidRPr="0074334F" w:rsidRDefault="0058789F" w:rsidP="00AD1066">
            <w:pPr>
              <w:pStyle w:val="TableBodyTextrightalign"/>
            </w:pPr>
            <w:r>
              <w:t>1,289</w:t>
            </w:r>
          </w:p>
        </w:tc>
        <w:tc>
          <w:tcPr>
            <w:tcW w:w="833" w:type="dxa"/>
            <w:shd w:val="clear" w:color="auto" w:fill="F2F2F2" w:themeFill="background1" w:themeFillShade="F2"/>
            <w:noWrap/>
          </w:tcPr>
          <w:p w14:paraId="55ECA8B2" w14:textId="77777777" w:rsidR="0058789F" w:rsidRPr="0074334F" w:rsidRDefault="0058789F" w:rsidP="00AD1066">
            <w:pPr>
              <w:pStyle w:val="TableBodyTextrightalign"/>
            </w:pPr>
            <w:r>
              <w:t>373</w:t>
            </w:r>
          </w:p>
        </w:tc>
        <w:tc>
          <w:tcPr>
            <w:tcW w:w="834" w:type="dxa"/>
            <w:noWrap/>
            <w:hideMark/>
          </w:tcPr>
          <w:p w14:paraId="7310A474" w14:textId="77777777" w:rsidR="0058789F" w:rsidRPr="0074334F" w:rsidRDefault="0058789F" w:rsidP="00AD1066">
            <w:pPr>
              <w:pStyle w:val="TableBodyTextrightalign"/>
            </w:pPr>
            <w:r>
              <w:t>764</w:t>
            </w:r>
          </w:p>
        </w:tc>
        <w:tc>
          <w:tcPr>
            <w:tcW w:w="833" w:type="dxa"/>
            <w:shd w:val="clear" w:color="auto" w:fill="F2F2F2" w:themeFill="background1" w:themeFillShade="F2"/>
            <w:noWrap/>
          </w:tcPr>
          <w:p w14:paraId="6081F6A4" w14:textId="77777777" w:rsidR="0058789F" w:rsidRPr="0074334F" w:rsidRDefault="0058789F" w:rsidP="00AD1066">
            <w:pPr>
              <w:pStyle w:val="TableBodyTextrightalign"/>
            </w:pPr>
            <w:r>
              <w:t>1,968</w:t>
            </w:r>
          </w:p>
        </w:tc>
        <w:tc>
          <w:tcPr>
            <w:tcW w:w="833" w:type="dxa"/>
            <w:noWrap/>
            <w:hideMark/>
          </w:tcPr>
          <w:p w14:paraId="74DFDF32" w14:textId="77777777" w:rsidR="0058789F" w:rsidRPr="0074334F" w:rsidRDefault="0058789F" w:rsidP="00AD1066">
            <w:pPr>
              <w:pStyle w:val="TableBodyTextrightalign"/>
            </w:pPr>
            <w:r>
              <w:t>1,253</w:t>
            </w:r>
          </w:p>
        </w:tc>
        <w:tc>
          <w:tcPr>
            <w:tcW w:w="833" w:type="dxa"/>
            <w:shd w:val="clear" w:color="auto" w:fill="F2F2F2" w:themeFill="background1" w:themeFillShade="F2"/>
            <w:noWrap/>
          </w:tcPr>
          <w:p w14:paraId="4B827767" w14:textId="77777777" w:rsidR="0058789F" w:rsidRPr="0074334F" w:rsidRDefault="0058789F" w:rsidP="00AD1066">
            <w:pPr>
              <w:pStyle w:val="TableBodyTextrightalign"/>
            </w:pPr>
            <w:r>
              <w:t>271</w:t>
            </w:r>
          </w:p>
        </w:tc>
        <w:tc>
          <w:tcPr>
            <w:tcW w:w="833" w:type="dxa"/>
            <w:noWrap/>
            <w:hideMark/>
          </w:tcPr>
          <w:p w14:paraId="672B762B" w14:textId="77777777" w:rsidR="0058789F" w:rsidRPr="0074334F" w:rsidRDefault="0058789F" w:rsidP="00AD1066">
            <w:pPr>
              <w:pStyle w:val="TableBodyTextrightalign"/>
            </w:pPr>
            <w:r>
              <w:t>379</w:t>
            </w:r>
          </w:p>
        </w:tc>
        <w:tc>
          <w:tcPr>
            <w:tcW w:w="833" w:type="dxa"/>
            <w:shd w:val="clear" w:color="auto" w:fill="F2F2F2" w:themeFill="background1" w:themeFillShade="F2"/>
            <w:noWrap/>
          </w:tcPr>
          <w:p w14:paraId="096141F7" w14:textId="77777777" w:rsidR="0058789F" w:rsidRPr="0074334F" w:rsidRDefault="0058789F" w:rsidP="00AD1066">
            <w:pPr>
              <w:pStyle w:val="TableBodyTextrightalign"/>
            </w:pPr>
            <w:r>
              <w:t>1,274</w:t>
            </w:r>
          </w:p>
        </w:tc>
        <w:tc>
          <w:tcPr>
            <w:tcW w:w="833" w:type="dxa"/>
            <w:noWrap/>
            <w:hideMark/>
          </w:tcPr>
          <w:p w14:paraId="732C5B3F" w14:textId="77777777" w:rsidR="0058789F" w:rsidRPr="0074334F" w:rsidRDefault="0058789F" w:rsidP="00AD1066">
            <w:pPr>
              <w:pStyle w:val="TableBodyTextrightalign"/>
            </w:pPr>
            <w:r>
              <w:t>1,124</w:t>
            </w:r>
          </w:p>
        </w:tc>
        <w:tc>
          <w:tcPr>
            <w:tcW w:w="833" w:type="dxa"/>
            <w:shd w:val="clear" w:color="auto" w:fill="F2F2F2" w:themeFill="background1" w:themeFillShade="F2"/>
            <w:noWrap/>
          </w:tcPr>
          <w:p w14:paraId="07B57AC6" w14:textId="77777777" w:rsidR="0058789F" w:rsidRPr="0074334F" w:rsidRDefault="0058789F" w:rsidP="00AD1066">
            <w:pPr>
              <w:pStyle w:val="TableBodyTextrightalign"/>
            </w:pPr>
            <w:r>
              <w:t>14,586</w:t>
            </w:r>
          </w:p>
        </w:tc>
        <w:tc>
          <w:tcPr>
            <w:tcW w:w="838" w:type="dxa"/>
            <w:noWrap/>
            <w:hideMark/>
          </w:tcPr>
          <w:p w14:paraId="5833AD35" w14:textId="77777777" w:rsidR="0058789F" w:rsidRPr="0074334F" w:rsidRDefault="0058789F" w:rsidP="00AD1066">
            <w:pPr>
              <w:pStyle w:val="TableBodyTextrightalign"/>
            </w:pPr>
            <w:r>
              <w:t>16,153</w:t>
            </w:r>
          </w:p>
        </w:tc>
      </w:tr>
      <w:tr w:rsidR="0058789F" w:rsidRPr="0074334F" w14:paraId="548C3C6B" w14:textId="77777777" w:rsidTr="00AD1066">
        <w:trPr>
          <w:trHeight w:val="419"/>
        </w:trPr>
        <w:tc>
          <w:tcPr>
            <w:tcW w:w="2294" w:type="dxa"/>
            <w:noWrap/>
            <w:hideMark/>
          </w:tcPr>
          <w:p w14:paraId="059575A8" w14:textId="77777777" w:rsidR="0058789F" w:rsidRPr="0074334F" w:rsidRDefault="0058789F" w:rsidP="00AD1066">
            <w:pPr>
              <w:pStyle w:val="TableBodyText"/>
            </w:pPr>
            <w:r w:rsidRPr="0074334F">
              <w:t>Additions</w:t>
            </w:r>
            <w:r>
              <w:rPr>
                <w:rStyle w:val="Charactersuperscript"/>
              </w:rPr>
              <w:t xml:space="preserve"> </w:t>
            </w:r>
          </w:p>
        </w:tc>
        <w:tc>
          <w:tcPr>
            <w:tcW w:w="832" w:type="dxa"/>
            <w:shd w:val="clear" w:color="auto" w:fill="F2F2F2" w:themeFill="background1" w:themeFillShade="F2"/>
            <w:noWrap/>
          </w:tcPr>
          <w:p w14:paraId="51CF6747" w14:textId="77777777" w:rsidR="0058789F" w:rsidRPr="0074334F" w:rsidRDefault="0058789F" w:rsidP="00AD1066">
            <w:pPr>
              <w:pStyle w:val="TableBodyTextrightalign"/>
            </w:pPr>
            <w:r>
              <w:t>–</w:t>
            </w:r>
          </w:p>
        </w:tc>
        <w:tc>
          <w:tcPr>
            <w:tcW w:w="832" w:type="dxa"/>
            <w:noWrap/>
            <w:hideMark/>
          </w:tcPr>
          <w:p w14:paraId="1CB9DFF1" w14:textId="77777777" w:rsidR="0058789F" w:rsidRPr="0074334F" w:rsidRDefault="0058789F" w:rsidP="00AD1066">
            <w:pPr>
              <w:pStyle w:val="TableBodyTextrightalign"/>
            </w:pPr>
            <w:r w:rsidRPr="000427F7">
              <w:t>–</w:t>
            </w:r>
          </w:p>
        </w:tc>
        <w:tc>
          <w:tcPr>
            <w:tcW w:w="832" w:type="dxa"/>
            <w:shd w:val="clear" w:color="auto" w:fill="F2F2F2" w:themeFill="background1" w:themeFillShade="F2"/>
            <w:noWrap/>
          </w:tcPr>
          <w:p w14:paraId="21D0EF87" w14:textId="77777777" w:rsidR="0058789F" w:rsidRPr="0080334F" w:rsidRDefault="0058789F" w:rsidP="00AD1066">
            <w:pPr>
              <w:pStyle w:val="TableBodyTextrightalign"/>
            </w:pPr>
            <w:r w:rsidRPr="000C2505">
              <w:t>–</w:t>
            </w:r>
          </w:p>
        </w:tc>
        <w:tc>
          <w:tcPr>
            <w:tcW w:w="833" w:type="dxa"/>
            <w:noWrap/>
            <w:hideMark/>
          </w:tcPr>
          <w:p w14:paraId="6781D2C0" w14:textId="77777777" w:rsidR="0058789F" w:rsidRPr="0074334F" w:rsidRDefault="0058789F" w:rsidP="00AD1066">
            <w:pPr>
              <w:pStyle w:val="TableBodyTextrightalign"/>
            </w:pPr>
            <w:r>
              <w:t>–</w:t>
            </w:r>
          </w:p>
        </w:tc>
        <w:tc>
          <w:tcPr>
            <w:tcW w:w="833" w:type="dxa"/>
            <w:shd w:val="clear" w:color="auto" w:fill="F2F2F2" w:themeFill="background1" w:themeFillShade="F2"/>
            <w:noWrap/>
          </w:tcPr>
          <w:p w14:paraId="7A7EFF3D" w14:textId="77777777" w:rsidR="0058789F" w:rsidRPr="0074334F" w:rsidRDefault="0058789F" w:rsidP="00AD1066">
            <w:pPr>
              <w:pStyle w:val="TableBodyTextrightalign"/>
            </w:pPr>
            <w:r>
              <w:t>1,681</w:t>
            </w:r>
          </w:p>
        </w:tc>
        <w:tc>
          <w:tcPr>
            <w:tcW w:w="834" w:type="dxa"/>
            <w:noWrap/>
            <w:hideMark/>
          </w:tcPr>
          <w:p w14:paraId="7512D226" w14:textId="77777777" w:rsidR="0058789F" w:rsidRPr="0074334F" w:rsidRDefault="0058789F" w:rsidP="00AD1066">
            <w:pPr>
              <w:pStyle w:val="TableBodyTextrightalign"/>
            </w:pPr>
            <w:r>
              <w:t xml:space="preserve">966 </w:t>
            </w:r>
          </w:p>
        </w:tc>
        <w:tc>
          <w:tcPr>
            <w:tcW w:w="833" w:type="dxa"/>
            <w:shd w:val="clear" w:color="auto" w:fill="F2F2F2" w:themeFill="background1" w:themeFillShade="F2"/>
            <w:noWrap/>
          </w:tcPr>
          <w:p w14:paraId="6E14F9E8" w14:textId="77777777" w:rsidR="0058789F" w:rsidRPr="0074334F" w:rsidRDefault="0058789F" w:rsidP="00AD1066">
            <w:pPr>
              <w:pStyle w:val="TableBodyTextrightalign"/>
            </w:pPr>
            <w:r w:rsidRPr="00DD7805">
              <w:t>–</w:t>
            </w:r>
          </w:p>
        </w:tc>
        <w:tc>
          <w:tcPr>
            <w:tcW w:w="833" w:type="dxa"/>
            <w:noWrap/>
            <w:hideMark/>
          </w:tcPr>
          <w:p w14:paraId="35C42E18" w14:textId="77777777" w:rsidR="0058789F" w:rsidRPr="0074334F" w:rsidRDefault="0058789F" w:rsidP="00AD1066">
            <w:pPr>
              <w:pStyle w:val="TableBodyTextrightalign"/>
            </w:pPr>
            <w:r>
              <w:t>183</w:t>
            </w:r>
          </w:p>
        </w:tc>
        <w:tc>
          <w:tcPr>
            <w:tcW w:w="833" w:type="dxa"/>
            <w:shd w:val="clear" w:color="auto" w:fill="F2F2F2" w:themeFill="background1" w:themeFillShade="F2"/>
            <w:noWrap/>
          </w:tcPr>
          <w:p w14:paraId="42292F74" w14:textId="77777777" w:rsidR="0058789F" w:rsidRPr="0074334F" w:rsidRDefault="0058789F" w:rsidP="00AD1066">
            <w:pPr>
              <w:pStyle w:val="TableBodyTextrightalign"/>
            </w:pPr>
            <w:r w:rsidRPr="008F4AC9">
              <w:t>–</w:t>
            </w:r>
          </w:p>
        </w:tc>
        <w:tc>
          <w:tcPr>
            <w:tcW w:w="833" w:type="dxa"/>
            <w:noWrap/>
            <w:hideMark/>
          </w:tcPr>
          <w:p w14:paraId="410E3BB9" w14:textId="77777777" w:rsidR="0058789F" w:rsidRPr="0074334F" w:rsidRDefault="0058789F" w:rsidP="00AD1066">
            <w:pPr>
              <w:pStyle w:val="TableBodyTextrightalign"/>
            </w:pPr>
            <w:r>
              <w:t>44</w:t>
            </w:r>
          </w:p>
        </w:tc>
        <w:tc>
          <w:tcPr>
            <w:tcW w:w="833" w:type="dxa"/>
            <w:shd w:val="clear" w:color="auto" w:fill="F2F2F2" w:themeFill="background1" w:themeFillShade="F2"/>
            <w:noWrap/>
          </w:tcPr>
          <w:p w14:paraId="5A160617" w14:textId="77777777" w:rsidR="0058789F" w:rsidRPr="0074334F" w:rsidRDefault="0058789F" w:rsidP="00AD1066">
            <w:pPr>
              <w:pStyle w:val="TableBodyTextrightalign"/>
            </w:pPr>
            <w:r>
              <w:t>459</w:t>
            </w:r>
          </w:p>
        </w:tc>
        <w:tc>
          <w:tcPr>
            <w:tcW w:w="833" w:type="dxa"/>
            <w:noWrap/>
            <w:hideMark/>
          </w:tcPr>
          <w:p w14:paraId="19F4910D" w14:textId="77777777" w:rsidR="0058789F" w:rsidRPr="0074334F" w:rsidRDefault="0058789F" w:rsidP="00AD1066">
            <w:pPr>
              <w:pStyle w:val="TableBodyTextrightalign"/>
            </w:pPr>
            <w:r>
              <w:t>616</w:t>
            </w:r>
          </w:p>
        </w:tc>
        <w:tc>
          <w:tcPr>
            <w:tcW w:w="833" w:type="dxa"/>
            <w:shd w:val="clear" w:color="auto" w:fill="F2F2F2" w:themeFill="background1" w:themeFillShade="F2"/>
            <w:noWrap/>
          </w:tcPr>
          <w:p w14:paraId="566D5A64" w14:textId="77777777" w:rsidR="0058789F" w:rsidRPr="0074334F" w:rsidRDefault="0058789F" w:rsidP="00AD1066">
            <w:pPr>
              <w:pStyle w:val="TableBodyTextrightalign"/>
            </w:pPr>
            <w:r>
              <w:t>2,140</w:t>
            </w:r>
          </w:p>
        </w:tc>
        <w:tc>
          <w:tcPr>
            <w:tcW w:w="838" w:type="dxa"/>
            <w:noWrap/>
            <w:hideMark/>
          </w:tcPr>
          <w:p w14:paraId="3C3190C9" w14:textId="77777777" w:rsidR="0058789F" w:rsidRPr="0074334F" w:rsidRDefault="0058789F" w:rsidP="00AD1066">
            <w:pPr>
              <w:pStyle w:val="TableBodyTextrightalign"/>
            </w:pPr>
            <w:r>
              <w:t>1,809</w:t>
            </w:r>
          </w:p>
        </w:tc>
      </w:tr>
      <w:tr w:rsidR="0058789F" w:rsidRPr="0074334F" w14:paraId="44FF59B9" w14:textId="77777777" w:rsidTr="00AD1066">
        <w:trPr>
          <w:trHeight w:val="419"/>
        </w:trPr>
        <w:tc>
          <w:tcPr>
            <w:tcW w:w="2294" w:type="dxa"/>
            <w:noWrap/>
            <w:hideMark/>
          </w:tcPr>
          <w:p w14:paraId="22F6C710" w14:textId="77777777" w:rsidR="0058789F" w:rsidRPr="0074334F" w:rsidRDefault="0058789F" w:rsidP="00AD1066">
            <w:pPr>
              <w:pStyle w:val="TableBodyText"/>
            </w:pPr>
            <w:r w:rsidRPr="0074334F">
              <w:t>Disposals</w:t>
            </w:r>
          </w:p>
        </w:tc>
        <w:tc>
          <w:tcPr>
            <w:tcW w:w="832" w:type="dxa"/>
            <w:shd w:val="clear" w:color="auto" w:fill="F2F2F2" w:themeFill="background1" w:themeFillShade="F2"/>
            <w:noWrap/>
          </w:tcPr>
          <w:p w14:paraId="703F83C1" w14:textId="77777777" w:rsidR="0058789F" w:rsidRPr="0074334F" w:rsidRDefault="0058789F" w:rsidP="00AD1066">
            <w:pPr>
              <w:pStyle w:val="TableBodyTextrightalign"/>
            </w:pPr>
            <w:r w:rsidRPr="001B7A9E">
              <w:t>–</w:t>
            </w:r>
          </w:p>
        </w:tc>
        <w:tc>
          <w:tcPr>
            <w:tcW w:w="832" w:type="dxa"/>
            <w:noWrap/>
            <w:hideMark/>
          </w:tcPr>
          <w:p w14:paraId="4FAE863D" w14:textId="77777777" w:rsidR="0058789F" w:rsidRPr="0074334F" w:rsidRDefault="0058789F" w:rsidP="00AD1066">
            <w:pPr>
              <w:pStyle w:val="TableBodyTextrightalign"/>
            </w:pPr>
            <w:r w:rsidRPr="000427F7">
              <w:t>–</w:t>
            </w:r>
          </w:p>
        </w:tc>
        <w:tc>
          <w:tcPr>
            <w:tcW w:w="832" w:type="dxa"/>
            <w:shd w:val="clear" w:color="auto" w:fill="F2F2F2" w:themeFill="background1" w:themeFillShade="F2"/>
            <w:noWrap/>
          </w:tcPr>
          <w:p w14:paraId="7560A733" w14:textId="77777777" w:rsidR="0058789F" w:rsidRPr="0080334F" w:rsidRDefault="0058789F" w:rsidP="00AD1066">
            <w:pPr>
              <w:pStyle w:val="TableBodyTextrightalign"/>
            </w:pPr>
            <w:r w:rsidRPr="000C2505">
              <w:t>–</w:t>
            </w:r>
          </w:p>
        </w:tc>
        <w:tc>
          <w:tcPr>
            <w:tcW w:w="833" w:type="dxa"/>
            <w:noWrap/>
            <w:hideMark/>
          </w:tcPr>
          <w:p w14:paraId="17FB55F4" w14:textId="77777777" w:rsidR="0058789F" w:rsidRPr="0074334F" w:rsidRDefault="0058789F" w:rsidP="00AD1066">
            <w:pPr>
              <w:pStyle w:val="TableBodyTextrightalign"/>
            </w:pPr>
            <w:r w:rsidRPr="0080334F">
              <w:t>–</w:t>
            </w:r>
          </w:p>
        </w:tc>
        <w:tc>
          <w:tcPr>
            <w:tcW w:w="833" w:type="dxa"/>
            <w:shd w:val="clear" w:color="auto" w:fill="F2F2F2" w:themeFill="background1" w:themeFillShade="F2"/>
            <w:noWrap/>
          </w:tcPr>
          <w:p w14:paraId="201D2006" w14:textId="77777777" w:rsidR="0058789F" w:rsidRPr="0074334F" w:rsidRDefault="0058789F" w:rsidP="00AD1066">
            <w:pPr>
              <w:pStyle w:val="TableBodyTextrightalign"/>
            </w:pPr>
            <w:r w:rsidRPr="009F4CAB">
              <w:t>–</w:t>
            </w:r>
          </w:p>
        </w:tc>
        <w:tc>
          <w:tcPr>
            <w:tcW w:w="834" w:type="dxa"/>
            <w:noWrap/>
            <w:hideMark/>
          </w:tcPr>
          <w:p w14:paraId="18624A5E"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0DCBB6DE" w14:textId="77777777" w:rsidR="0058789F" w:rsidRPr="0074334F" w:rsidRDefault="0058789F" w:rsidP="00AD1066">
            <w:pPr>
              <w:pStyle w:val="TableBodyTextrightalign"/>
            </w:pPr>
            <w:r w:rsidRPr="00DD7805">
              <w:t>–</w:t>
            </w:r>
          </w:p>
        </w:tc>
        <w:tc>
          <w:tcPr>
            <w:tcW w:w="833" w:type="dxa"/>
            <w:noWrap/>
            <w:hideMark/>
          </w:tcPr>
          <w:p w14:paraId="5B331766"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52157919" w14:textId="77777777" w:rsidR="0058789F" w:rsidRPr="0074334F" w:rsidRDefault="0058789F" w:rsidP="00AD1066">
            <w:pPr>
              <w:pStyle w:val="TableBodyTextrightalign"/>
            </w:pPr>
            <w:r w:rsidRPr="008F4AC9">
              <w:t>–</w:t>
            </w:r>
          </w:p>
        </w:tc>
        <w:tc>
          <w:tcPr>
            <w:tcW w:w="833" w:type="dxa"/>
            <w:noWrap/>
            <w:hideMark/>
          </w:tcPr>
          <w:p w14:paraId="1CD39424"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7BE6FDAB" w14:textId="77777777" w:rsidR="0058789F" w:rsidRPr="0074334F" w:rsidRDefault="0058789F" w:rsidP="00AD1066">
            <w:pPr>
              <w:pStyle w:val="TableBodyTextrightalign"/>
            </w:pPr>
            <w:r>
              <w:t>(148)</w:t>
            </w:r>
          </w:p>
        </w:tc>
        <w:tc>
          <w:tcPr>
            <w:tcW w:w="833" w:type="dxa"/>
            <w:noWrap/>
            <w:hideMark/>
          </w:tcPr>
          <w:p w14:paraId="679E8C18" w14:textId="77777777" w:rsidR="0058789F" w:rsidRPr="0074334F" w:rsidRDefault="0058789F" w:rsidP="00AD1066">
            <w:pPr>
              <w:pStyle w:val="TableBodyTextrightalign"/>
            </w:pPr>
            <w:r>
              <w:t>(169)</w:t>
            </w:r>
          </w:p>
        </w:tc>
        <w:tc>
          <w:tcPr>
            <w:tcW w:w="833" w:type="dxa"/>
            <w:shd w:val="clear" w:color="auto" w:fill="F2F2F2" w:themeFill="background1" w:themeFillShade="F2"/>
            <w:noWrap/>
          </w:tcPr>
          <w:p w14:paraId="4871620A" w14:textId="77777777" w:rsidR="0058789F" w:rsidRPr="0074334F" w:rsidRDefault="0058789F" w:rsidP="00AD1066">
            <w:pPr>
              <w:pStyle w:val="TableBodyTextrightalign"/>
            </w:pPr>
            <w:r>
              <w:t>(148)</w:t>
            </w:r>
          </w:p>
        </w:tc>
        <w:tc>
          <w:tcPr>
            <w:tcW w:w="838" w:type="dxa"/>
            <w:noWrap/>
            <w:hideMark/>
          </w:tcPr>
          <w:p w14:paraId="40CAF3FF" w14:textId="77777777" w:rsidR="0058789F" w:rsidRPr="0074334F" w:rsidRDefault="0058789F" w:rsidP="00AD1066">
            <w:pPr>
              <w:pStyle w:val="TableBodyTextrightalign"/>
            </w:pPr>
            <w:r>
              <w:t>(169)</w:t>
            </w:r>
          </w:p>
        </w:tc>
      </w:tr>
      <w:tr w:rsidR="0058789F" w:rsidRPr="0074334F" w14:paraId="15F843DC" w14:textId="77777777" w:rsidTr="00AD1066">
        <w:trPr>
          <w:trHeight w:val="419"/>
        </w:trPr>
        <w:tc>
          <w:tcPr>
            <w:tcW w:w="2294" w:type="dxa"/>
            <w:noWrap/>
          </w:tcPr>
          <w:p w14:paraId="1321F11E" w14:textId="77777777" w:rsidR="0058789F" w:rsidRPr="0074334F" w:rsidRDefault="0058789F" w:rsidP="00AD1066">
            <w:pPr>
              <w:pStyle w:val="TableBodyText"/>
            </w:pPr>
            <w:r w:rsidRPr="0074334F">
              <w:t>Adjustment/</w:t>
            </w:r>
            <w:r>
              <w:t xml:space="preserve"> </w:t>
            </w:r>
            <w:r w:rsidRPr="0074334F">
              <w:t>reclassification</w:t>
            </w:r>
            <w:r w:rsidRPr="007211D6">
              <w:rPr>
                <w:rStyle w:val="Charactersuperscript"/>
              </w:rPr>
              <w:t>(a)</w:t>
            </w:r>
          </w:p>
        </w:tc>
        <w:tc>
          <w:tcPr>
            <w:tcW w:w="832" w:type="dxa"/>
            <w:shd w:val="clear" w:color="auto" w:fill="F2F2F2" w:themeFill="background1" w:themeFillShade="F2"/>
            <w:noWrap/>
          </w:tcPr>
          <w:p w14:paraId="182BB663" w14:textId="77777777" w:rsidR="0058789F" w:rsidRPr="0074334F" w:rsidRDefault="0058789F" w:rsidP="00AD1066">
            <w:pPr>
              <w:pStyle w:val="TableBodyTextrightalign"/>
            </w:pPr>
            <w:r w:rsidRPr="001B7A9E">
              <w:t>–</w:t>
            </w:r>
          </w:p>
        </w:tc>
        <w:tc>
          <w:tcPr>
            <w:tcW w:w="832" w:type="dxa"/>
            <w:noWrap/>
          </w:tcPr>
          <w:p w14:paraId="6000A710" w14:textId="77777777" w:rsidR="0058789F" w:rsidRPr="0074334F" w:rsidRDefault="0058789F" w:rsidP="00AD1066">
            <w:pPr>
              <w:pStyle w:val="TableBodyTextrightalign"/>
            </w:pPr>
            <w:r>
              <w:t>1,641</w:t>
            </w:r>
          </w:p>
        </w:tc>
        <w:tc>
          <w:tcPr>
            <w:tcW w:w="832" w:type="dxa"/>
            <w:shd w:val="clear" w:color="auto" w:fill="F2F2F2" w:themeFill="background1" w:themeFillShade="F2"/>
            <w:noWrap/>
          </w:tcPr>
          <w:p w14:paraId="14160C5F" w14:textId="77777777" w:rsidR="0058789F" w:rsidRPr="0080334F" w:rsidRDefault="0058789F" w:rsidP="00AD1066">
            <w:pPr>
              <w:pStyle w:val="TableBodyTextrightalign"/>
            </w:pPr>
            <w:r w:rsidRPr="000C2505">
              <w:t>–</w:t>
            </w:r>
          </w:p>
        </w:tc>
        <w:tc>
          <w:tcPr>
            <w:tcW w:w="833" w:type="dxa"/>
            <w:noWrap/>
          </w:tcPr>
          <w:p w14:paraId="2CE56025" w14:textId="77777777" w:rsidR="0058789F" w:rsidRPr="0074334F" w:rsidRDefault="0058789F" w:rsidP="00AD1066">
            <w:pPr>
              <w:pStyle w:val="TableBodyTextrightalign"/>
            </w:pPr>
            <w:r w:rsidRPr="0080334F">
              <w:t>–</w:t>
            </w:r>
          </w:p>
        </w:tc>
        <w:tc>
          <w:tcPr>
            <w:tcW w:w="833" w:type="dxa"/>
            <w:shd w:val="clear" w:color="auto" w:fill="F2F2F2" w:themeFill="background1" w:themeFillShade="F2"/>
            <w:noWrap/>
          </w:tcPr>
          <w:p w14:paraId="76A637CA" w14:textId="77777777" w:rsidR="0058789F" w:rsidRPr="0074334F" w:rsidRDefault="0058789F" w:rsidP="00AD1066">
            <w:pPr>
              <w:pStyle w:val="TableBodyTextrightalign"/>
            </w:pPr>
            <w:r w:rsidRPr="009F4CAB">
              <w:t>–</w:t>
            </w:r>
          </w:p>
        </w:tc>
        <w:tc>
          <w:tcPr>
            <w:tcW w:w="834" w:type="dxa"/>
            <w:noWrap/>
          </w:tcPr>
          <w:p w14:paraId="61B7441B"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4EBCA63C" w14:textId="77777777" w:rsidR="0058789F" w:rsidRPr="0074334F" w:rsidRDefault="0058789F" w:rsidP="00AD1066">
            <w:pPr>
              <w:pStyle w:val="TableBodyTextrightalign"/>
            </w:pPr>
            <w:r w:rsidRPr="00DD7805">
              <w:t>–</w:t>
            </w:r>
          </w:p>
        </w:tc>
        <w:tc>
          <w:tcPr>
            <w:tcW w:w="833" w:type="dxa"/>
            <w:noWrap/>
          </w:tcPr>
          <w:p w14:paraId="36423140"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24683BD8" w14:textId="77777777" w:rsidR="0058789F" w:rsidRPr="0074334F" w:rsidRDefault="0058789F" w:rsidP="00AD1066">
            <w:pPr>
              <w:pStyle w:val="TableBodyTextrightalign"/>
            </w:pPr>
            <w:r w:rsidRPr="008F4AC9">
              <w:t>–</w:t>
            </w:r>
          </w:p>
        </w:tc>
        <w:tc>
          <w:tcPr>
            <w:tcW w:w="833" w:type="dxa"/>
            <w:noWrap/>
          </w:tcPr>
          <w:p w14:paraId="4DCC8DE8"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3B6CDF37" w14:textId="77777777" w:rsidR="0058789F" w:rsidRPr="0074334F" w:rsidRDefault="0058789F" w:rsidP="00AD1066">
            <w:pPr>
              <w:pStyle w:val="TableBodyTextrightalign"/>
            </w:pPr>
            <w:r w:rsidRPr="00E9797B">
              <w:t>–</w:t>
            </w:r>
          </w:p>
        </w:tc>
        <w:tc>
          <w:tcPr>
            <w:tcW w:w="833" w:type="dxa"/>
            <w:noWrap/>
          </w:tcPr>
          <w:p w14:paraId="5ABC03F7"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79F10367" w14:textId="77777777" w:rsidR="0058789F" w:rsidRPr="0074334F" w:rsidRDefault="0058789F" w:rsidP="00AD1066">
            <w:pPr>
              <w:pStyle w:val="TableBodyTextrightalign"/>
            </w:pPr>
            <w:r w:rsidRPr="004D153A">
              <w:t>–</w:t>
            </w:r>
          </w:p>
        </w:tc>
        <w:tc>
          <w:tcPr>
            <w:tcW w:w="838" w:type="dxa"/>
            <w:noWrap/>
          </w:tcPr>
          <w:p w14:paraId="2E1C7D1B" w14:textId="77777777" w:rsidR="0058789F" w:rsidRPr="0074334F" w:rsidRDefault="0058789F" w:rsidP="00AD1066">
            <w:pPr>
              <w:pStyle w:val="TableBodyTextrightalign"/>
            </w:pPr>
            <w:r>
              <w:t>1,641</w:t>
            </w:r>
          </w:p>
        </w:tc>
      </w:tr>
      <w:tr w:rsidR="0058789F" w:rsidRPr="0074334F" w14:paraId="16CC3B90" w14:textId="77777777" w:rsidTr="00AD1066">
        <w:trPr>
          <w:trHeight w:val="610"/>
        </w:trPr>
        <w:tc>
          <w:tcPr>
            <w:tcW w:w="2294" w:type="dxa"/>
            <w:hideMark/>
          </w:tcPr>
          <w:p w14:paraId="70501A99" w14:textId="77777777" w:rsidR="0058789F" w:rsidRPr="0074334F" w:rsidRDefault="0058789F" w:rsidP="00AD1066">
            <w:pPr>
              <w:pStyle w:val="TableBodyText"/>
            </w:pPr>
            <w:r>
              <w:t>Capitalisation from capital work in progress</w:t>
            </w:r>
          </w:p>
        </w:tc>
        <w:tc>
          <w:tcPr>
            <w:tcW w:w="832" w:type="dxa"/>
            <w:shd w:val="clear" w:color="auto" w:fill="F2F2F2" w:themeFill="background1" w:themeFillShade="F2"/>
            <w:noWrap/>
          </w:tcPr>
          <w:p w14:paraId="4C194AF4" w14:textId="77777777" w:rsidR="0058789F" w:rsidRPr="0074334F" w:rsidRDefault="0058789F" w:rsidP="00AD1066">
            <w:pPr>
              <w:pStyle w:val="TableBodyTextrightalign"/>
            </w:pPr>
            <w:r w:rsidRPr="001B7A9E">
              <w:t>–</w:t>
            </w:r>
          </w:p>
        </w:tc>
        <w:tc>
          <w:tcPr>
            <w:tcW w:w="832" w:type="dxa"/>
            <w:noWrap/>
            <w:hideMark/>
          </w:tcPr>
          <w:p w14:paraId="015D57B9" w14:textId="77777777" w:rsidR="0058789F" w:rsidRPr="0074334F" w:rsidRDefault="0058789F" w:rsidP="00AD1066">
            <w:pPr>
              <w:pStyle w:val="TableBodyTextrightalign"/>
            </w:pPr>
            <w:r w:rsidRPr="000427F7">
              <w:t>–</w:t>
            </w:r>
          </w:p>
        </w:tc>
        <w:tc>
          <w:tcPr>
            <w:tcW w:w="832" w:type="dxa"/>
            <w:shd w:val="clear" w:color="auto" w:fill="F2F2F2" w:themeFill="background1" w:themeFillShade="F2"/>
            <w:noWrap/>
          </w:tcPr>
          <w:p w14:paraId="74FB08F4" w14:textId="77777777" w:rsidR="0058789F" w:rsidRPr="0080334F" w:rsidRDefault="0058789F" w:rsidP="00AD1066">
            <w:pPr>
              <w:pStyle w:val="TableBodyTextrightalign"/>
            </w:pPr>
            <w:r>
              <w:t>233</w:t>
            </w:r>
          </w:p>
        </w:tc>
        <w:tc>
          <w:tcPr>
            <w:tcW w:w="833" w:type="dxa"/>
            <w:noWrap/>
            <w:hideMark/>
          </w:tcPr>
          <w:p w14:paraId="5D93740C" w14:textId="77777777" w:rsidR="0058789F" w:rsidRPr="0074334F" w:rsidRDefault="0058789F" w:rsidP="00AD1066">
            <w:pPr>
              <w:pStyle w:val="TableBodyTextrightalign"/>
            </w:pPr>
            <w:r>
              <w:t>129</w:t>
            </w:r>
          </w:p>
        </w:tc>
        <w:tc>
          <w:tcPr>
            <w:tcW w:w="833" w:type="dxa"/>
            <w:shd w:val="clear" w:color="auto" w:fill="F2F2F2" w:themeFill="background1" w:themeFillShade="F2"/>
            <w:noWrap/>
          </w:tcPr>
          <w:p w14:paraId="7CD7DC07" w14:textId="77777777" w:rsidR="0058789F" w:rsidRPr="0074334F" w:rsidRDefault="0058789F" w:rsidP="00AD1066">
            <w:pPr>
              <w:pStyle w:val="TableBodyTextrightalign"/>
            </w:pPr>
            <w:r>
              <w:t>(1,970)</w:t>
            </w:r>
          </w:p>
        </w:tc>
        <w:tc>
          <w:tcPr>
            <w:tcW w:w="834" w:type="dxa"/>
            <w:noWrap/>
            <w:hideMark/>
          </w:tcPr>
          <w:p w14:paraId="0020F96D" w14:textId="77777777" w:rsidR="0058789F" w:rsidRPr="0074334F" w:rsidRDefault="0058789F" w:rsidP="00AD1066">
            <w:pPr>
              <w:pStyle w:val="TableBodyTextrightalign"/>
            </w:pPr>
            <w:r>
              <w:t>(1,357)</w:t>
            </w:r>
          </w:p>
        </w:tc>
        <w:tc>
          <w:tcPr>
            <w:tcW w:w="833" w:type="dxa"/>
            <w:shd w:val="clear" w:color="auto" w:fill="F2F2F2" w:themeFill="background1" w:themeFillShade="F2"/>
            <w:noWrap/>
          </w:tcPr>
          <w:p w14:paraId="0C0D67E6" w14:textId="77777777" w:rsidR="0058789F" w:rsidRPr="0074334F" w:rsidRDefault="0058789F" w:rsidP="00AD1066">
            <w:pPr>
              <w:pStyle w:val="TableBodyTextrightalign"/>
            </w:pPr>
            <w:r>
              <w:t>1,657</w:t>
            </w:r>
          </w:p>
        </w:tc>
        <w:tc>
          <w:tcPr>
            <w:tcW w:w="833" w:type="dxa"/>
            <w:noWrap/>
            <w:hideMark/>
          </w:tcPr>
          <w:p w14:paraId="795796DA" w14:textId="77777777" w:rsidR="0058789F" w:rsidRPr="0074334F" w:rsidRDefault="0058789F" w:rsidP="00AD1066">
            <w:pPr>
              <w:pStyle w:val="TableBodyTextrightalign"/>
            </w:pPr>
            <w:r>
              <w:t>1,192</w:t>
            </w:r>
          </w:p>
        </w:tc>
        <w:tc>
          <w:tcPr>
            <w:tcW w:w="833" w:type="dxa"/>
            <w:shd w:val="clear" w:color="auto" w:fill="F2F2F2" w:themeFill="background1" w:themeFillShade="F2"/>
            <w:noWrap/>
          </w:tcPr>
          <w:p w14:paraId="30432F89" w14:textId="77777777" w:rsidR="0058789F" w:rsidRPr="0074334F" w:rsidRDefault="0058789F" w:rsidP="00AD1066">
            <w:pPr>
              <w:pStyle w:val="TableBodyTextrightalign"/>
            </w:pPr>
            <w:r>
              <w:t>80</w:t>
            </w:r>
          </w:p>
        </w:tc>
        <w:tc>
          <w:tcPr>
            <w:tcW w:w="833" w:type="dxa"/>
            <w:noWrap/>
            <w:hideMark/>
          </w:tcPr>
          <w:p w14:paraId="1C835930" w14:textId="77777777" w:rsidR="0058789F" w:rsidRPr="0074334F" w:rsidRDefault="0058789F" w:rsidP="00AD1066">
            <w:pPr>
              <w:pStyle w:val="TableBodyTextrightalign"/>
            </w:pPr>
            <w:r>
              <w:t>36</w:t>
            </w:r>
          </w:p>
        </w:tc>
        <w:tc>
          <w:tcPr>
            <w:tcW w:w="833" w:type="dxa"/>
            <w:shd w:val="clear" w:color="auto" w:fill="F2F2F2" w:themeFill="background1" w:themeFillShade="F2"/>
            <w:noWrap/>
          </w:tcPr>
          <w:p w14:paraId="760145AD" w14:textId="77777777" w:rsidR="0058789F" w:rsidRPr="0074334F" w:rsidRDefault="0058789F" w:rsidP="00AD1066">
            <w:pPr>
              <w:pStyle w:val="TableBodyTextrightalign"/>
            </w:pPr>
            <w:r w:rsidRPr="00E9797B">
              <w:t>–</w:t>
            </w:r>
          </w:p>
        </w:tc>
        <w:tc>
          <w:tcPr>
            <w:tcW w:w="833" w:type="dxa"/>
            <w:noWrap/>
            <w:hideMark/>
          </w:tcPr>
          <w:p w14:paraId="29DAE361"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4D51B882" w14:textId="77777777" w:rsidR="0058789F" w:rsidRPr="0074334F" w:rsidRDefault="0058789F" w:rsidP="00AD1066">
            <w:pPr>
              <w:pStyle w:val="TableBodyTextrightalign"/>
            </w:pPr>
            <w:r w:rsidRPr="004D153A">
              <w:t>–</w:t>
            </w:r>
          </w:p>
        </w:tc>
        <w:tc>
          <w:tcPr>
            <w:tcW w:w="838" w:type="dxa"/>
            <w:noWrap/>
            <w:hideMark/>
          </w:tcPr>
          <w:p w14:paraId="53203CE0" w14:textId="77777777" w:rsidR="0058789F" w:rsidRPr="0074334F" w:rsidRDefault="0058789F" w:rsidP="00AD1066">
            <w:pPr>
              <w:pStyle w:val="TableBodyTextrightalign"/>
            </w:pPr>
            <w:r>
              <w:t>–</w:t>
            </w:r>
          </w:p>
        </w:tc>
      </w:tr>
      <w:tr w:rsidR="0058789F" w:rsidRPr="0074334F" w14:paraId="794A0B6C" w14:textId="77777777" w:rsidTr="00AD1066">
        <w:trPr>
          <w:trHeight w:val="419"/>
        </w:trPr>
        <w:tc>
          <w:tcPr>
            <w:tcW w:w="2294" w:type="dxa"/>
            <w:noWrap/>
            <w:hideMark/>
          </w:tcPr>
          <w:p w14:paraId="3415C327" w14:textId="77777777" w:rsidR="0058789F" w:rsidRPr="0074334F" w:rsidRDefault="0058789F" w:rsidP="00AD1066">
            <w:pPr>
              <w:pStyle w:val="TableBodyText"/>
            </w:pPr>
            <w:r w:rsidRPr="0074334F">
              <w:t>Depreciation</w:t>
            </w:r>
          </w:p>
        </w:tc>
        <w:tc>
          <w:tcPr>
            <w:tcW w:w="832" w:type="dxa"/>
            <w:shd w:val="clear" w:color="auto" w:fill="F2F2F2" w:themeFill="background1" w:themeFillShade="F2"/>
            <w:noWrap/>
          </w:tcPr>
          <w:p w14:paraId="41EC7FB7" w14:textId="77777777" w:rsidR="0058789F" w:rsidRPr="0074334F" w:rsidRDefault="0058789F" w:rsidP="00AD1066">
            <w:pPr>
              <w:pStyle w:val="TableBodyTextrightalign"/>
            </w:pPr>
            <w:r>
              <w:t>(2,918)</w:t>
            </w:r>
          </w:p>
        </w:tc>
        <w:tc>
          <w:tcPr>
            <w:tcW w:w="832" w:type="dxa"/>
            <w:noWrap/>
            <w:hideMark/>
          </w:tcPr>
          <w:p w14:paraId="28EC7370" w14:textId="77777777" w:rsidR="0058789F" w:rsidRPr="0074334F" w:rsidRDefault="0058789F" w:rsidP="00AD1066">
            <w:pPr>
              <w:pStyle w:val="TableBodyTextrightalign"/>
            </w:pPr>
            <w:r>
              <w:t>(3,418)</w:t>
            </w:r>
          </w:p>
        </w:tc>
        <w:tc>
          <w:tcPr>
            <w:tcW w:w="832" w:type="dxa"/>
            <w:shd w:val="clear" w:color="auto" w:fill="F2F2F2" w:themeFill="background1" w:themeFillShade="F2"/>
            <w:noWrap/>
          </w:tcPr>
          <w:p w14:paraId="12154F01" w14:textId="77777777" w:rsidR="0058789F" w:rsidRPr="0080334F" w:rsidRDefault="0058789F" w:rsidP="00AD1066">
            <w:pPr>
              <w:pStyle w:val="TableBodyTextrightalign"/>
            </w:pPr>
            <w:r>
              <w:t>(368)</w:t>
            </w:r>
          </w:p>
        </w:tc>
        <w:tc>
          <w:tcPr>
            <w:tcW w:w="833" w:type="dxa"/>
            <w:noWrap/>
            <w:hideMark/>
          </w:tcPr>
          <w:p w14:paraId="56849F7F" w14:textId="77777777" w:rsidR="0058789F" w:rsidRPr="0074334F" w:rsidRDefault="0058789F" w:rsidP="00AD1066">
            <w:pPr>
              <w:pStyle w:val="TableBodyTextrightalign"/>
            </w:pPr>
            <w:r w:rsidRPr="0080334F">
              <w:t>(285)</w:t>
            </w:r>
          </w:p>
        </w:tc>
        <w:tc>
          <w:tcPr>
            <w:tcW w:w="833" w:type="dxa"/>
            <w:shd w:val="clear" w:color="auto" w:fill="F2F2F2" w:themeFill="background1" w:themeFillShade="F2"/>
            <w:noWrap/>
          </w:tcPr>
          <w:p w14:paraId="38E7A593" w14:textId="77777777" w:rsidR="0058789F" w:rsidRPr="0074334F" w:rsidRDefault="0058789F" w:rsidP="00AD1066">
            <w:pPr>
              <w:pStyle w:val="TableBodyTextrightalign"/>
            </w:pPr>
            <w:r>
              <w:t>-</w:t>
            </w:r>
          </w:p>
        </w:tc>
        <w:tc>
          <w:tcPr>
            <w:tcW w:w="834" w:type="dxa"/>
            <w:noWrap/>
            <w:hideMark/>
          </w:tcPr>
          <w:p w14:paraId="29C7DB76"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733AF649" w14:textId="77777777" w:rsidR="0058789F" w:rsidRPr="0074334F" w:rsidRDefault="0058789F" w:rsidP="00AD1066">
            <w:pPr>
              <w:pStyle w:val="TableBodyTextrightalign"/>
            </w:pPr>
            <w:r>
              <w:t>(696)</w:t>
            </w:r>
          </w:p>
        </w:tc>
        <w:tc>
          <w:tcPr>
            <w:tcW w:w="833" w:type="dxa"/>
            <w:noWrap/>
            <w:hideMark/>
          </w:tcPr>
          <w:p w14:paraId="3807461B" w14:textId="77777777" w:rsidR="0058789F" w:rsidRPr="0074334F" w:rsidRDefault="0058789F" w:rsidP="00AD1066">
            <w:pPr>
              <w:pStyle w:val="TableBodyTextrightalign"/>
            </w:pPr>
            <w:r>
              <w:t>(661)</w:t>
            </w:r>
          </w:p>
        </w:tc>
        <w:tc>
          <w:tcPr>
            <w:tcW w:w="833" w:type="dxa"/>
            <w:shd w:val="clear" w:color="auto" w:fill="F2F2F2" w:themeFill="background1" w:themeFillShade="F2"/>
            <w:noWrap/>
          </w:tcPr>
          <w:p w14:paraId="0A194FC1" w14:textId="77777777" w:rsidR="0058789F" w:rsidRPr="0074334F" w:rsidRDefault="0058789F" w:rsidP="00AD1066">
            <w:pPr>
              <w:pStyle w:val="TableBodyTextrightalign"/>
            </w:pPr>
            <w:r>
              <w:t>(120)</w:t>
            </w:r>
          </w:p>
        </w:tc>
        <w:tc>
          <w:tcPr>
            <w:tcW w:w="833" w:type="dxa"/>
            <w:noWrap/>
            <w:hideMark/>
          </w:tcPr>
          <w:p w14:paraId="08155FB5" w14:textId="77777777" w:rsidR="0058789F" w:rsidRPr="0074334F" w:rsidRDefault="0058789F" w:rsidP="00AD1066">
            <w:pPr>
              <w:pStyle w:val="TableBodyTextrightalign"/>
            </w:pPr>
            <w:r>
              <w:t>(188)</w:t>
            </w:r>
          </w:p>
        </w:tc>
        <w:tc>
          <w:tcPr>
            <w:tcW w:w="833" w:type="dxa"/>
            <w:shd w:val="clear" w:color="auto" w:fill="F2F2F2" w:themeFill="background1" w:themeFillShade="F2"/>
            <w:noWrap/>
          </w:tcPr>
          <w:p w14:paraId="370545E5" w14:textId="77777777" w:rsidR="0058789F" w:rsidRPr="0074334F" w:rsidRDefault="0058789F" w:rsidP="00AD1066">
            <w:pPr>
              <w:pStyle w:val="TableBodyTextrightalign"/>
            </w:pPr>
            <w:r>
              <w:t>(263)</w:t>
            </w:r>
          </w:p>
        </w:tc>
        <w:tc>
          <w:tcPr>
            <w:tcW w:w="833" w:type="dxa"/>
            <w:noWrap/>
            <w:hideMark/>
          </w:tcPr>
          <w:p w14:paraId="6057434C" w14:textId="77777777" w:rsidR="0058789F" w:rsidRPr="0074334F" w:rsidRDefault="0058789F" w:rsidP="00AD1066">
            <w:pPr>
              <w:pStyle w:val="TableBodyTextrightalign"/>
            </w:pPr>
            <w:r>
              <w:t>(280)</w:t>
            </w:r>
          </w:p>
        </w:tc>
        <w:tc>
          <w:tcPr>
            <w:tcW w:w="833" w:type="dxa"/>
            <w:shd w:val="clear" w:color="auto" w:fill="F2F2F2" w:themeFill="background1" w:themeFillShade="F2"/>
            <w:noWrap/>
          </w:tcPr>
          <w:p w14:paraId="0EBDA409" w14:textId="77777777" w:rsidR="0058789F" w:rsidRPr="0074334F" w:rsidRDefault="0058789F" w:rsidP="00AD1066">
            <w:pPr>
              <w:pStyle w:val="TableBodyTextrightalign"/>
            </w:pPr>
            <w:r>
              <w:t>(4,366)</w:t>
            </w:r>
          </w:p>
        </w:tc>
        <w:tc>
          <w:tcPr>
            <w:tcW w:w="838" w:type="dxa"/>
            <w:noWrap/>
            <w:hideMark/>
          </w:tcPr>
          <w:p w14:paraId="1C4AB68D" w14:textId="77777777" w:rsidR="0058789F" w:rsidRPr="0074334F" w:rsidRDefault="0058789F" w:rsidP="00AD1066">
            <w:pPr>
              <w:pStyle w:val="TableBodyTextrightalign"/>
            </w:pPr>
            <w:r>
              <w:t>(4,832)</w:t>
            </w:r>
          </w:p>
        </w:tc>
      </w:tr>
      <w:tr w:rsidR="0058789F" w:rsidRPr="0074334F" w14:paraId="109F97C5" w14:textId="77777777" w:rsidTr="00AD1066">
        <w:trPr>
          <w:trHeight w:val="419"/>
        </w:trPr>
        <w:tc>
          <w:tcPr>
            <w:tcW w:w="2294" w:type="dxa"/>
            <w:noWrap/>
            <w:hideMark/>
          </w:tcPr>
          <w:p w14:paraId="28A52406" w14:textId="77777777" w:rsidR="0058789F" w:rsidRPr="0074334F" w:rsidRDefault="0058789F" w:rsidP="00AD1066">
            <w:pPr>
              <w:pStyle w:val="TableBodyText"/>
            </w:pPr>
            <w:r w:rsidRPr="0074334F">
              <w:t>Transfers to asset held for sale</w:t>
            </w:r>
          </w:p>
        </w:tc>
        <w:tc>
          <w:tcPr>
            <w:tcW w:w="832" w:type="dxa"/>
            <w:shd w:val="clear" w:color="auto" w:fill="F2F2F2" w:themeFill="background1" w:themeFillShade="F2"/>
            <w:noWrap/>
          </w:tcPr>
          <w:p w14:paraId="6263C255" w14:textId="77777777" w:rsidR="0058789F" w:rsidRPr="0074334F" w:rsidRDefault="0058789F" w:rsidP="00AD1066">
            <w:pPr>
              <w:pStyle w:val="TableBodyTextrightalign"/>
            </w:pPr>
            <w:r>
              <w:t>–</w:t>
            </w:r>
          </w:p>
        </w:tc>
        <w:tc>
          <w:tcPr>
            <w:tcW w:w="832" w:type="dxa"/>
            <w:noWrap/>
            <w:hideMark/>
          </w:tcPr>
          <w:p w14:paraId="28233403" w14:textId="77777777" w:rsidR="0058789F" w:rsidRPr="0074334F" w:rsidRDefault="0058789F" w:rsidP="00AD1066">
            <w:pPr>
              <w:pStyle w:val="TableBodyTextrightalign"/>
            </w:pPr>
            <w:r w:rsidRPr="000427F7">
              <w:t>–</w:t>
            </w:r>
          </w:p>
        </w:tc>
        <w:tc>
          <w:tcPr>
            <w:tcW w:w="832" w:type="dxa"/>
            <w:shd w:val="clear" w:color="auto" w:fill="F2F2F2" w:themeFill="background1" w:themeFillShade="F2"/>
            <w:noWrap/>
          </w:tcPr>
          <w:p w14:paraId="698F179A" w14:textId="77777777" w:rsidR="0058789F" w:rsidRPr="0080334F" w:rsidRDefault="0058789F" w:rsidP="00AD1066">
            <w:pPr>
              <w:pStyle w:val="TableBodyTextrightalign"/>
            </w:pPr>
            <w:r>
              <w:t>–</w:t>
            </w:r>
          </w:p>
        </w:tc>
        <w:tc>
          <w:tcPr>
            <w:tcW w:w="833" w:type="dxa"/>
            <w:noWrap/>
            <w:hideMark/>
          </w:tcPr>
          <w:p w14:paraId="318957D9" w14:textId="77777777" w:rsidR="0058789F" w:rsidRPr="0074334F" w:rsidRDefault="0058789F" w:rsidP="00AD1066">
            <w:pPr>
              <w:pStyle w:val="TableBodyTextrightalign"/>
            </w:pPr>
            <w:r w:rsidRPr="0080334F">
              <w:t>–</w:t>
            </w:r>
          </w:p>
        </w:tc>
        <w:tc>
          <w:tcPr>
            <w:tcW w:w="833" w:type="dxa"/>
            <w:shd w:val="clear" w:color="auto" w:fill="F2F2F2" w:themeFill="background1" w:themeFillShade="F2"/>
            <w:noWrap/>
          </w:tcPr>
          <w:p w14:paraId="7CFBDEB2" w14:textId="77777777" w:rsidR="0058789F" w:rsidRPr="0074334F" w:rsidRDefault="0058789F" w:rsidP="00AD1066">
            <w:pPr>
              <w:pStyle w:val="TableBodyTextrightalign"/>
            </w:pPr>
            <w:r>
              <w:t>–</w:t>
            </w:r>
          </w:p>
        </w:tc>
        <w:tc>
          <w:tcPr>
            <w:tcW w:w="834" w:type="dxa"/>
            <w:noWrap/>
            <w:hideMark/>
          </w:tcPr>
          <w:p w14:paraId="659B3BB6"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0F4EA86F" w14:textId="77777777" w:rsidR="0058789F" w:rsidRPr="0074334F" w:rsidRDefault="0058789F" w:rsidP="00AD1066">
            <w:pPr>
              <w:pStyle w:val="TableBodyTextrightalign"/>
            </w:pPr>
            <w:r>
              <w:t>–</w:t>
            </w:r>
          </w:p>
        </w:tc>
        <w:tc>
          <w:tcPr>
            <w:tcW w:w="833" w:type="dxa"/>
            <w:noWrap/>
            <w:hideMark/>
          </w:tcPr>
          <w:p w14:paraId="57A072B4"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415D4F10" w14:textId="77777777" w:rsidR="0058789F" w:rsidRPr="0074334F" w:rsidRDefault="0058789F" w:rsidP="00AD1066">
            <w:pPr>
              <w:pStyle w:val="TableBodyTextrightalign"/>
            </w:pPr>
            <w:r>
              <w:t>–</w:t>
            </w:r>
          </w:p>
        </w:tc>
        <w:tc>
          <w:tcPr>
            <w:tcW w:w="833" w:type="dxa"/>
            <w:noWrap/>
            <w:hideMark/>
          </w:tcPr>
          <w:p w14:paraId="33AEF354" w14:textId="77777777" w:rsidR="0058789F" w:rsidRPr="0074334F" w:rsidRDefault="0058789F" w:rsidP="00AD1066">
            <w:pPr>
              <w:pStyle w:val="TableBodyTextrightalign"/>
            </w:pPr>
            <w:r w:rsidRPr="000427F7">
              <w:t>–</w:t>
            </w:r>
          </w:p>
        </w:tc>
        <w:tc>
          <w:tcPr>
            <w:tcW w:w="833" w:type="dxa"/>
            <w:shd w:val="clear" w:color="auto" w:fill="F2F2F2" w:themeFill="background1" w:themeFillShade="F2"/>
            <w:noWrap/>
          </w:tcPr>
          <w:p w14:paraId="59B9A12D" w14:textId="77777777" w:rsidR="0058789F" w:rsidRPr="0074334F" w:rsidRDefault="0058789F" w:rsidP="00AD1066">
            <w:pPr>
              <w:pStyle w:val="TableBodyTextrightalign"/>
            </w:pPr>
            <w:r>
              <w:t>(60)</w:t>
            </w:r>
          </w:p>
        </w:tc>
        <w:tc>
          <w:tcPr>
            <w:tcW w:w="833" w:type="dxa"/>
            <w:noWrap/>
            <w:hideMark/>
          </w:tcPr>
          <w:p w14:paraId="41691603" w14:textId="77777777" w:rsidR="0058789F" w:rsidRPr="0074334F" w:rsidRDefault="0058789F" w:rsidP="00AD1066">
            <w:pPr>
              <w:pStyle w:val="TableBodyTextrightalign"/>
            </w:pPr>
            <w:r>
              <w:t>(17)</w:t>
            </w:r>
          </w:p>
        </w:tc>
        <w:tc>
          <w:tcPr>
            <w:tcW w:w="833" w:type="dxa"/>
            <w:shd w:val="clear" w:color="auto" w:fill="F2F2F2" w:themeFill="background1" w:themeFillShade="F2"/>
            <w:noWrap/>
          </w:tcPr>
          <w:p w14:paraId="777E42AF" w14:textId="77777777" w:rsidR="0058789F" w:rsidRPr="0074334F" w:rsidRDefault="0058789F" w:rsidP="00AD1066">
            <w:pPr>
              <w:pStyle w:val="TableBodyTextrightalign"/>
            </w:pPr>
            <w:r>
              <w:t>(60)</w:t>
            </w:r>
          </w:p>
        </w:tc>
        <w:tc>
          <w:tcPr>
            <w:tcW w:w="838" w:type="dxa"/>
            <w:noWrap/>
            <w:hideMark/>
          </w:tcPr>
          <w:p w14:paraId="41D12C5C" w14:textId="77777777" w:rsidR="0058789F" w:rsidRPr="0074334F" w:rsidRDefault="0058789F" w:rsidP="00AD1066">
            <w:pPr>
              <w:pStyle w:val="TableBodyTextrightalign"/>
            </w:pPr>
            <w:r>
              <w:t>(17)</w:t>
            </w:r>
          </w:p>
        </w:tc>
      </w:tr>
      <w:tr w:rsidR="0058789F" w:rsidRPr="0074334F" w14:paraId="4ECE9C47" w14:textId="77777777" w:rsidTr="00AD1066">
        <w:trPr>
          <w:cnfStyle w:val="010000000000" w:firstRow="0" w:lastRow="1" w:firstColumn="0" w:lastColumn="0" w:oddVBand="0" w:evenVBand="0" w:oddHBand="0" w:evenHBand="0" w:firstRowFirstColumn="0" w:firstRowLastColumn="0" w:lastRowFirstColumn="0" w:lastRowLastColumn="0"/>
          <w:trHeight w:val="213"/>
        </w:trPr>
        <w:tc>
          <w:tcPr>
            <w:tcW w:w="2294" w:type="dxa"/>
            <w:noWrap/>
            <w:hideMark/>
          </w:tcPr>
          <w:p w14:paraId="558E2BF1" w14:textId="77777777" w:rsidR="0058789F" w:rsidRPr="0074334F" w:rsidRDefault="0058789F" w:rsidP="00AD1066">
            <w:pPr>
              <w:pStyle w:val="TableBodyText"/>
            </w:pPr>
            <w:r w:rsidRPr="0074334F">
              <w:t>Closing balance</w:t>
            </w:r>
          </w:p>
        </w:tc>
        <w:tc>
          <w:tcPr>
            <w:tcW w:w="832" w:type="dxa"/>
            <w:shd w:val="clear" w:color="auto" w:fill="F2F2F2" w:themeFill="background1" w:themeFillShade="F2"/>
            <w:noWrap/>
          </w:tcPr>
          <w:p w14:paraId="4A38B26A" w14:textId="77777777" w:rsidR="0058789F" w:rsidRPr="0074334F" w:rsidRDefault="0058789F" w:rsidP="00AD1066">
            <w:pPr>
              <w:pStyle w:val="TableBodyTextrightalign"/>
            </w:pPr>
            <w:r>
              <w:t>6,650</w:t>
            </w:r>
          </w:p>
        </w:tc>
        <w:tc>
          <w:tcPr>
            <w:tcW w:w="832" w:type="dxa"/>
            <w:noWrap/>
            <w:hideMark/>
          </w:tcPr>
          <w:p w14:paraId="7C215BA1" w14:textId="77777777" w:rsidR="0058789F" w:rsidRPr="0074334F" w:rsidRDefault="0058789F" w:rsidP="00AD1066">
            <w:pPr>
              <w:pStyle w:val="TableBodyTextrightalign"/>
            </w:pPr>
            <w:r>
              <w:t>9,569</w:t>
            </w:r>
          </w:p>
        </w:tc>
        <w:tc>
          <w:tcPr>
            <w:tcW w:w="832" w:type="dxa"/>
            <w:shd w:val="clear" w:color="auto" w:fill="F2F2F2" w:themeFill="background1" w:themeFillShade="F2"/>
            <w:noWrap/>
          </w:tcPr>
          <w:p w14:paraId="26C52880" w14:textId="77777777" w:rsidR="0058789F" w:rsidRPr="0080334F" w:rsidRDefault="0058789F" w:rsidP="00AD1066">
            <w:pPr>
              <w:pStyle w:val="TableBodyTextrightalign"/>
            </w:pPr>
            <w:r>
              <w:t>999</w:t>
            </w:r>
          </w:p>
        </w:tc>
        <w:tc>
          <w:tcPr>
            <w:tcW w:w="833" w:type="dxa"/>
            <w:noWrap/>
            <w:hideMark/>
          </w:tcPr>
          <w:p w14:paraId="74AF7776" w14:textId="77777777" w:rsidR="0058789F" w:rsidRPr="0074334F" w:rsidRDefault="0058789F" w:rsidP="00AD1066">
            <w:pPr>
              <w:pStyle w:val="TableBodyTextrightalign"/>
            </w:pPr>
            <w:r w:rsidRPr="0080334F">
              <w:t>1,133</w:t>
            </w:r>
          </w:p>
        </w:tc>
        <w:tc>
          <w:tcPr>
            <w:tcW w:w="833" w:type="dxa"/>
            <w:shd w:val="clear" w:color="auto" w:fill="F2F2F2" w:themeFill="background1" w:themeFillShade="F2"/>
            <w:noWrap/>
          </w:tcPr>
          <w:p w14:paraId="0A86D638" w14:textId="77777777" w:rsidR="0058789F" w:rsidRPr="0074334F" w:rsidRDefault="0058789F" w:rsidP="00AD1066">
            <w:pPr>
              <w:pStyle w:val="TableBodyTextrightalign"/>
            </w:pPr>
            <w:r>
              <w:t>84</w:t>
            </w:r>
          </w:p>
        </w:tc>
        <w:tc>
          <w:tcPr>
            <w:tcW w:w="834" w:type="dxa"/>
            <w:noWrap/>
            <w:hideMark/>
          </w:tcPr>
          <w:p w14:paraId="71D4C8A1" w14:textId="77777777" w:rsidR="0058789F" w:rsidRPr="0074334F" w:rsidRDefault="0058789F" w:rsidP="00AD1066">
            <w:pPr>
              <w:pStyle w:val="TableBodyTextrightalign"/>
            </w:pPr>
            <w:r>
              <w:t>373</w:t>
            </w:r>
          </w:p>
        </w:tc>
        <w:tc>
          <w:tcPr>
            <w:tcW w:w="833" w:type="dxa"/>
            <w:shd w:val="clear" w:color="auto" w:fill="F2F2F2" w:themeFill="background1" w:themeFillShade="F2"/>
            <w:noWrap/>
          </w:tcPr>
          <w:p w14:paraId="0B21C1BA" w14:textId="77777777" w:rsidR="0058789F" w:rsidRPr="0074334F" w:rsidRDefault="0058789F" w:rsidP="00AD1066">
            <w:pPr>
              <w:pStyle w:val="TableBodyTextrightalign"/>
            </w:pPr>
            <w:r>
              <w:t>2,930</w:t>
            </w:r>
          </w:p>
        </w:tc>
        <w:tc>
          <w:tcPr>
            <w:tcW w:w="833" w:type="dxa"/>
            <w:noWrap/>
            <w:hideMark/>
          </w:tcPr>
          <w:p w14:paraId="2911AC27" w14:textId="77777777" w:rsidR="0058789F" w:rsidRPr="0074334F" w:rsidRDefault="0058789F" w:rsidP="00AD1066">
            <w:pPr>
              <w:pStyle w:val="TableBodyTextrightalign"/>
            </w:pPr>
            <w:r>
              <w:t>1,968</w:t>
            </w:r>
          </w:p>
        </w:tc>
        <w:tc>
          <w:tcPr>
            <w:tcW w:w="833" w:type="dxa"/>
            <w:shd w:val="clear" w:color="auto" w:fill="F2F2F2" w:themeFill="background1" w:themeFillShade="F2"/>
            <w:noWrap/>
          </w:tcPr>
          <w:p w14:paraId="260614C2" w14:textId="77777777" w:rsidR="0058789F" w:rsidRPr="0074334F" w:rsidRDefault="0058789F" w:rsidP="00AD1066">
            <w:pPr>
              <w:pStyle w:val="TableBodyTextrightalign"/>
            </w:pPr>
            <w:r>
              <w:t>228</w:t>
            </w:r>
          </w:p>
        </w:tc>
        <w:tc>
          <w:tcPr>
            <w:tcW w:w="833" w:type="dxa"/>
            <w:noWrap/>
            <w:hideMark/>
          </w:tcPr>
          <w:p w14:paraId="52571FFB" w14:textId="77777777" w:rsidR="0058789F" w:rsidRPr="0074334F" w:rsidRDefault="0058789F" w:rsidP="00AD1066">
            <w:pPr>
              <w:pStyle w:val="TableBodyTextrightalign"/>
            </w:pPr>
            <w:r>
              <w:t>271</w:t>
            </w:r>
          </w:p>
        </w:tc>
        <w:tc>
          <w:tcPr>
            <w:tcW w:w="833" w:type="dxa"/>
            <w:shd w:val="clear" w:color="auto" w:fill="F2F2F2" w:themeFill="background1" w:themeFillShade="F2"/>
            <w:noWrap/>
          </w:tcPr>
          <w:p w14:paraId="7372C14A" w14:textId="77777777" w:rsidR="0058789F" w:rsidRPr="0074334F" w:rsidRDefault="0058789F" w:rsidP="00AD1066">
            <w:pPr>
              <w:pStyle w:val="TableBodyTextrightalign"/>
            </w:pPr>
            <w:r>
              <w:t>1,262</w:t>
            </w:r>
          </w:p>
        </w:tc>
        <w:tc>
          <w:tcPr>
            <w:tcW w:w="833" w:type="dxa"/>
            <w:noWrap/>
            <w:hideMark/>
          </w:tcPr>
          <w:p w14:paraId="146E1D4F" w14:textId="77777777" w:rsidR="0058789F" w:rsidRPr="0074334F" w:rsidRDefault="0058789F" w:rsidP="00AD1066">
            <w:pPr>
              <w:pStyle w:val="TableBodyTextrightalign"/>
            </w:pPr>
            <w:r>
              <w:t>1,274</w:t>
            </w:r>
          </w:p>
        </w:tc>
        <w:tc>
          <w:tcPr>
            <w:tcW w:w="833" w:type="dxa"/>
            <w:shd w:val="clear" w:color="auto" w:fill="F2F2F2" w:themeFill="background1" w:themeFillShade="F2"/>
            <w:noWrap/>
          </w:tcPr>
          <w:p w14:paraId="5F67290D" w14:textId="77777777" w:rsidR="0058789F" w:rsidRPr="0074334F" w:rsidRDefault="0058789F" w:rsidP="00AD1066">
            <w:pPr>
              <w:pStyle w:val="TableBodyTextrightalign"/>
            </w:pPr>
            <w:r>
              <w:t>12,152</w:t>
            </w:r>
          </w:p>
        </w:tc>
        <w:tc>
          <w:tcPr>
            <w:tcW w:w="838" w:type="dxa"/>
            <w:noWrap/>
            <w:hideMark/>
          </w:tcPr>
          <w:p w14:paraId="139ED142" w14:textId="77777777" w:rsidR="0058789F" w:rsidRPr="0074334F" w:rsidRDefault="0058789F" w:rsidP="00AD1066">
            <w:pPr>
              <w:pStyle w:val="TableBodyTextrightalign"/>
            </w:pPr>
            <w:r>
              <w:t>14,586</w:t>
            </w:r>
          </w:p>
        </w:tc>
      </w:tr>
    </w:tbl>
    <w:p w14:paraId="674E3EAF" w14:textId="4F443F7C" w:rsidR="0058789F" w:rsidRPr="00DE7357" w:rsidRDefault="00465B9C" w:rsidP="0058789F">
      <w:pPr>
        <w:pStyle w:val="TableNote"/>
      </w:pPr>
      <w:r>
        <w:t>Notes</w:t>
      </w:r>
    </w:p>
    <w:p w14:paraId="3FC7B92F" w14:textId="77777777" w:rsidR="0058789F" w:rsidRDefault="0058789F" w:rsidP="0058789F">
      <w:pPr>
        <w:pStyle w:val="TableNote"/>
      </w:pPr>
      <w:r w:rsidRPr="007E3C19">
        <w:rPr>
          <w:rStyle w:val="Charactersuperscript"/>
        </w:rPr>
        <w:t xml:space="preserve">(a)  </w:t>
      </w:r>
      <w:r>
        <w:t xml:space="preserve">During 2021/22, the building right-of-use assets were adjusted as the result of rent review. The equivalent amount has been adjusted in lease liability. </w:t>
      </w:r>
    </w:p>
    <w:p w14:paraId="6C181258" w14:textId="77777777" w:rsidR="0058789F" w:rsidRDefault="0058789F" w:rsidP="0058789F">
      <w:pPr>
        <w:pStyle w:val="BodyText"/>
        <w:rPr>
          <w:lang w:eastAsia="en-GB"/>
        </w:rPr>
        <w:sectPr w:rsidR="0058789F" w:rsidSect="00BB045B">
          <w:headerReference w:type="even" r:id="rId63"/>
          <w:headerReference w:type="default" r:id="rId64"/>
          <w:headerReference w:type="first" r:id="rId65"/>
          <w:pgSz w:w="16839" w:h="11907" w:orient="landscape" w:code="9"/>
          <w:pgMar w:top="1440" w:right="1440" w:bottom="1440" w:left="1440" w:header="720" w:footer="720" w:gutter="0"/>
          <w:cols w:space="720"/>
          <w:docGrid w:linePitch="360"/>
        </w:sectPr>
      </w:pPr>
    </w:p>
    <w:p w14:paraId="65B0E0B7" w14:textId="346DBAB7" w:rsidR="0058789F" w:rsidRDefault="0058789F" w:rsidP="0058789F">
      <w:pPr>
        <w:pStyle w:val="NotesHeading2"/>
      </w:pPr>
      <w:bookmarkStart w:id="180" w:name="_Ref82072544"/>
      <w:r w:rsidRPr="00FD4E9B">
        <w:t>Intangible assets</w:t>
      </w:r>
      <w:bookmarkEnd w:id="180"/>
    </w:p>
    <w:tbl>
      <w:tblPr>
        <w:tblStyle w:val="CustomTabledetailed"/>
        <w:tblW w:w="0" w:type="auto"/>
        <w:tblLook w:val="0620" w:firstRow="1" w:lastRow="0" w:firstColumn="0" w:lastColumn="0" w:noHBand="1" w:noVBand="1"/>
      </w:tblPr>
      <w:tblGrid>
        <w:gridCol w:w="3391"/>
        <w:gridCol w:w="939"/>
        <w:gridCol w:w="939"/>
        <w:gridCol w:w="940"/>
        <w:gridCol w:w="939"/>
        <w:gridCol w:w="939"/>
        <w:gridCol w:w="940"/>
      </w:tblGrid>
      <w:tr w:rsidR="0058789F" w:rsidRPr="007C70BE" w14:paraId="48C164A5" w14:textId="77777777" w:rsidTr="00AD1066">
        <w:trPr>
          <w:cnfStyle w:val="100000000000" w:firstRow="1" w:lastRow="0" w:firstColumn="0" w:lastColumn="0" w:oddVBand="0" w:evenVBand="0" w:oddHBand="0" w:evenHBand="0" w:firstRowFirstColumn="0" w:firstRowLastColumn="0" w:lastRowFirstColumn="0" w:lastRowLastColumn="0"/>
          <w:trHeight w:val="555"/>
        </w:trPr>
        <w:tc>
          <w:tcPr>
            <w:tcW w:w="0" w:type="auto"/>
            <w:noWrap/>
            <w:hideMark/>
          </w:tcPr>
          <w:p w14:paraId="4DA9C8A3" w14:textId="77777777" w:rsidR="0058789F" w:rsidRPr="007C70BE" w:rsidRDefault="0058789F" w:rsidP="00AD1066">
            <w:pPr>
              <w:pStyle w:val="TableBodyText"/>
            </w:pPr>
          </w:p>
        </w:tc>
        <w:tc>
          <w:tcPr>
            <w:tcW w:w="1878" w:type="dxa"/>
            <w:gridSpan w:val="2"/>
            <w:vAlign w:val="top"/>
            <w:hideMark/>
          </w:tcPr>
          <w:p w14:paraId="0582EE3C" w14:textId="77777777" w:rsidR="0058789F" w:rsidRPr="007C70BE" w:rsidRDefault="0058789F" w:rsidP="00AD1066">
            <w:pPr>
              <w:pStyle w:val="TableHeading1"/>
            </w:pPr>
            <w:r w:rsidRPr="007C70BE">
              <w:t xml:space="preserve">Intangible </w:t>
            </w:r>
            <w:r>
              <w:t>a</w:t>
            </w:r>
            <w:r w:rsidRPr="007C70BE">
              <w:t>ssets</w:t>
            </w:r>
          </w:p>
        </w:tc>
        <w:tc>
          <w:tcPr>
            <w:tcW w:w="1879" w:type="dxa"/>
            <w:gridSpan w:val="2"/>
            <w:vAlign w:val="top"/>
            <w:hideMark/>
          </w:tcPr>
          <w:p w14:paraId="0AFA1F2F" w14:textId="20136E35" w:rsidR="0058789F" w:rsidRPr="007C70BE" w:rsidRDefault="0058789F" w:rsidP="00AD1066">
            <w:pPr>
              <w:pStyle w:val="TableHeading1"/>
            </w:pPr>
            <w:r>
              <w:t xml:space="preserve">Capital </w:t>
            </w:r>
            <w:r w:rsidR="003607FF">
              <w:t>w</w:t>
            </w:r>
            <w:r>
              <w:t xml:space="preserve">ork in </w:t>
            </w:r>
            <w:r w:rsidR="003607FF">
              <w:t>p</w:t>
            </w:r>
            <w:r>
              <w:t>rogress</w:t>
            </w:r>
            <w:r w:rsidRPr="007C70BE">
              <w:t xml:space="preserve"> at cost</w:t>
            </w:r>
          </w:p>
        </w:tc>
        <w:tc>
          <w:tcPr>
            <w:tcW w:w="1879" w:type="dxa"/>
            <w:gridSpan w:val="2"/>
            <w:vAlign w:val="top"/>
            <w:hideMark/>
          </w:tcPr>
          <w:p w14:paraId="388B0812" w14:textId="77777777" w:rsidR="0058789F" w:rsidRPr="007C70BE" w:rsidRDefault="0058789F" w:rsidP="00AD1066">
            <w:pPr>
              <w:pStyle w:val="TableHeading1"/>
            </w:pPr>
            <w:r w:rsidRPr="007C70BE">
              <w:t>Total</w:t>
            </w:r>
          </w:p>
        </w:tc>
      </w:tr>
      <w:tr w:rsidR="0058789F" w:rsidRPr="007C70BE" w14:paraId="1C9DD08F" w14:textId="77777777" w:rsidTr="00AD1066">
        <w:trPr>
          <w:trHeight w:val="300"/>
        </w:trPr>
        <w:tc>
          <w:tcPr>
            <w:tcW w:w="0" w:type="auto"/>
            <w:shd w:val="clear" w:color="auto" w:fill="E5DFEC" w:themeFill="accent4" w:themeFillTint="33"/>
            <w:noWrap/>
            <w:hideMark/>
          </w:tcPr>
          <w:p w14:paraId="3E3EDA12" w14:textId="77777777" w:rsidR="0058789F" w:rsidRPr="007C70BE" w:rsidRDefault="0058789F" w:rsidP="00AD1066">
            <w:pPr>
              <w:pStyle w:val="TableBodyText"/>
            </w:pPr>
            <w:r w:rsidRPr="007C70BE">
              <w:t xml:space="preserve"> </w:t>
            </w:r>
          </w:p>
        </w:tc>
        <w:tc>
          <w:tcPr>
            <w:tcW w:w="939" w:type="dxa"/>
            <w:shd w:val="clear" w:color="auto" w:fill="E5DFEC" w:themeFill="accent4" w:themeFillTint="33"/>
            <w:noWrap/>
            <w:hideMark/>
          </w:tcPr>
          <w:p w14:paraId="0C40AD00" w14:textId="77777777" w:rsidR="0058789F" w:rsidRDefault="0058789F" w:rsidP="00AD1066">
            <w:pPr>
              <w:pStyle w:val="TableHeading3rightalign"/>
            </w:pPr>
            <w:r w:rsidRPr="0074334F">
              <w:t>202</w:t>
            </w:r>
            <w:r>
              <w:t>3</w:t>
            </w:r>
          </w:p>
          <w:p w14:paraId="28397EEA" w14:textId="77777777" w:rsidR="0058789F" w:rsidRPr="007C70BE" w:rsidRDefault="0058789F" w:rsidP="00AD1066">
            <w:pPr>
              <w:pStyle w:val="TableHeading3rightalign"/>
            </w:pPr>
            <w:r>
              <w:t>(</w:t>
            </w:r>
            <w:r w:rsidRPr="0074334F">
              <w:t>$’000</w:t>
            </w:r>
            <w:r>
              <w:t>)</w:t>
            </w:r>
          </w:p>
        </w:tc>
        <w:tc>
          <w:tcPr>
            <w:tcW w:w="939" w:type="dxa"/>
            <w:shd w:val="clear" w:color="auto" w:fill="E5DFEC" w:themeFill="accent4" w:themeFillTint="33"/>
            <w:noWrap/>
            <w:hideMark/>
          </w:tcPr>
          <w:p w14:paraId="40C6AD67" w14:textId="77777777" w:rsidR="0058789F" w:rsidRDefault="0058789F" w:rsidP="00AD1066">
            <w:pPr>
              <w:pStyle w:val="TableHeading3rightalign"/>
            </w:pPr>
            <w:r w:rsidRPr="0074334F">
              <w:t>202</w:t>
            </w:r>
            <w:r>
              <w:t>2</w:t>
            </w:r>
          </w:p>
          <w:p w14:paraId="20F70C75" w14:textId="77777777" w:rsidR="0058789F" w:rsidRPr="007C70BE" w:rsidRDefault="0058789F" w:rsidP="00AD1066">
            <w:pPr>
              <w:pStyle w:val="TableHeading3rightalign"/>
              <w:tabs>
                <w:tab w:val="left" w:pos="502"/>
              </w:tabs>
            </w:pPr>
            <w:r>
              <w:t>(</w:t>
            </w:r>
            <w:r w:rsidRPr="0074334F">
              <w:t>$’000</w:t>
            </w:r>
            <w:r>
              <w:t>)</w:t>
            </w:r>
          </w:p>
        </w:tc>
        <w:tc>
          <w:tcPr>
            <w:tcW w:w="940" w:type="dxa"/>
            <w:shd w:val="clear" w:color="auto" w:fill="E5DFEC" w:themeFill="accent4" w:themeFillTint="33"/>
            <w:noWrap/>
            <w:hideMark/>
          </w:tcPr>
          <w:p w14:paraId="40A59548" w14:textId="77777777" w:rsidR="0058789F" w:rsidRDefault="0058789F" w:rsidP="00AD1066">
            <w:pPr>
              <w:pStyle w:val="TableHeading3rightalign"/>
            </w:pPr>
            <w:r w:rsidRPr="0074334F">
              <w:t>202</w:t>
            </w:r>
            <w:r>
              <w:t>3</w:t>
            </w:r>
          </w:p>
          <w:p w14:paraId="2B5CCE83" w14:textId="77777777" w:rsidR="0058789F" w:rsidRPr="007C70BE" w:rsidRDefault="0058789F" w:rsidP="00AD1066">
            <w:pPr>
              <w:pStyle w:val="TableHeading3rightalign"/>
            </w:pPr>
            <w:r>
              <w:t>(</w:t>
            </w:r>
            <w:r w:rsidRPr="0074334F">
              <w:t>$’000</w:t>
            </w:r>
            <w:r>
              <w:t>)</w:t>
            </w:r>
          </w:p>
        </w:tc>
        <w:tc>
          <w:tcPr>
            <w:tcW w:w="939" w:type="dxa"/>
            <w:shd w:val="clear" w:color="auto" w:fill="E5DFEC" w:themeFill="accent4" w:themeFillTint="33"/>
            <w:noWrap/>
            <w:hideMark/>
          </w:tcPr>
          <w:p w14:paraId="226B4BE3" w14:textId="77777777" w:rsidR="0058789F" w:rsidRDefault="0058789F" w:rsidP="00AD1066">
            <w:pPr>
              <w:pStyle w:val="TableHeading3rightalign"/>
            </w:pPr>
            <w:r w:rsidRPr="0074334F">
              <w:t>202</w:t>
            </w:r>
            <w:r>
              <w:t>2</w:t>
            </w:r>
          </w:p>
          <w:p w14:paraId="094B0435" w14:textId="77777777" w:rsidR="0058789F" w:rsidRPr="007C70BE" w:rsidRDefault="0058789F" w:rsidP="00AD1066">
            <w:pPr>
              <w:pStyle w:val="TableHeading3rightalign"/>
            </w:pPr>
            <w:r>
              <w:t>(</w:t>
            </w:r>
            <w:r w:rsidRPr="0074334F">
              <w:t>$’000</w:t>
            </w:r>
            <w:r>
              <w:t>)</w:t>
            </w:r>
          </w:p>
        </w:tc>
        <w:tc>
          <w:tcPr>
            <w:tcW w:w="939" w:type="dxa"/>
            <w:shd w:val="clear" w:color="auto" w:fill="E5DFEC" w:themeFill="accent4" w:themeFillTint="33"/>
            <w:noWrap/>
            <w:hideMark/>
          </w:tcPr>
          <w:p w14:paraId="1DED1656" w14:textId="77777777" w:rsidR="0058789F" w:rsidRDefault="0058789F" w:rsidP="00AD1066">
            <w:pPr>
              <w:pStyle w:val="TableHeading3rightalign"/>
            </w:pPr>
            <w:r w:rsidRPr="0074334F">
              <w:t>202</w:t>
            </w:r>
            <w:r>
              <w:t>3</w:t>
            </w:r>
          </w:p>
          <w:p w14:paraId="2B7E93BF" w14:textId="77777777" w:rsidR="0058789F" w:rsidRPr="007C70BE" w:rsidRDefault="0058789F" w:rsidP="00AD1066">
            <w:pPr>
              <w:pStyle w:val="TableHeading3rightalign"/>
            </w:pPr>
            <w:r>
              <w:t>(</w:t>
            </w:r>
            <w:r w:rsidRPr="0074334F">
              <w:t>$’000</w:t>
            </w:r>
            <w:r>
              <w:t>)</w:t>
            </w:r>
          </w:p>
        </w:tc>
        <w:tc>
          <w:tcPr>
            <w:tcW w:w="940" w:type="dxa"/>
            <w:shd w:val="clear" w:color="auto" w:fill="E5DFEC" w:themeFill="accent4" w:themeFillTint="33"/>
            <w:noWrap/>
            <w:hideMark/>
          </w:tcPr>
          <w:p w14:paraId="31F6CA33" w14:textId="77777777" w:rsidR="0058789F" w:rsidRDefault="0058789F" w:rsidP="00AD1066">
            <w:pPr>
              <w:pStyle w:val="TableHeading3rightalign"/>
            </w:pPr>
            <w:r w:rsidRPr="0074334F">
              <w:t>202</w:t>
            </w:r>
            <w:r>
              <w:t>2</w:t>
            </w:r>
          </w:p>
          <w:p w14:paraId="63B7C8C3" w14:textId="77777777" w:rsidR="0058789F" w:rsidRPr="007C70BE" w:rsidRDefault="0058789F" w:rsidP="00AD1066">
            <w:pPr>
              <w:pStyle w:val="TableHeading3rightalign"/>
            </w:pPr>
            <w:r>
              <w:t>(</w:t>
            </w:r>
            <w:r w:rsidRPr="0074334F">
              <w:t>$’000</w:t>
            </w:r>
            <w:r>
              <w:t>)</w:t>
            </w:r>
          </w:p>
        </w:tc>
      </w:tr>
      <w:tr w:rsidR="0058789F" w:rsidRPr="007C70BE" w14:paraId="36A15D91" w14:textId="77777777" w:rsidTr="00AD1066">
        <w:trPr>
          <w:trHeight w:val="300"/>
        </w:trPr>
        <w:tc>
          <w:tcPr>
            <w:tcW w:w="0" w:type="auto"/>
            <w:gridSpan w:val="7"/>
            <w:noWrap/>
            <w:hideMark/>
          </w:tcPr>
          <w:p w14:paraId="6D56D11E" w14:textId="77777777" w:rsidR="0058789F" w:rsidRPr="007C70BE" w:rsidRDefault="0058789F" w:rsidP="00AD1066">
            <w:pPr>
              <w:pStyle w:val="TableBodyTextsmall"/>
            </w:pPr>
          </w:p>
        </w:tc>
      </w:tr>
      <w:tr w:rsidR="0058789F" w:rsidRPr="007C70BE" w14:paraId="7F6E405E" w14:textId="77777777" w:rsidTr="00AD1066">
        <w:trPr>
          <w:trHeight w:val="300"/>
        </w:trPr>
        <w:tc>
          <w:tcPr>
            <w:tcW w:w="0" w:type="auto"/>
            <w:gridSpan w:val="7"/>
            <w:tcBorders>
              <w:bottom w:val="dotted" w:sz="4" w:space="0" w:color="auto"/>
            </w:tcBorders>
            <w:noWrap/>
            <w:hideMark/>
          </w:tcPr>
          <w:p w14:paraId="678F4C47" w14:textId="77777777" w:rsidR="0058789F" w:rsidRPr="007C70BE" w:rsidRDefault="0058789F" w:rsidP="00AD1066">
            <w:pPr>
              <w:pStyle w:val="TableHeading1"/>
            </w:pPr>
            <w:r w:rsidRPr="007C70BE">
              <w:t>Gross carrying amount</w:t>
            </w:r>
          </w:p>
        </w:tc>
      </w:tr>
      <w:tr w:rsidR="0058789F" w:rsidRPr="007C70BE" w14:paraId="2DEF48D0" w14:textId="77777777" w:rsidTr="00AD1066">
        <w:trPr>
          <w:trHeight w:val="300"/>
        </w:trPr>
        <w:tc>
          <w:tcPr>
            <w:tcW w:w="0" w:type="auto"/>
            <w:tcBorders>
              <w:top w:val="dotted" w:sz="4" w:space="0" w:color="auto"/>
              <w:bottom w:val="single" w:sz="4" w:space="0" w:color="auto"/>
            </w:tcBorders>
            <w:noWrap/>
            <w:hideMark/>
          </w:tcPr>
          <w:p w14:paraId="43A84AA9" w14:textId="77777777" w:rsidR="0058789F" w:rsidRPr="00161D9D" w:rsidRDefault="0058789F" w:rsidP="00AD1066">
            <w:pPr>
              <w:pStyle w:val="TableBodyText"/>
              <w:rPr>
                <w:rStyle w:val="Characterbold"/>
              </w:rPr>
            </w:pPr>
            <w:r w:rsidRPr="00161D9D">
              <w:rPr>
                <w:rStyle w:val="Characterbold"/>
              </w:rPr>
              <w:t>Opening balance</w:t>
            </w:r>
          </w:p>
        </w:tc>
        <w:tc>
          <w:tcPr>
            <w:tcW w:w="939" w:type="dxa"/>
            <w:tcBorders>
              <w:top w:val="dotted" w:sz="4" w:space="0" w:color="auto"/>
              <w:bottom w:val="single" w:sz="4" w:space="0" w:color="auto"/>
            </w:tcBorders>
            <w:shd w:val="clear" w:color="auto" w:fill="F2F2F2" w:themeFill="background1" w:themeFillShade="F2"/>
            <w:noWrap/>
          </w:tcPr>
          <w:p w14:paraId="2A45209E" w14:textId="77777777" w:rsidR="0058789F" w:rsidRPr="007E78B5" w:rsidRDefault="0058789F" w:rsidP="007E78B5">
            <w:pPr>
              <w:pStyle w:val="TableBodyTextrightalign"/>
              <w:rPr>
                <w:rStyle w:val="Characterbold"/>
              </w:rPr>
            </w:pPr>
            <w:r w:rsidRPr="007E78B5">
              <w:rPr>
                <w:rStyle w:val="Characterbold"/>
              </w:rPr>
              <w:t>1,920</w:t>
            </w:r>
          </w:p>
        </w:tc>
        <w:tc>
          <w:tcPr>
            <w:tcW w:w="939" w:type="dxa"/>
            <w:tcBorders>
              <w:top w:val="dotted" w:sz="4" w:space="0" w:color="auto"/>
              <w:bottom w:val="single" w:sz="4" w:space="0" w:color="auto"/>
            </w:tcBorders>
            <w:noWrap/>
            <w:hideMark/>
          </w:tcPr>
          <w:p w14:paraId="39012477" w14:textId="77777777" w:rsidR="0058789F" w:rsidRPr="00161D9D" w:rsidRDefault="0058789F" w:rsidP="00AD1066">
            <w:pPr>
              <w:pStyle w:val="TableBodyTextrightalign"/>
              <w:rPr>
                <w:rStyle w:val="Characterbold"/>
              </w:rPr>
            </w:pPr>
            <w:r>
              <w:rPr>
                <w:rStyle w:val="Characterbold"/>
              </w:rPr>
              <w:t>1,675</w:t>
            </w:r>
          </w:p>
        </w:tc>
        <w:tc>
          <w:tcPr>
            <w:tcW w:w="940" w:type="dxa"/>
            <w:tcBorders>
              <w:top w:val="dotted" w:sz="4" w:space="0" w:color="auto"/>
              <w:bottom w:val="single" w:sz="4" w:space="0" w:color="auto"/>
            </w:tcBorders>
            <w:shd w:val="clear" w:color="auto" w:fill="F2F2F2" w:themeFill="background1" w:themeFillShade="F2"/>
            <w:noWrap/>
          </w:tcPr>
          <w:p w14:paraId="7BE0C59D" w14:textId="77777777" w:rsidR="0058789F" w:rsidRPr="007E78B5" w:rsidRDefault="0058789F" w:rsidP="007E78B5">
            <w:pPr>
              <w:pStyle w:val="TableBodyTextrightalign"/>
              <w:rPr>
                <w:rStyle w:val="Characterbold"/>
              </w:rPr>
            </w:pPr>
            <w:r w:rsidRPr="007E78B5">
              <w:rPr>
                <w:rStyle w:val="Characterbold"/>
              </w:rPr>
              <w:t>72</w:t>
            </w:r>
          </w:p>
        </w:tc>
        <w:tc>
          <w:tcPr>
            <w:tcW w:w="939" w:type="dxa"/>
            <w:tcBorders>
              <w:top w:val="dotted" w:sz="4" w:space="0" w:color="auto"/>
              <w:bottom w:val="single" w:sz="4" w:space="0" w:color="auto"/>
            </w:tcBorders>
            <w:noWrap/>
            <w:hideMark/>
          </w:tcPr>
          <w:p w14:paraId="790A16D0" w14:textId="77777777" w:rsidR="0058789F" w:rsidRPr="00161D9D" w:rsidRDefault="0058789F" w:rsidP="00AD1066">
            <w:pPr>
              <w:pStyle w:val="TableBodyTextrightalign"/>
              <w:rPr>
                <w:rStyle w:val="Characterbold"/>
              </w:rPr>
            </w:pPr>
            <w:r>
              <w:rPr>
                <w:rStyle w:val="Characterbold"/>
              </w:rPr>
              <w:t>30</w:t>
            </w:r>
          </w:p>
        </w:tc>
        <w:tc>
          <w:tcPr>
            <w:tcW w:w="939" w:type="dxa"/>
            <w:tcBorders>
              <w:top w:val="dotted" w:sz="4" w:space="0" w:color="auto"/>
              <w:bottom w:val="single" w:sz="4" w:space="0" w:color="auto"/>
            </w:tcBorders>
            <w:shd w:val="clear" w:color="auto" w:fill="F2F2F2" w:themeFill="background1" w:themeFillShade="F2"/>
            <w:noWrap/>
          </w:tcPr>
          <w:p w14:paraId="131A104B" w14:textId="77777777" w:rsidR="0058789F" w:rsidRPr="007E78B5" w:rsidRDefault="0058789F" w:rsidP="007E78B5">
            <w:pPr>
              <w:pStyle w:val="TableBodyTextrightalign"/>
              <w:rPr>
                <w:rStyle w:val="Characterbold"/>
              </w:rPr>
            </w:pPr>
            <w:r w:rsidRPr="007E78B5">
              <w:rPr>
                <w:rStyle w:val="Characterbold"/>
              </w:rPr>
              <w:t>1,992</w:t>
            </w:r>
          </w:p>
        </w:tc>
        <w:tc>
          <w:tcPr>
            <w:tcW w:w="940" w:type="dxa"/>
            <w:tcBorders>
              <w:top w:val="dotted" w:sz="4" w:space="0" w:color="auto"/>
              <w:bottom w:val="single" w:sz="4" w:space="0" w:color="auto"/>
            </w:tcBorders>
            <w:noWrap/>
            <w:hideMark/>
          </w:tcPr>
          <w:p w14:paraId="69EFC1EB" w14:textId="77777777" w:rsidR="0058789F" w:rsidRPr="00161D9D" w:rsidRDefault="0058789F" w:rsidP="00AD1066">
            <w:pPr>
              <w:pStyle w:val="TableBodyTextrightalign"/>
              <w:rPr>
                <w:rStyle w:val="Characterbold"/>
              </w:rPr>
            </w:pPr>
            <w:r>
              <w:rPr>
                <w:rStyle w:val="Characterbold"/>
              </w:rPr>
              <w:t>1,705</w:t>
            </w:r>
          </w:p>
        </w:tc>
      </w:tr>
      <w:tr w:rsidR="0058789F" w:rsidRPr="007C70BE" w14:paraId="673AB9C3" w14:textId="77777777" w:rsidTr="00AD1066">
        <w:trPr>
          <w:trHeight w:val="300"/>
        </w:trPr>
        <w:tc>
          <w:tcPr>
            <w:tcW w:w="0" w:type="auto"/>
            <w:tcBorders>
              <w:top w:val="single" w:sz="4" w:space="0" w:color="auto"/>
            </w:tcBorders>
            <w:noWrap/>
            <w:hideMark/>
          </w:tcPr>
          <w:p w14:paraId="4FC91161" w14:textId="77777777" w:rsidR="0058789F" w:rsidRPr="007C70BE" w:rsidRDefault="0058789F" w:rsidP="00AD1066">
            <w:pPr>
              <w:pStyle w:val="TableBodyText"/>
            </w:pPr>
            <w:r w:rsidRPr="007C70BE">
              <w:t>Additions</w:t>
            </w:r>
          </w:p>
        </w:tc>
        <w:tc>
          <w:tcPr>
            <w:tcW w:w="939" w:type="dxa"/>
            <w:tcBorders>
              <w:top w:val="single" w:sz="4" w:space="0" w:color="auto"/>
            </w:tcBorders>
            <w:shd w:val="clear" w:color="auto" w:fill="F2F2F2" w:themeFill="background1" w:themeFillShade="F2"/>
            <w:noWrap/>
          </w:tcPr>
          <w:p w14:paraId="6FAC8A75" w14:textId="77777777" w:rsidR="0058789F" w:rsidRPr="007C70BE" w:rsidRDefault="0058789F" w:rsidP="00AD1066">
            <w:pPr>
              <w:pStyle w:val="TableBodyTextrightalign"/>
            </w:pPr>
            <w:r w:rsidRPr="008C37D6">
              <w:t>–</w:t>
            </w:r>
          </w:p>
        </w:tc>
        <w:tc>
          <w:tcPr>
            <w:tcW w:w="939" w:type="dxa"/>
            <w:tcBorders>
              <w:top w:val="single" w:sz="4" w:space="0" w:color="auto"/>
            </w:tcBorders>
            <w:noWrap/>
            <w:hideMark/>
          </w:tcPr>
          <w:p w14:paraId="49488AA3" w14:textId="77777777" w:rsidR="0058789F" w:rsidRPr="007C70BE" w:rsidRDefault="0058789F" w:rsidP="00AD1066">
            <w:pPr>
              <w:pStyle w:val="TableBodyTextrightalign"/>
            </w:pPr>
            <w:r w:rsidRPr="008C37D6">
              <w:t>–</w:t>
            </w:r>
          </w:p>
        </w:tc>
        <w:tc>
          <w:tcPr>
            <w:tcW w:w="940" w:type="dxa"/>
            <w:tcBorders>
              <w:top w:val="single" w:sz="4" w:space="0" w:color="auto"/>
            </w:tcBorders>
            <w:shd w:val="clear" w:color="auto" w:fill="F2F2F2" w:themeFill="background1" w:themeFillShade="F2"/>
            <w:noWrap/>
          </w:tcPr>
          <w:p w14:paraId="7EFB6AD9" w14:textId="77777777" w:rsidR="0058789F" w:rsidRPr="007C70BE" w:rsidRDefault="0058789F" w:rsidP="00AD1066">
            <w:pPr>
              <w:pStyle w:val="TableBodyTextrightalign"/>
            </w:pPr>
            <w:r>
              <w:t>–</w:t>
            </w:r>
          </w:p>
        </w:tc>
        <w:tc>
          <w:tcPr>
            <w:tcW w:w="939" w:type="dxa"/>
            <w:tcBorders>
              <w:top w:val="single" w:sz="4" w:space="0" w:color="auto"/>
            </w:tcBorders>
            <w:noWrap/>
            <w:hideMark/>
          </w:tcPr>
          <w:p w14:paraId="0E3F0CA8" w14:textId="77777777" w:rsidR="0058789F" w:rsidRPr="007C70BE" w:rsidRDefault="0058789F" w:rsidP="00AD1066">
            <w:pPr>
              <w:pStyle w:val="TableBodyTextrightalign"/>
            </w:pPr>
            <w:r>
              <w:t>287</w:t>
            </w:r>
          </w:p>
        </w:tc>
        <w:tc>
          <w:tcPr>
            <w:tcW w:w="939" w:type="dxa"/>
            <w:tcBorders>
              <w:top w:val="single" w:sz="4" w:space="0" w:color="auto"/>
            </w:tcBorders>
            <w:shd w:val="clear" w:color="auto" w:fill="F2F2F2" w:themeFill="background1" w:themeFillShade="F2"/>
            <w:noWrap/>
          </w:tcPr>
          <w:p w14:paraId="23D54C65" w14:textId="77777777" w:rsidR="0058789F" w:rsidRPr="007C70BE" w:rsidRDefault="0058789F" w:rsidP="00AD1066">
            <w:pPr>
              <w:pStyle w:val="TableBodyTextrightalign"/>
            </w:pPr>
            <w:r>
              <w:t>–</w:t>
            </w:r>
          </w:p>
        </w:tc>
        <w:tc>
          <w:tcPr>
            <w:tcW w:w="940" w:type="dxa"/>
            <w:tcBorders>
              <w:top w:val="single" w:sz="4" w:space="0" w:color="auto"/>
            </w:tcBorders>
            <w:noWrap/>
            <w:hideMark/>
          </w:tcPr>
          <w:p w14:paraId="48E07D7B" w14:textId="77777777" w:rsidR="0058789F" w:rsidRPr="007C70BE" w:rsidRDefault="0058789F" w:rsidP="00AD1066">
            <w:pPr>
              <w:pStyle w:val="TableBodyTextrightalign"/>
            </w:pPr>
            <w:r>
              <w:t>287</w:t>
            </w:r>
          </w:p>
        </w:tc>
      </w:tr>
      <w:tr w:rsidR="0058789F" w:rsidRPr="007C70BE" w14:paraId="493E3775" w14:textId="77777777" w:rsidTr="00AD1066">
        <w:trPr>
          <w:trHeight w:val="300"/>
        </w:trPr>
        <w:tc>
          <w:tcPr>
            <w:tcW w:w="0" w:type="auto"/>
            <w:tcBorders>
              <w:bottom w:val="dotted" w:sz="4" w:space="0" w:color="auto"/>
            </w:tcBorders>
            <w:noWrap/>
          </w:tcPr>
          <w:p w14:paraId="52F56520" w14:textId="77777777" w:rsidR="0058789F" w:rsidRPr="007C70BE" w:rsidRDefault="0058789F" w:rsidP="00AD1066">
            <w:pPr>
              <w:pStyle w:val="TableBodyText"/>
            </w:pPr>
            <w:r w:rsidRPr="0074334F">
              <w:t>Adjustment/reclassification</w:t>
            </w:r>
            <w:r w:rsidRPr="007211D6">
              <w:rPr>
                <w:rStyle w:val="Charactersuperscript"/>
              </w:rPr>
              <w:t>(a)</w:t>
            </w:r>
          </w:p>
        </w:tc>
        <w:tc>
          <w:tcPr>
            <w:tcW w:w="939" w:type="dxa"/>
            <w:tcBorders>
              <w:bottom w:val="dotted" w:sz="4" w:space="0" w:color="auto"/>
            </w:tcBorders>
            <w:shd w:val="clear" w:color="auto" w:fill="F2F2F2" w:themeFill="background1" w:themeFillShade="F2"/>
            <w:noWrap/>
          </w:tcPr>
          <w:p w14:paraId="2B355D0F" w14:textId="77777777" w:rsidR="0058789F" w:rsidRPr="007C70BE" w:rsidRDefault="0058789F" w:rsidP="00AD1066">
            <w:pPr>
              <w:pStyle w:val="TableBodyTextrightalign"/>
            </w:pPr>
            <w:r w:rsidRPr="008C37D6">
              <w:t>–</w:t>
            </w:r>
          </w:p>
        </w:tc>
        <w:tc>
          <w:tcPr>
            <w:tcW w:w="939" w:type="dxa"/>
            <w:tcBorders>
              <w:bottom w:val="dotted" w:sz="4" w:space="0" w:color="auto"/>
            </w:tcBorders>
            <w:noWrap/>
          </w:tcPr>
          <w:p w14:paraId="393FD986" w14:textId="77777777" w:rsidR="0058789F" w:rsidRPr="000427F7" w:rsidRDefault="0058789F" w:rsidP="00AD1066">
            <w:pPr>
              <w:pStyle w:val="TableBodyTextrightalign"/>
            </w:pPr>
            <w:r w:rsidRPr="008C37D6">
              <w:t>–</w:t>
            </w:r>
          </w:p>
        </w:tc>
        <w:tc>
          <w:tcPr>
            <w:tcW w:w="940" w:type="dxa"/>
            <w:tcBorders>
              <w:bottom w:val="dotted" w:sz="4" w:space="0" w:color="auto"/>
            </w:tcBorders>
            <w:shd w:val="clear" w:color="auto" w:fill="F2F2F2" w:themeFill="background1" w:themeFillShade="F2"/>
            <w:noWrap/>
          </w:tcPr>
          <w:p w14:paraId="6188B1AF" w14:textId="77777777" w:rsidR="0058789F" w:rsidRDefault="0058789F" w:rsidP="00AD1066">
            <w:pPr>
              <w:pStyle w:val="TableBodyTextrightalign"/>
            </w:pPr>
            <w:r>
              <w:t>(54)</w:t>
            </w:r>
          </w:p>
        </w:tc>
        <w:tc>
          <w:tcPr>
            <w:tcW w:w="939" w:type="dxa"/>
            <w:tcBorders>
              <w:bottom w:val="dotted" w:sz="4" w:space="0" w:color="auto"/>
            </w:tcBorders>
            <w:noWrap/>
          </w:tcPr>
          <w:p w14:paraId="541575C4" w14:textId="77777777" w:rsidR="0058789F" w:rsidRDefault="0058789F" w:rsidP="00AD1066">
            <w:pPr>
              <w:pStyle w:val="TableBodyTextrightalign"/>
            </w:pPr>
            <w:r>
              <w:t>–</w:t>
            </w:r>
          </w:p>
        </w:tc>
        <w:tc>
          <w:tcPr>
            <w:tcW w:w="939" w:type="dxa"/>
            <w:tcBorders>
              <w:bottom w:val="dotted" w:sz="4" w:space="0" w:color="auto"/>
            </w:tcBorders>
            <w:shd w:val="clear" w:color="auto" w:fill="F2F2F2" w:themeFill="background1" w:themeFillShade="F2"/>
            <w:noWrap/>
          </w:tcPr>
          <w:p w14:paraId="5653CF52" w14:textId="77777777" w:rsidR="0058789F" w:rsidRDefault="0058789F" w:rsidP="00AD1066">
            <w:pPr>
              <w:pStyle w:val="TableBodyTextrightalign"/>
            </w:pPr>
            <w:r>
              <w:t>(54)</w:t>
            </w:r>
          </w:p>
        </w:tc>
        <w:tc>
          <w:tcPr>
            <w:tcW w:w="940" w:type="dxa"/>
            <w:tcBorders>
              <w:bottom w:val="dotted" w:sz="4" w:space="0" w:color="auto"/>
            </w:tcBorders>
            <w:noWrap/>
          </w:tcPr>
          <w:p w14:paraId="684564F0" w14:textId="77777777" w:rsidR="0058789F" w:rsidRDefault="0058789F" w:rsidP="00AD1066">
            <w:pPr>
              <w:pStyle w:val="TableBodyTextrightalign"/>
            </w:pPr>
            <w:r>
              <w:t>–</w:t>
            </w:r>
          </w:p>
        </w:tc>
      </w:tr>
      <w:tr w:rsidR="0058789F" w:rsidRPr="007C70BE" w14:paraId="5E18E25E" w14:textId="77777777" w:rsidTr="00AD1066">
        <w:trPr>
          <w:trHeight w:val="300"/>
        </w:trPr>
        <w:tc>
          <w:tcPr>
            <w:tcW w:w="0" w:type="auto"/>
            <w:tcBorders>
              <w:top w:val="dotted" w:sz="4" w:space="0" w:color="auto"/>
              <w:bottom w:val="dotted" w:sz="4" w:space="0" w:color="auto"/>
            </w:tcBorders>
            <w:noWrap/>
            <w:hideMark/>
          </w:tcPr>
          <w:p w14:paraId="72E26F66" w14:textId="77777777" w:rsidR="0058789F" w:rsidRPr="007C70BE" w:rsidRDefault="0058789F" w:rsidP="00AD1066">
            <w:pPr>
              <w:pStyle w:val="TableBodyText"/>
            </w:pPr>
            <w:r>
              <w:t>Capitalisation from</w:t>
            </w:r>
            <w:r w:rsidRPr="007C70BE">
              <w:t xml:space="preserve"> </w:t>
            </w:r>
            <w:r>
              <w:t>capital work in progress</w:t>
            </w:r>
          </w:p>
        </w:tc>
        <w:tc>
          <w:tcPr>
            <w:tcW w:w="939" w:type="dxa"/>
            <w:tcBorders>
              <w:top w:val="dotted" w:sz="4" w:space="0" w:color="auto"/>
              <w:bottom w:val="dotted" w:sz="4" w:space="0" w:color="auto"/>
            </w:tcBorders>
            <w:shd w:val="clear" w:color="auto" w:fill="F2F2F2" w:themeFill="background1" w:themeFillShade="F2"/>
            <w:noWrap/>
          </w:tcPr>
          <w:p w14:paraId="73D88B78" w14:textId="77777777" w:rsidR="0058789F" w:rsidRPr="007C70BE" w:rsidRDefault="0058789F" w:rsidP="00AD1066">
            <w:pPr>
              <w:pStyle w:val="TableBodyTextrightalign"/>
            </w:pPr>
            <w:r>
              <w:t>18</w:t>
            </w:r>
          </w:p>
        </w:tc>
        <w:tc>
          <w:tcPr>
            <w:tcW w:w="939" w:type="dxa"/>
            <w:tcBorders>
              <w:top w:val="dotted" w:sz="4" w:space="0" w:color="auto"/>
              <w:bottom w:val="dotted" w:sz="4" w:space="0" w:color="auto"/>
            </w:tcBorders>
            <w:noWrap/>
            <w:hideMark/>
          </w:tcPr>
          <w:p w14:paraId="556B7EB1" w14:textId="77777777" w:rsidR="0058789F" w:rsidRPr="007C70BE" w:rsidRDefault="0058789F" w:rsidP="00AD1066">
            <w:pPr>
              <w:pStyle w:val="TableBodyTextrightalign"/>
            </w:pPr>
            <w:r>
              <w:t>245</w:t>
            </w:r>
          </w:p>
        </w:tc>
        <w:tc>
          <w:tcPr>
            <w:tcW w:w="940" w:type="dxa"/>
            <w:tcBorders>
              <w:top w:val="dotted" w:sz="4" w:space="0" w:color="auto"/>
              <w:bottom w:val="dotted" w:sz="4" w:space="0" w:color="auto"/>
            </w:tcBorders>
            <w:shd w:val="clear" w:color="auto" w:fill="F2F2F2" w:themeFill="background1" w:themeFillShade="F2"/>
            <w:noWrap/>
          </w:tcPr>
          <w:p w14:paraId="17E82F22" w14:textId="77777777" w:rsidR="0058789F" w:rsidRPr="007C70BE" w:rsidRDefault="0058789F" w:rsidP="00AD1066">
            <w:pPr>
              <w:pStyle w:val="TableBodyTextrightalign"/>
            </w:pPr>
            <w:r>
              <w:t>(18)</w:t>
            </w:r>
          </w:p>
        </w:tc>
        <w:tc>
          <w:tcPr>
            <w:tcW w:w="939" w:type="dxa"/>
            <w:tcBorders>
              <w:top w:val="dotted" w:sz="4" w:space="0" w:color="auto"/>
              <w:bottom w:val="dotted" w:sz="4" w:space="0" w:color="auto"/>
            </w:tcBorders>
            <w:noWrap/>
            <w:hideMark/>
          </w:tcPr>
          <w:p w14:paraId="4164F53B" w14:textId="77777777" w:rsidR="0058789F" w:rsidRPr="007C70BE" w:rsidRDefault="0058789F" w:rsidP="00AD1066">
            <w:pPr>
              <w:pStyle w:val="TableBodyTextrightalign"/>
            </w:pPr>
            <w:r>
              <w:t>(245)</w:t>
            </w:r>
          </w:p>
        </w:tc>
        <w:tc>
          <w:tcPr>
            <w:tcW w:w="939" w:type="dxa"/>
            <w:tcBorders>
              <w:top w:val="dotted" w:sz="4" w:space="0" w:color="auto"/>
              <w:bottom w:val="dotted" w:sz="4" w:space="0" w:color="auto"/>
            </w:tcBorders>
            <w:shd w:val="clear" w:color="auto" w:fill="F2F2F2" w:themeFill="background1" w:themeFillShade="F2"/>
            <w:noWrap/>
          </w:tcPr>
          <w:p w14:paraId="5920B605" w14:textId="77777777" w:rsidR="0058789F" w:rsidRPr="007C70BE" w:rsidRDefault="0058789F" w:rsidP="00AD1066">
            <w:pPr>
              <w:pStyle w:val="TableBodyTextrightalign"/>
            </w:pPr>
            <w:r>
              <w:t>–</w:t>
            </w:r>
          </w:p>
        </w:tc>
        <w:tc>
          <w:tcPr>
            <w:tcW w:w="940" w:type="dxa"/>
            <w:tcBorders>
              <w:top w:val="dotted" w:sz="4" w:space="0" w:color="auto"/>
              <w:bottom w:val="dotted" w:sz="4" w:space="0" w:color="auto"/>
            </w:tcBorders>
            <w:noWrap/>
            <w:hideMark/>
          </w:tcPr>
          <w:p w14:paraId="56F3B2A2" w14:textId="77777777" w:rsidR="0058789F" w:rsidRPr="007C70BE" w:rsidRDefault="0058789F" w:rsidP="00AD1066">
            <w:pPr>
              <w:pStyle w:val="TableBodyTextrightalign"/>
            </w:pPr>
            <w:r>
              <w:t>–</w:t>
            </w:r>
          </w:p>
        </w:tc>
      </w:tr>
      <w:tr w:rsidR="0058789F" w:rsidRPr="007C70BE" w14:paraId="484280C3" w14:textId="77777777" w:rsidTr="00AD1066">
        <w:trPr>
          <w:trHeight w:val="300"/>
        </w:trPr>
        <w:tc>
          <w:tcPr>
            <w:tcW w:w="0" w:type="auto"/>
            <w:tcBorders>
              <w:top w:val="dotted" w:sz="4" w:space="0" w:color="auto"/>
              <w:bottom w:val="single" w:sz="4" w:space="0" w:color="auto"/>
            </w:tcBorders>
            <w:noWrap/>
            <w:hideMark/>
          </w:tcPr>
          <w:p w14:paraId="7BB1111A" w14:textId="77777777" w:rsidR="0058789F" w:rsidRPr="00CB32AC" w:rsidRDefault="0058789F" w:rsidP="00AD1066">
            <w:pPr>
              <w:pStyle w:val="TableBodyText"/>
              <w:rPr>
                <w:rStyle w:val="Characterbold"/>
              </w:rPr>
            </w:pPr>
            <w:r w:rsidRPr="00CB32AC">
              <w:rPr>
                <w:rStyle w:val="Characterbold"/>
              </w:rPr>
              <w:t>Closing balance</w:t>
            </w:r>
          </w:p>
        </w:tc>
        <w:tc>
          <w:tcPr>
            <w:tcW w:w="939" w:type="dxa"/>
            <w:tcBorders>
              <w:top w:val="dotted" w:sz="4" w:space="0" w:color="auto"/>
              <w:bottom w:val="single" w:sz="4" w:space="0" w:color="auto"/>
            </w:tcBorders>
            <w:shd w:val="clear" w:color="auto" w:fill="F2F2F2" w:themeFill="background1" w:themeFillShade="F2"/>
            <w:noWrap/>
          </w:tcPr>
          <w:p w14:paraId="52EA144C" w14:textId="77777777" w:rsidR="0058789F" w:rsidRPr="00CB32AC" w:rsidRDefault="0058789F" w:rsidP="00AD1066">
            <w:pPr>
              <w:pStyle w:val="TableBodyTextrightalign"/>
              <w:rPr>
                <w:rStyle w:val="Characterbold"/>
              </w:rPr>
            </w:pPr>
            <w:r>
              <w:rPr>
                <w:rStyle w:val="Characterbold"/>
              </w:rPr>
              <w:t>1,938</w:t>
            </w:r>
          </w:p>
        </w:tc>
        <w:tc>
          <w:tcPr>
            <w:tcW w:w="939" w:type="dxa"/>
            <w:tcBorders>
              <w:top w:val="dotted" w:sz="4" w:space="0" w:color="auto"/>
              <w:bottom w:val="single" w:sz="4" w:space="0" w:color="auto"/>
            </w:tcBorders>
            <w:noWrap/>
            <w:hideMark/>
          </w:tcPr>
          <w:p w14:paraId="79197934" w14:textId="77777777" w:rsidR="0058789F" w:rsidRPr="00CB32AC" w:rsidRDefault="0058789F" w:rsidP="00AD1066">
            <w:pPr>
              <w:pStyle w:val="TableBodyTextrightalign"/>
              <w:rPr>
                <w:rStyle w:val="Characterbold"/>
              </w:rPr>
            </w:pPr>
            <w:r>
              <w:rPr>
                <w:rStyle w:val="Characterbold"/>
              </w:rPr>
              <w:t>1,920</w:t>
            </w:r>
          </w:p>
        </w:tc>
        <w:tc>
          <w:tcPr>
            <w:tcW w:w="940" w:type="dxa"/>
            <w:tcBorders>
              <w:top w:val="dotted" w:sz="4" w:space="0" w:color="auto"/>
              <w:bottom w:val="single" w:sz="4" w:space="0" w:color="auto"/>
            </w:tcBorders>
            <w:shd w:val="clear" w:color="auto" w:fill="F2F2F2" w:themeFill="background1" w:themeFillShade="F2"/>
            <w:noWrap/>
          </w:tcPr>
          <w:p w14:paraId="614BB8AC" w14:textId="77777777" w:rsidR="0058789F" w:rsidRPr="00CB32AC" w:rsidRDefault="0058789F" w:rsidP="00AD1066">
            <w:pPr>
              <w:pStyle w:val="TableBodyTextrightalign"/>
              <w:rPr>
                <w:rStyle w:val="Characterbold"/>
              </w:rPr>
            </w:pPr>
            <w:r w:rsidRPr="00774B0F">
              <w:rPr>
                <w:rStyle w:val="Characterbold"/>
              </w:rPr>
              <w:t>–</w:t>
            </w:r>
          </w:p>
        </w:tc>
        <w:tc>
          <w:tcPr>
            <w:tcW w:w="939" w:type="dxa"/>
            <w:tcBorders>
              <w:top w:val="dotted" w:sz="4" w:space="0" w:color="auto"/>
              <w:bottom w:val="single" w:sz="4" w:space="0" w:color="auto"/>
            </w:tcBorders>
            <w:noWrap/>
            <w:hideMark/>
          </w:tcPr>
          <w:p w14:paraId="30F89732" w14:textId="77777777" w:rsidR="0058789F" w:rsidRPr="00CB32AC" w:rsidRDefault="0058789F" w:rsidP="00AD1066">
            <w:pPr>
              <w:pStyle w:val="TableBodyTextrightalign"/>
              <w:rPr>
                <w:rStyle w:val="Characterbold"/>
              </w:rPr>
            </w:pPr>
            <w:r>
              <w:rPr>
                <w:rStyle w:val="Characterbold"/>
              </w:rPr>
              <w:t>72</w:t>
            </w:r>
          </w:p>
        </w:tc>
        <w:tc>
          <w:tcPr>
            <w:tcW w:w="939" w:type="dxa"/>
            <w:tcBorders>
              <w:top w:val="dotted" w:sz="4" w:space="0" w:color="auto"/>
              <w:bottom w:val="single" w:sz="4" w:space="0" w:color="auto"/>
            </w:tcBorders>
            <w:shd w:val="clear" w:color="auto" w:fill="F2F2F2" w:themeFill="background1" w:themeFillShade="F2"/>
            <w:noWrap/>
          </w:tcPr>
          <w:p w14:paraId="4BCD248B" w14:textId="77777777" w:rsidR="0058789F" w:rsidRPr="007E78B5" w:rsidRDefault="0058789F" w:rsidP="007E78B5">
            <w:pPr>
              <w:pStyle w:val="TableBodyTextrightalign"/>
              <w:rPr>
                <w:rStyle w:val="Characterbold"/>
              </w:rPr>
            </w:pPr>
            <w:r w:rsidRPr="007E78B5">
              <w:rPr>
                <w:rStyle w:val="Characterbold"/>
              </w:rPr>
              <w:t>1,938</w:t>
            </w:r>
          </w:p>
        </w:tc>
        <w:tc>
          <w:tcPr>
            <w:tcW w:w="940" w:type="dxa"/>
            <w:tcBorders>
              <w:top w:val="dotted" w:sz="4" w:space="0" w:color="auto"/>
              <w:bottom w:val="single" w:sz="4" w:space="0" w:color="auto"/>
            </w:tcBorders>
            <w:noWrap/>
            <w:hideMark/>
          </w:tcPr>
          <w:p w14:paraId="17FFB7FF" w14:textId="77777777" w:rsidR="0058789F" w:rsidRPr="00CB32AC" w:rsidRDefault="0058789F" w:rsidP="00AD1066">
            <w:pPr>
              <w:pStyle w:val="TableBodyTextrightalign"/>
              <w:rPr>
                <w:rStyle w:val="Characterbold"/>
              </w:rPr>
            </w:pPr>
            <w:r>
              <w:rPr>
                <w:rStyle w:val="Characterbold"/>
              </w:rPr>
              <w:t>1,992</w:t>
            </w:r>
          </w:p>
        </w:tc>
      </w:tr>
      <w:tr w:rsidR="0058789F" w:rsidRPr="007C70BE" w14:paraId="0BBDFB4D" w14:textId="77777777" w:rsidTr="00AD1066">
        <w:trPr>
          <w:trHeight w:val="300"/>
        </w:trPr>
        <w:tc>
          <w:tcPr>
            <w:tcW w:w="0" w:type="auto"/>
            <w:gridSpan w:val="7"/>
            <w:tcBorders>
              <w:top w:val="single" w:sz="4" w:space="0" w:color="auto"/>
            </w:tcBorders>
            <w:noWrap/>
            <w:hideMark/>
          </w:tcPr>
          <w:p w14:paraId="3A528B7D" w14:textId="77777777" w:rsidR="0058789F" w:rsidRPr="007C70BE" w:rsidRDefault="0058789F" w:rsidP="00AD1066">
            <w:pPr>
              <w:pStyle w:val="TableBodyTextsmall"/>
            </w:pPr>
          </w:p>
        </w:tc>
      </w:tr>
      <w:tr w:rsidR="0058789F" w:rsidRPr="007C70BE" w14:paraId="4D2DF588" w14:textId="77777777" w:rsidTr="00AD1066">
        <w:trPr>
          <w:trHeight w:val="300"/>
        </w:trPr>
        <w:tc>
          <w:tcPr>
            <w:tcW w:w="0" w:type="auto"/>
            <w:gridSpan w:val="7"/>
            <w:tcBorders>
              <w:bottom w:val="dotted" w:sz="4" w:space="0" w:color="auto"/>
            </w:tcBorders>
            <w:noWrap/>
            <w:hideMark/>
          </w:tcPr>
          <w:p w14:paraId="125E77FE" w14:textId="77777777" w:rsidR="0058789F" w:rsidRPr="007C70BE" w:rsidRDefault="0058789F" w:rsidP="00AD1066">
            <w:pPr>
              <w:pStyle w:val="TableHeading1"/>
            </w:pPr>
            <w:r w:rsidRPr="007C70BE">
              <w:t>Accumulated depreciation, amortisation and impairment</w:t>
            </w:r>
          </w:p>
        </w:tc>
      </w:tr>
      <w:tr w:rsidR="0058789F" w:rsidRPr="007C70BE" w14:paraId="73D417DA" w14:textId="77777777" w:rsidTr="00AD1066">
        <w:trPr>
          <w:trHeight w:val="300"/>
        </w:trPr>
        <w:tc>
          <w:tcPr>
            <w:tcW w:w="0" w:type="auto"/>
            <w:tcBorders>
              <w:top w:val="dotted" w:sz="4" w:space="0" w:color="auto"/>
              <w:bottom w:val="single" w:sz="4" w:space="0" w:color="auto"/>
            </w:tcBorders>
            <w:noWrap/>
            <w:hideMark/>
          </w:tcPr>
          <w:p w14:paraId="77314D53" w14:textId="77777777" w:rsidR="0058789F" w:rsidRPr="00CB32AC" w:rsidRDefault="0058789F" w:rsidP="00AD1066">
            <w:pPr>
              <w:pStyle w:val="TableBodyText"/>
              <w:rPr>
                <w:rStyle w:val="Characterbold"/>
              </w:rPr>
            </w:pPr>
            <w:r w:rsidRPr="00CB32AC">
              <w:rPr>
                <w:rStyle w:val="Characterbold"/>
              </w:rPr>
              <w:t>Opening balance</w:t>
            </w:r>
          </w:p>
        </w:tc>
        <w:tc>
          <w:tcPr>
            <w:tcW w:w="939" w:type="dxa"/>
            <w:tcBorders>
              <w:top w:val="dotted" w:sz="4" w:space="0" w:color="auto"/>
              <w:bottom w:val="single" w:sz="4" w:space="0" w:color="auto"/>
            </w:tcBorders>
            <w:shd w:val="clear" w:color="auto" w:fill="F2F2F2" w:themeFill="background1" w:themeFillShade="F2"/>
            <w:noWrap/>
          </w:tcPr>
          <w:p w14:paraId="39707113" w14:textId="77777777" w:rsidR="0058789F" w:rsidRPr="00B42167" w:rsidRDefault="0058789F" w:rsidP="00AD1066">
            <w:pPr>
              <w:pStyle w:val="TableBodyTextrightalign"/>
              <w:rPr>
                <w:rStyle w:val="Characterbold"/>
              </w:rPr>
            </w:pPr>
            <w:r w:rsidRPr="00B42167">
              <w:rPr>
                <w:rStyle w:val="Characterbold"/>
              </w:rPr>
              <w:t>(1,114)</w:t>
            </w:r>
          </w:p>
        </w:tc>
        <w:tc>
          <w:tcPr>
            <w:tcW w:w="939" w:type="dxa"/>
            <w:tcBorders>
              <w:top w:val="dotted" w:sz="4" w:space="0" w:color="auto"/>
              <w:bottom w:val="single" w:sz="4" w:space="0" w:color="auto"/>
            </w:tcBorders>
            <w:noWrap/>
            <w:hideMark/>
          </w:tcPr>
          <w:p w14:paraId="29AEAC90" w14:textId="77777777" w:rsidR="0058789F" w:rsidRPr="00B42167" w:rsidRDefault="0058789F" w:rsidP="00AD1066">
            <w:pPr>
              <w:pStyle w:val="TableBodyTextrightalign"/>
              <w:rPr>
                <w:rStyle w:val="Characterbold"/>
              </w:rPr>
            </w:pPr>
            <w:r w:rsidRPr="00B42167">
              <w:rPr>
                <w:rStyle w:val="Characterbold"/>
              </w:rPr>
              <w:t>(640)</w:t>
            </w:r>
          </w:p>
        </w:tc>
        <w:tc>
          <w:tcPr>
            <w:tcW w:w="940" w:type="dxa"/>
            <w:tcBorders>
              <w:top w:val="dotted" w:sz="4" w:space="0" w:color="auto"/>
              <w:bottom w:val="single" w:sz="4" w:space="0" w:color="auto"/>
            </w:tcBorders>
            <w:shd w:val="clear" w:color="auto" w:fill="F2F2F2" w:themeFill="background1" w:themeFillShade="F2"/>
            <w:noWrap/>
          </w:tcPr>
          <w:p w14:paraId="2D1ECECE" w14:textId="77777777" w:rsidR="0058789F" w:rsidRPr="00B42167" w:rsidRDefault="0058789F" w:rsidP="00AD1066">
            <w:pPr>
              <w:pStyle w:val="TableBodyTextrightalign"/>
              <w:rPr>
                <w:rStyle w:val="Characterbold"/>
              </w:rPr>
            </w:pPr>
            <w:r w:rsidRPr="00774B0F">
              <w:rPr>
                <w:rStyle w:val="Characterbold"/>
              </w:rPr>
              <w:t>–</w:t>
            </w:r>
          </w:p>
        </w:tc>
        <w:tc>
          <w:tcPr>
            <w:tcW w:w="939" w:type="dxa"/>
            <w:tcBorders>
              <w:top w:val="dotted" w:sz="4" w:space="0" w:color="auto"/>
              <w:bottom w:val="single" w:sz="4" w:space="0" w:color="auto"/>
            </w:tcBorders>
            <w:noWrap/>
            <w:hideMark/>
          </w:tcPr>
          <w:p w14:paraId="11F07B0C" w14:textId="77777777" w:rsidR="0058789F" w:rsidRPr="00B42167" w:rsidRDefault="0058789F" w:rsidP="00AD1066">
            <w:pPr>
              <w:pStyle w:val="TableBodyTextrightalign"/>
              <w:rPr>
                <w:rStyle w:val="Characterbold"/>
              </w:rPr>
            </w:pPr>
            <w:r w:rsidRPr="00B42167">
              <w:rPr>
                <w:rStyle w:val="Characterbold"/>
              </w:rPr>
              <w:t>–</w:t>
            </w:r>
          </w:p>
        </w:tc>
        <w:tc>
          <w:tcPr>
            <w:tcW w:w="939" w:type="dxa"/>
            <w:tcBorders>
              <w:top w:val="dotted" w:sz="4" w:space="0" w:color="auto"/>
              <w:bottom w:val="single" w:sz="4" w:space="0" w:color="auto"/>
            </w:tcBorders>
            <w:shd w:val="clear" w:color="auto" w:fill="F2F2F2" w:themeFill="background1" w:themeFillShade="F2"/>
            <w:noWrap/>
          </w:tcPr>
          <w:p w14:paraId="51AD3667" w14:textId="77777777" w:rsidR="0058789F" w:rsidRPr="00B42167" w:rsidRDefault="0058789F" w:rsidP="00AD1066">
            <w:pPr>
              <w:pStyle w:val="TableBodyTextrightalign"/>
              <w:rPr>
                <w:rStyle w:val="Characterbold"/>
              </w:rPr>
            </w:pPr>
            <w:r w:rsidRPr="00B42167">
              <w:rPr>
                <w:rStyle w:val="Characterbold"/>
              </w:rPr>
              <w:t>(1,114)</w:t>
            </w:r>
          </w:p>
        </w:tc>
        <w:tc>
          <w:tcPr>
            <w:tcW w:w="940" w:type="dxa"/>
            <w:tcBorders>
              <w:top w:val="dotted" w:sz="4" w:space="0" w:color="auto"/>
              <w:bottom w:val="single" w:sz="4" w:space="0" w:color="auto"/>
            </w:tcBorders>
            <w:noWrap/>
            <w:hideMark/>
          </w:tcPr>
          <w:p w14:paraId="7D0CEC59" w14:textId="77777777" w:rsidR="0058789F" w:rsidRPr="00B42167" w:rsidRDefault="0058789F" w:rsidP="00AD1066">
            <w:pPr>
              <w:pStyle w:val="TableBodyTextrightalign"/>
              <w:rPr>
                <w:rStyle w:val="Characterbold"/>
              </w:rPr>
            </w:pPr>
            <w:r w:rsidRPr="00B42167">
              <w:rPr>
                <w:rStyle w:val="Characterbold"/>
              </w:rPr>
              <w:t>(640)</w:t>
            </w:r>
          </w:p>
        </w:tc>
      </w:tr>
      <w:tr w:rsidR="0058789F" w:rsidRPr="007C70BE" w14:paraId="1EE888F9" w14:textId="77777777" w:rsidTr="00AD1066">
        <w:trPr>
          <w:trHeight w:val="300"/>
        </w:trPr>
        <w:tc>
          <w:tcPr>
            <w:tcW w:w="0" w:type="auto"/>
            <w:tcBorders>
              <w:top w:val="single" w:sz="4" w:space="0" w:color="auto"/>
              <w:bottom w:val="dotted" w:sz="4" w:space="0" w:color="auto"/>
            </w:tcBorders>
            <w:noWrap/>
            <w:hideMark/>
          </w:tcPr>
          <w:p w14:paraId="2AA3FA69" w14:textId="77777777" w:rsidR="0058789F" w:rsidRPr="007C70BE" w:rsidRDefault="0058789F" w:rsidP="00AD1066">
            <w:pPr>
              <w:pStyle w:val="TableBodyText"/>
            </w:pPr>
            <w:r w:rsidRPr="007C70BE">
              <w:t xml:space="preserve">Amortisation </w:t>
            </w:r>
          </w:p>
        </w:tc>
        <w:tc>
          <w:tcPr>
            <w:tcW w:w="939" w:type="dxa"/>
            <w:tcBorders>
              <w:top w:val="single" w:sz="4" w:space="0" w:color="auto"/>
              <w:bottom w:val="dotted" w:sz="4" w:space="0" w:color="auto"/>
            </w:tcBorders>
            <w:shd w:val="clear" w:color="auto" w:fill="F2F2F2" w:themeFill="background1" w:themeFillShade="F2"/>
            <w:noWrap/>
          </w:tcPr>
          <w:p w14:paraId="6FCA5D7E" w14:textId="77777777" w:rsidR="0058789F" w:rsidRPr="007C70BE" w:rsidRDefault="0058789F" w:rsidP="00AD1066">
            <w:pPr>
              <w:pStyle w:val="TableBodyTextrightalign"/>
            </w:pPr>
            <w:r>
              <w:t>(721)</w:t>
            </w:r>
          </w:p>
        </w:tc>
        <w:tc>
          <w:tcPr>
            <w:tcW w:w="939" w:type="dxa"/>
            <w:tcBorders>
              <w:top w:val="single" w:sz="4" w:space="0" w:color="auto"/>
              <w:bottom w:val="dotted" w:sz="4" w:space="0" w:color="auto"/>
            </w:tcBorders>
            <w:noWrap/>
            <w:hideMark/>
          </w:tcPr>
          <w:p w14:paraId="41719253" w14:textId="77777777" w:rsidR="0058789F" w:rsidRPr="007C70BE" w:rsidRDefault="0058789F" w:rsidP="00AD1066">
            <w:pPr>
              <w:pStyle w:val="TableBodyTextrightalign"/>
            </w:pPr>
            <w:r>
              <w:t>(474)</w:t>
            </w:r>
          </w:p>
        </w:tc>
        <w:tc>
          <w:tcPr>
            <w:tcW w:w="940" w:type="dxa"/>
            <w:tcBorders>
              <w:top w:val="single" w:sz="4" w:space="0" w:color="auto"/>
              <w:bottom w:val="dotted" w:sz="4" w:space="0" w:color="auto"/>
            </w:tcBorders>
            <w:shd w:val="clear" w:color="auto" w:fill="F2F2F2" w:themeFill="background1" w:themeFillShade="F2"/>
            <w:noWrap/>
          </w:tcPr>
          <w:p w14:paraId="3D075531" w14:textId="77777777" w:rsidR="0058789F" w:rsidRPr="007C70BE" w:rsidRDefault="0058789F" w:rsidP="00AD1066">
            <w:pPr>
              <w:pStyle w:val="TableBodyTextrightalign"/>
            </w:pPr>
            <w:r w:rsidRPr="008C37D6">
              <w:t>–</w:t>
            </w:r>
          </w:p>
        </w:tc>
        <w:tc>
          <w:tcPr>
            <w:tcW w:w="939" w:type="dxa"/>
            <w:tcBorders>
              <w:top w:val="single" w:sz="4" w:space="0" w:color="auto"/>
              <w:bottom w:val="dotted" w:sz="4" w:space="0" w:color="auto"/>
            </w:tcBorders>
            <w:noWrap/>
            <w:hideMark/>
          </w:tcPr>
          <w:p w14:paraId="5D5C06E0" w14:textId="77777777" w:rsidR="0058789F" w:rsidRPr="007C70BE" w:rsidRDefault="0058789F" w:rsidP="00AD1066">
            <w:pPr>
              <w:pStyle w:val="TableBodyTextrightalign"/>
            </w:pPr>
            <w:r w:rsidRPr="000427F7">
              <w:t>–</w:t>
            </w:r>
          </w:p>
        </w:tc>
        <w:tc>
          <w:tcPr>
            <w:tcW w:w="939" w:type="dxa"/>
            <w:tcBorders>
              <w:top w:val="single" w:sz="4" w:space="0" w:color="auto"/>
              <w:bottom w:val="dotted" w:sz="4" w:space="0" w:color="auto"/>
            </w:tcBorders>
            <w:shd w:val="clear" w:color="auto" w:fill="F2F2F2" w:themeFill="background1" w:themeFillShade="F2"/>
            <w:noWrap/>
          </w:tcPr>
          <w:p w14:paraId="2E80A38E" w14:textId="77777777" w:rsidR="0058789F" w:rsidRPr="007C70BE" w:rsidRDefault="0058789F" w:rsidP="00AD1066">
            <w:pPr>
              <w:pStyle w:val="TableBodyTextrightalign"/>
            </w:pPr>
            <w:r>
              <w:t>(721)</w:t>
            </w:r>
          </w:p>
        </w:tc>
        <w:tc>
          <w:tcPr>
            <w:tcW w:w="940" w:type="dxa"/>
            <w:tcBorders>
              <w:top w:val="single" w:sz="4" w:space="0" w:color="auto"/>
              <w:bottom w:val="dotted" w:sz="4" w:space="0" w:color="auto"/>
            </w:tcBorders>
            <w:noWrap/>
            <w:hideMark/>
          </w:tcPr>
          <w:p w14:paraId="180F52CF" w14:textId="77777777" w:rsidR="0058789F" w:rsidRPr="007C70BE" w:rsidRDefault="0058789F" w:rsidP="00AD1066">
            <w:pPr>
              <w:pStyle w:val="TableBodyTextrightalign"/>
            </w:pPr>
            <w:r>
              <w:t>(474)</w:t>
            </w:r>
          </w:p>
        </w:tc>
      </w:tr>
      <w:tr w:rsidR="0058789F" w:rsidRPr="007C70BE" w14:paraId="5DBA0C56" w14:textId="77777777" w:rsidTr="00AD1066">
        <w:trPr>
          <w:trHeight w:val="300"/>
        </w:trPr>
        <w:tc>
          <w:tcPr>
            <w:tcW w:w="0" w:type="auto"/>
            <w:tcBorders>
              <w:top w:val="dotted" w:sz="4" w:space="0" w:color="auto"/>
              <w:bottom w:val="single" w:sz="4" w:space="0" w:color="auto"/>
            </w:tcBorders>
            <w:noWrap/>
            <w:hideMark/>
          </w:tcPr>
          <w:p w14:paraId="59DB6DA8" w14:textId="77777777" w:rsidR="0058789F" w:rsidRPr="00B42167" w:rsidRDefault="0058789F" w:rsidP="00AD1066">
            <w:pPr>
              <w:pStyle w:val="TableBodyText"/>
              <w:rPr>
                <w:rStyle w:val="Characterbold"/>
              </w:rPr>
            </w:pPr>
            <w:r w:rsidRPr="00B42167">
              <w:rPr>
                <w:rStyle w:val="Characterbold"/>
              </w:rPr>
              <w:t>Closing balance</w:t>
            </w:r>
          </w:p>
        </w:tc>
        <w:tc>
          <w:tcPr>
            <w:tcW w:w="939" w:type="dxa"/>
            <w:tcBorders>
              <w:top w:val="dotted" w:sz="4" w:space="0" w:color="auto"/>
              <w:bottom w:val="single" w:sz="4" w:space="0" w:color="auto"/>
            </w:tcBorders>
            <w:shd w:val="clear" w:color="auto" w:fill="F2F2F2" w:themeFill="background1" w:themeFillShade="F2"/>
            <w:noWrap/>
          </w:tcPr>
          <w:p w14:paraId="520A9E85" w14:textId="77777777" w:rsidR="0058789F" w:rsidRPr="00B42167" w:rsidRDefault="0058789F" w:rsidP="00AD1066">
            <w:pPr>
              <w:pStyle w:val="TableBodyTextrightalign"/>
              <w:rPr>
                <w:rStyle w:val="Characterbold"/>
              </w:rPr>
            </w:pPr>
            <w:r w:rsidRPr="00B42167">
              <w:rPr>
                <w:rStyle w:val="Characterbold"/>
              </w:rPr>
              <w:t>(1,835)</w:t>
            </w:r>
          </w:p>
        </w:tc>
        <w:tc>
          <w:tcPr>
            <w:tcW w:w="939" w:type="dxa"/>
            <w:tcBorders>
              <w:top w:val="dotted" w:sz="4" w:space="0" w:color="auto"/>
              <w:bottom w:val="single" w:sz="4" w:space="0" w:color="auto"/>
            </w:tcBorders>
            <w:noWrap/>
            <w:hideMark/>
          </w:tcPr>
          <w:p w14:paraId="7C704202" w14:textId="77777777" w:rsidR="0058789F" w:rsidRPr="00B42167" w:rsidRDefault="0058789F" w:rsidP="00AD1066">
            <w:pPr>
              <w:pStyle w:val="TableBodyTextrightalign"/>
              <w:rPr>
                <w:rStyle w:val="Characterbold"/>
              </w:rPr>
            </w:pPr>
            <w:r w:rsidRPr="00B42167">
              <w:rPr>
                <w:rStyle w:val="Characterbold"/>
              </w:rPr>
              <w:t>(1,113)</w:t>
            </w:r>
          </w:p>
        </w:tc>
        <w:tc>
          <w:tcPr>
            <w:tcW w:w="940" w:type="dxa"/>
            <w:tcBorders>
              <w:top w:val="dotted" w:sz="4" w:space="0" w:color="auto"/>
              <w:bottom w:val="single" w:sz="4" w:space="0" w:color="auto"/>
            </w:tcBorders>
            <w:shd w:val="clear" w:color="auto" w:fill="F2F2F2" w:themeFill="background1" w:themeFillShade="F2"/>
            <w:noWrap/>
          </w:tcPr>
          <w:p w14:paraId="79A143EE" w14:textId="77777777" w:rsidR="0058789F" w:rsidRPr="00B42167" w:rsidRDefault="0058789F" w:rsidP="00AD1066">
            <w:pPr>
              <w:pStyle w:val="TableBodyTextrightalign"/>
              <w:rPr>
                <w:rStyle w:val="Characterbold"/>
              </w:rPr>
            </w:pPr>
            <w:r w:rsidRPr="00774B0F">
              <w:rPr>
                <w:rStyle w:val="Characterbold"/>
              </w:rPr>
              <w:t>–</w:t>
            </w:r>
          </w:p>
        </w:tc>
        <w:tc>
          <w:tcPr>
            <w:tcW w:w="939" w:type="dxa"/>
            <w:tcBorders>
              <w:top w:val="dotted" w:sz="4" w:space="0" w:color="auto"/>
              <w:bottom w:val="single" w:sz="4" w:space="0" w:color="auto"/>
            </w:tcBorders>
            <w:noWrap/>
            <w:hideMark/>
          </w:tcPr>
          <w:p w14:paraId="3AB7EF62" w14:textId="77777777" w:rsidR="0058789F" w:rsidRPr="00B42167" w:rsidRDefault="0058789F" w:rsidP="00AD1066">
            <w:pPr>
              <w:pStyle w:val="TableBodyTextrightalign"/>
              <w:rPr>
                <w:rStyle w:val="Characterbold"/>
              </w:rPr>
            </w:pPr>
            <w:r w:rsidRPr="00B42167">
              <w:rPr>
                <w:rStyle w:val="Characterbold"/>
              </w:rPr>
              <w:t>–</w:t>
            </w:r>
          </w:p>
        </w:tc>
        <w:tc>
          <w:tcPr>
            <w:tcW w:w="939" w:type="dxa"/>
            <w:tcBorders>
              <w:top w:val="dotted" w:sz="4" w:space="0" w:color="auto"/>
              <w:bottom w:val="single" w:sz="4" w:space="0" w:color="auto"/>
            </w:tcBorders>
            <w:shd w:val="clear" w:color="auto" w:fill="F2F2F2" w:themeFill="background1" w:themeFillShade="F2"/>
            <w:noWrap/>
          </w:tcPr>
          <w:p w14:paraId="3D674810" w14:textId="77777777" w:rsidR="0058789F" w:rsidRPr="00B42167" w:rsidRDefault="0058789F" w:rsidP="00AD1066">
            <w:pPr>
              <w:pStyle w:val="TableBodyTextrightalign"/>
              <w:rPr>
                <w:rStyle w:val="Characterbold"/>
              </w:rPr>
            </w:pPr>
            <w:r w:rsidRPr="00B42167">
              <w:rPr>
                <w:rStyle w:val="Characterbold"/>
              </w:rPr>
              <w:t>(1,835)</w:t>
            </w:r>
          </w:p>
        </w:tc>
        <w:tc>
          <w:tcPr>
            <w:tcW w:w="940" w:type="dxa"/>
            <w:tcBorders>
              <w:top w:val="dotted" w:sz="4" w:space="0" w:color="auto"/>
              <w:bottom w:val="single" w:sz="4" w:space="0" w:color="auto"/>
            </w:tcBorders>
            <w:noWrap/>
            <w:hideMark/>
          </w:tcPr>
          <w:p w14:paraId="3E444FE6" w14:textId="77777777" w:rsidR="0058789F" w:rsidRPr="00B42167" w:rsidRDefault="0058789F" w:rsidP="00AD1066">
            <w:pPr>
              <w:pStyle w:val="TableBodyTextrightalign"/>
              <w:rPr>
                <w:rStyle w:val="Characterbold"/>
              </w:rPr>
            </w:pPr>
            <w:r w:rsidRPr="00B42167">
              <w:rPr>
                <w:rStyle w:val="Characterbold"/>
              </w:rPr>
              <w:t>(1,113)</w:t>
            </w:r>
          </w:p>
        </w:tc>
      </w:tr>
      <w:tr w:rsidR="0058789F" w:rsidRPr="007C70BE" w14:paraId="2C50E684" w14:textId="77777777" w:rsidTr="00AD1066">
        <w:trPr>
          <w:trHeight w:val="315"/>
        </w:trPr>
        <w:tc>
          <w:tcPr>
            <w:tcW w:w="0" w:type="auto"/>
            <w:tcBorders>
              <w:top w:val="single" w:sz="4" w:space="0" w:color="auto"/>
              <w:bottom w:val="single" w:sz="4" w:space="0" w:color="auto"/>
            </w:tcBorders>
            <w:noWrap/>
            <w:hideMark/>
          </w:tcPr>
          <w:p w14:paraId="45781AA8" w14:textId="77777777" w:rsidR="0058789F" w:rsidRPr="008645E9" w:rsidRDefault="0058789F" w:rsidP="00AD1066">
            <w:pPr>
              <w:pStyle w:val="TableBodyText"/>
              <w:rPr>
                <w:rStyle w:val="Characterbold"/>
              </w:rPr>
            </w:pPr>
            <w:r w:rsidRPr="008645E9">
              <w:rPr>
                <w:rStyle w:val="Characterbold"/>
              </w:rPr>
              <w:t>Net book value at end of financial year</w:t>
            </w:r>
          </w:p>
        </w:tc>
        <w:tc>
          <w:tcPr>
            <w:tcW w:w="939" w:type="dxa"/>
            <w:tcBorders>
              <w:top w:val="single" w:sz="4" w:space="0" w:color="auto"/>
              <w:bottom w:val="single" w:sz="4" w:space="0" w:color="auto"/>
            </w:tcBorders>
            <w:shd w:val="clear" w:color="auto" w:fill="F2F2F2" w:themeFill="background1" w:themeFillShade="F2"/>
            <w:noWrap/>
          </w:tcPr>
          <w:p w14:paraId="2BA36996" w14:textId="77777777" w:rsidR="0058789F" w:rsidRPr="00B42167" w:rsidRDefault="0058789F" w:rsidP="00AD1066">
            <w:pPr>
              <w:pStyle w:val="TableBodyTextrightalign"/>
              <w:rPr>
                <w:rStyle w:val="Characterbold"/>
              </w:rPr>
            </w:pPr>
            <w:r w:rsidRPr="00B42167">
              <w:rPr>
                <w:rStyle w:val="Characterbold"/>
              </w:rPr>
              <w:t>102</w:t>
            </w:r>
          </w:p>
        </w:tc>
        <w:tc>
          <w:tcPr>
            <w:tcW w:w="939" w:type="dxa"/>
            <w:tcBorders>
              <w:top w:val="single" w:sz="4" w:space="0" w:color="auto"/>
              <w:bottom w:val="single" w:sz="4" w:space="0" w:color="auto"/>
            </w:tcBorders>
            <w:noWrap/>
            <w:hideMark/>
          </w:tcPr>
          <w:p w14:paraId="37166F11" w14:textId="77777777" w:rsidR="0058789F" w:rsidRPr="00B42167" w:rsidRDefault="0058789F" w:rsidP="00AD1066">
            <w:pPr>
              <w:pStyle w:val="TableBodyTextrightalign"/>
              <w:rPr>
                <w:rStyle w:val="Characterbold"/>
              </w:rPr>
            </w:pPr>
            <w:r w:rsidRPr="00B42167">
              <w:rPr>
                <w:rStyle w:val="Characterbold"/>
              </w:rPr>
              <w:t>806</w:t>
            </w:r>
          </w:p>
        </w:tc>
        <w:tc>
          <w:tcPr>
            <w:tcW w:w="940" w:type="dxa"/>
            <w:tcBorders>
              <w:top w:val="single" w:sz="4" w:space="0" w:color="auto"/>
              <w:bottom w:val="single" w:sz="4" w:space="0" w:color="auto"/>
            </w:tcBorders>
            <w:shd w:val="clear" w:color="auto" w:fill="F2F2F2" w:themeFill="background1" w:themeFillShade="F2"/>
            <w:noWrap/>
          </w:tcPr>
          <w:p w14:paraId="72AFB544" w14:textId="77777777" w:rsidR="0058789F" w:rsidRPr="00B42167" w:rsidRDefault="0058789F" w:rsidP="00AD1066">
            <w:pPr>
              <w:pStyle w:val="TableBodyTextrightalign"/>
              <w:rPr>
                <w:rStyle w:val="Characterbold"/>
              </w:rPr>
            </w:pPr>
            <w:r w:rsidRPr="00774B0F">
              <w:rPr>
                <w:rStyle w:val="Characterbold"/>
              </w:rPr>
              <w:t>–</w:t>
            </w:r>
          </w:p>
        </w:tc>
        <w:tc>
          <w:tcPr>
            <w:tcW w:w="939" w:type="dxa"/>
            <w:tcBorders>
              <w:top w:val="single" w:sz="4" w:space="0" w:color="auto"/>
              <w:bottom w:val="single" w:sz="4" w:space="0" w:color="auto"/>
            </w:tcBorders>
            <w:noWrap/>
            <w:hideMark/>
          </w:tcPr>
          <w:p w14:paraId="59C9E697" w14:textId="77777777" w:rsidR="0058789F" w:rsidRPr="00B42167" w:rsidRDefault="0058789F" w:rsidP="00AD1066">
            <w:pPr>
              <w:pStyle w:val="TableBodyTextrightalign"/>
              <w:rPr>
                <w:rStyle w:val="Characterbold"/>
              </w:rPr>
            </w:pPr>
            <w:r w:rsidRPr="00B42167">
              <w:rPr>
                <w:rStyle w:val="Characterbold"/>
              </w:rPr>
              <w:t>72</w:t>
            </w:r>
          </w:p>
        </w:tc>
        <w:tc>
          <w:tcPr>
            <w:tcW w:w="939" w:type="dxa"/>
            <w:tcBorders>
              <w:top w:val="single" w:sz="4" w:space="0" w:color="auto"/>
              <w:bottom w:val="single" w:sz="4" w:space="0" w:color="auto"/>
            </w:tcBorders>
            <w:shd w:val="clear" w:color="auto" w:fill="F2F2F2" w:themeFill="background1" w:themeFillShade="F2"/>
            <w:noWrap/>
          </w:tcPr>
          <w:p w14:paraId="31A0167C" w14:textId="77777777" w:rsidR="0058789F" w:rsidRPr="00B42167" w:rsidRDefault="0058789F" w:rsidP="00AD1066">
            <w:pPr>
              <w:pStyle w:val="TableBodyTextrightalign"/>
              <w:rPr>
                <w:rStyle w:val="Characterbold"/>
              </w:rPr>
            </w:pPr>
            <w:r w:rsidRPr="00B42167">
              <w:rPr>
                <w:rStyle w:val="Characterbold"/>
              </w:rPr>
              <w:t>102</w:t>
            </w:r>
          </w:p>
        </w:tc>
        <w:tc>
          <w:tcPr>
            <w:tcW w:w="940" w:type="dxa"/>
            <w:tcBorders>
              <w:top w:val="single" w:sz="4" w:space="0" w:color="auto"/>
              <w:bottom w:val="single" w:sz="4" w:space="0" w:color="auto"/>
            </w:tcBorders>
            <w:noWrap/>
            <w:hideMark/>
          </w:tcPr>
          <w:p w14:paraId="658B4E8A" w14:textId="77777777" w:rsidR="0058789F" w:rsidRPr="00B42167" w:rsidRDefault="0058789F" w:rsidP="00AD1066">
            <w:pPr>
              <w:pStyle w:val="TableBodyTextrightalign"/>
              <w:rPr>
                <w:rStyle w:val="Characterbold"/>
              </w:rPr>
            </w:pPr>
            <w:r w:rsidRPr="00B42167">
              <w:rPr>
                <w:rStyle w:val="Characterbold"/>
              </w:rPr>
              <w:t>877</w:t>
            </w:r>
          </w:p>
        </w:tc>
      </w:tr>
    </w:tbl>
    <w:p w14:paraId="36A81C63" w14:textId="3E3A57D4" w:rsidR="0058789F" w:rsidRPr="00DE7357" w:rsidRDefault="00465B9C" w:rsidP="0058789F">
      <w:pPr>
        <w:pStyle w:val="TableNote"/>
      </w:pPr>
      <w:r>
        <w:t>Notes</w:t>
      </w:r>
    </w:p>
    <w:p w14:paraId="6A55D1E9" w14:textId="709276A0" w:rsidR="0058789F" w:rsidRPr="00011599" w:rsidRDefault="0058789F" w:rsidP="0058789F">
      <w:pPr>
        <w:pStyle w:val="TableNote"/>
      </w:pPr>
      <w:r w:rsidRPr="00DE7357">
        <w:rPr>
          <w:rStyle w:val="Charactersuperscript"/>
        </w:rPr>
        <w:t>(a)</w:t>
      </w:r>
      <w:r>
        <w:t xml:space="preserve"> </w:t>
      </w:r>
      <w:r w:rsidR="00843838" w:rsidRPr="00843838">
        <w:t>During 2023 a total of $54,998 ha</w:t>
      </w:r>
      <w:r w:rsidR="00843838">
        <w:t>s</w:t>
      </w:r>
      <w:r w:rsidR="00843838" w:rsidRPr="00843838">
        <w:t xml:space="preserve"> been reclassified as operating expenditure. This was recognised as a capital expenditure in 2022.</w:t>
      </w:r>
    </w:p>
    <w:p w14:paraId="7962D093" w14:textId="77777777" w:rsidR="0058789F" w:rsidRPr="00653EEF" w:rsidRDefault="0058789F" w:rsidP="0058789F">
      <w:pPr>
        <w:pStyle w:val="Heading5"/>
      </w:pPr>
      <w:r w:rsidRPr="00653EEF">
        <w:t xml:space="preserve">Initial recognition </w:t>
      </w:r>
    </w:p>
    <w:p w14:paraId="5EE89E0C" w14:textId="77777777" w:rsidR="0058789F" w:rsidRPr="00653EEF" w:rsidRDefault="0058789F" w:rsidP="0058789F">
      <w:pPr>
        <w:pStyle w:val="BodyText"/>
      </w:pPr>
      <w:r w:rsidRPr="00653EEF">
        <w:t>An internally generated intangible asset arising from development (or from the development phase of an internal project) is recognised if, and only if, all the following are demonstrated:</w:t>
      </w:r>
    </w:p>
    <w:p w14:paraId="1D041BF0" w14:textId="77777777" w:rsidR="0058789F" w:rsidRPr="00653EEF" w:rsidRDefault="0058789F" w:rsidP="0058789F">
      <w:pPr>
        <w:pStyle w:val="ListBullet"/>
        <w:ind w:left="357" w:hanging="357"/>
      </w:pPr>
      <w:r w:rsidRPr="00653EEF">
        <w:t>technical feasibility of completing the intangible asset so that it will be available for use or sale</w:t>
      </w:r>
    </w:p>
    <w:p w14:paraId="41B0770A" w14:textId="77777777" w:rsidR="0058789F" w:rsidRPr="00653EEF" w:rsidRDefault="0058789F" w:rsidP="0058789F">
      <w:pPr>
        <w:pStyle w:val="ListBullet"/>
        <w:ind w:left="357" w:hanging="357"/>
      </w:pPr>
      <w:r w:rsidRPr="00653EEF">
        <w:t>intention to complete the intangible asset and use or sell it</w:t>
      </w:r>
    </w:p>
    <w:p w14:paraId="29D3A4F5" w14:textId="77777777" w:rsidR="0058789F" w:rsidRPr="00653EEF" w:rsidRDefault="0058789F" w:rsidP="0058789F">
      <w:pPr>
        <w:pStyle w:val="ListBullet"/>
        <w:ind w:left="357" w:hanging="357"/>
      </w:pPr>
      <w:r w:rsidRPr="00653EEF">
        <w:t>ability to use or sell the intangible asset</w:t>
      </w:r>
    </w:p>
    <w:p w14:paraId="376C1B2E" w14:textId="77777777" w:rsidR="0058789F" w:rsidRPr="00653EEF" w:rsidRDefault="0058789F" w:rsidP="0058789F">
      <w:pPr>
        <w:pStyle w:val="ListBullet"/>
        <w:ind w:left="357" w:hanging="357"/>
      </w:pPr>
      <w:r w:rsidRPr="00653EEF">
        <w:t>intangible asset will generate probable future economic benefits</w:t>
      </w:r>
    </w:p>
    <w:p w14:paraId="495B74D3" w14:textId="77777777" w:rsidR="0058789F" w:rsidRPr="00653EEF" w:rsidRDefault="0058789F" w:rsidP="0058789F">
      <w:pPr>
        <w:pStyle w:val="ListBullet"/>
        <w:ind w:left="357" w:hanging="357"/>
      </w:pPr>
      <w:r w:rsidRPr="00653EEF">
        <w:t>availability of adequate technical, financial and other resources to complete the development and to use or sell the intangible asset</w:t>
      </w:r>
    </w:p>
    <w:p w14:paraId="549D9692" w14:textId="77777777" w:rsidR="0058789F" w:rsidRPr="00653EEF" w:rsidRDefault="0058789F" w:rsidP="0058789F">
      <w:pPr>
        <w:pStyle w:val="ListBullet"/>
        <w:ind w:left="357" w:hanging="357"/>
      </w:pPr>
      <w:r w:rsidRPr="00653EEF">
        <w:t>ability to measure reliably the expenditure attributable to the intangible asset during its development.</w:t>
      </w:r>
    </w:p>
    <w:p w14:paraId="3CA649AA" w14:textId="77777777" w:rsidR="0058789F" w:rsidRPr="00653EEF" w:rsidRDefault="0058789F" w:rsidP="0058789F">
      <w:pPr>
        <w:pStyle w:val="BodyText"/>
      </w:pPr>
      <w:r w:rsidRPr="00653EEF">
        <w:t xml:space="preserve">Purchased intangible assets are initially recognised at cost. When the recognition criteria in </w:t>
      </w:r>
      <w:r w:rsidRPr="00E95B19">
        <w:t>AASB</w:t>
      </w:r>
      <w:r w:rsidRPr="00011599">
        <w:rPr>
          <w:rStyle w:val="Characteritalic"/>
        </w:rPr>
        <w:t xml:space="preserve"> </w:t>
      </w:r>
      <w:r w:rsidRPr="00E95B19">
        <w:t>138</w:t>
      </w:r>
      <w:r w:rsidRPr="00011599">
        <w:rPr>
          <w:rStyle w:val="Characteritalic"/>
        </w:rPr>
        <w:t xml:space="preserve"> Intangible Assets</w:t>
      </w:r>
      <w:r w:rsidRPr="00653EEF">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w:t>
      </w:r>
    </w:p>
    <w:p w14:paraId="5264C471" w14:textId="77777777" w:rsidR="0058789F" w:rsidRPr="00653EEF" w:rsidRDefault="0058789F" w:rsidP="0058789F">
      <w:pPr>
        <w:pStyle w:val="Heading5"/>
      </w:pPr>
      <w:r w:rsidRPr="00653EEF">
        <w:t>Subsequent measurement</w:t>
      </w:r>
    </w:p>
    <w:p w14:paraId="7ED0FA0A" w14:textId="77777777" w:rsidR="0058789F" w:rsidRPr="00653EEF" w:rsidRDefault="0058789F" w:rsidP="0058789F">
      <w:pPr>
        <w:pStyle w:val="BodyText"/>
      </w:pPr>
      <w:r w:rsidRPr="00653EEF">
        <w:t xml:space="preserve">Intangible produced assets with finite useful lives are amortised as an ‘expense from transactions’ on a straight-line basis over their useful lives. </w:t>
      </w:r>
      <w:r>
        <w:t>I</w:t>
      </w:r>
      <w:r w:rsidRPr="00653EEF">
        <w:t>ntangible</w:t>
      </w:r>
      <w:r>
        <w:t xml:space="preserve"> assets</w:t>
      </w:r>
      <w:r w:rsidRPr="00653EEF">
        <w:t xml:space="preserve"> have useful lives of between three to </w:t>
      </w:r>
      <w:r>
        <w:t>six</w:t>
      </w:r>
      <w:r w:rsidRPr="00653EEF">
        <w:t xml:space="preserve"> years.</w:t>
      </w:r>
    </w:p>
    <w:p w14:paraId="32154D6A" w14:textId="77777777" w:rsidR="0058789F" w:rsidRPr="00653EEF" w:rsidRDefault="0058789F" w:rsidP="0058789F">
      <w:pPr>
        <w:pStyle w:val="BodyText"/>
      </w:pPr>
      <w:r w:rsidRPr="00653EEF">
        <w:t xml:space="preserve">Intangible non-produced assets with finite lives are amortised as an ‘other economic flow’ on a straight-line basis over their useful lives. The amortisation period is three to </w:t>
      </w:r>
      <w:r>
        <w:t>six</w:t>
      </w:r>
      <w:r w:rsidRPr="00653EEF">
        <w:t xml:space="preserve"> years.</w:t>
      </w:r>
    </w:p>
    <w:p w14:paraId="7647B80B" w14:textId="77777777" w:rsidR="0058789F" w:rsidRPr="00653EEF" w:rsidRDefault="0058789F" w:rsidP="0058789F">
      <w:pPr>
        <w:pStyle w:val="Heading5"/>
      </w:pPr>
      <w:r w:rsidRPr="00653EEF">
        <w:t>Impairment of intangible assets</w:t>
      </w:r>
    </w:p>
    <w:p w14:paraId="386C6459" w14:textId="77777777" w:rsidR="0058789F" w:rsidRPr="00653EEF" w:rsidRDefault="0058789F" w:rsidP="0058789F">
      <w:pPr>
        <w:pStyle w:val="BodyText"/>
      </w:pPr>
      <w:r w:rsidRPr="00653EEF">
        <w:t>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315288F8" w14:textId="77777777" w:rsidR="0058789F" w:rsidRPr="00653EEF" w:rsidRDefault="0058789F" w:rsidP="0058789F">
      <w:pPr>
        <w:pStyle w:val="Heading5"/>
      </w:pPr>
      <w:r w:rsidRPr="00653EEF">
        <w:t>Significant intangible assets</w:t>
      </w:r>
    </w:p>
    <w:p w14:paraId="465D5561" w14:textId="77777777" w:rsidR="0058789F" w:rsidRPr="007211D6" w:rsidRDefault="0058789F" w:rsidP="0058789F">
      <w:pPr>
        <w:pStyle w:val="BodyText"/>
      </w:pPr>
      <w:r w:rsidRPr="00653EEF">
        <w:t xml:space="preserve">IBAC has capitalised software development expenditure for the development of its Case Management System (CMS). </w:t>
      </w:r>
      <w:r w:rsidRPr="00851660">
        <w:t>The carrying amount of the CMS is $</w:t>
      </w:r>
      <w:r>
        <w:t>102,525</w:t>
      </w:r>
      <w:r w:rsidRPr="00851660">
        <w:t xml:space="preserve"> (202</w:t>
      </w:r>
      <w:r>
        <w:t>2</w:t>
      </w:r>
      <w:r w:rsidRPr="00851660">
        <w:t>: $</w:t>
      </w:r>
      <w:r>
        <w:t>805,622</w:t>
      </w:r>
      <w:r w:rsidRPr="00851660">
        <w:t>). Its useful life is five years and will be fully amortised in August 2023.</w:t>
      </w:r>
      <w:bookmarkStart w:id="181" w:name="_Ref120788296"/>
      <w:r>
        <w:br w:type="page"/>
      </w:r>
    </w:p>
    <w:p w14:paraId="05A1486D" w14:textId="77777777" w:rsidR="0058789F" w:rsidRDefault="0058789F" w:rsidP="0058789F">
      <w:pPr>
        <w:pStyle w:val="NotesHeading1"/>
        <w:numPr>
          <w:ilvl w:val="0"/>
          <w:numId w:val="22"/>
        </w:numPr>
      </w:pPr>
      <w:r>
        <w:t>Other assets and liabilities</w:t>
      </w:r>
      <w:bookmarkEnd w:id="181"/>
    </w:p>
    <w:p w14:paraId="17643D70" w14:textId="77777777" w:rsidR="0058789F" w:rsidRPr="00BC7DC7" w:rsidRDefault="0058789F" w:rsidP="0058789F">
      <w:pPr>
        <w:pStyle w:val="BodyText"/>
      </w:pPr>
      <w:r w:rsidRPr="009275E4">
        <w:t>This section sets out those assets and liabilities that arose from IBAC’s controlled operations.</w:t>
      </w:r>
    </w:p>
    <w:p w14:paraId="3B495BC0" w14:textId="77777777" w:rsidR="0058789F" w:rsidRPr="006F399C" w:rsidRDefault="0058789F" w:rsidP="006F399C">
      <w:pPr>
        <w:pStyle w:val="NotesHeading2"/>
      </w:pPr>
      <w:bookmarkStart w:id="182" w:name="_Ref82072502"/>
      <w:r w:rsidRPr="006F399C">
        <w:t>Receivables</w:t>
      </w:r>
      <w:bookmarkEnd w:id="182"/>
    </w:p>
    <w:tbl>
      <w:tblPr>
        <w:tblStyle w:val="CustomTabledetailed"/>
        <w:tblW w:w="5000" w:type="pct"/>
        <w:tblLook w:val="0620" w:firstRow="1" w:lastRow="0" w:firstColumn="0" w:lastColumn="0" w:noHBand="1" w:noVBand="1"/>
      </w:tblPr>
      <w:tblGrid>
        <w:gridCol w:w="4268"/>
        <w:gridCol w:w="2380"/>
        <w:gridCol w:w="2379"/>
      </w:tblGrid>
      <w:tr w:rsidR="0058789F" w14:paraId="4EBD4BD4"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0" w:type="pct"/>
            <w:noWrap/>
            <w:hideMark/>
          </w:tcPr>
          <w:p w14:paraId="0851BA95" w14:textId="77777777" w:rsidR="0058789F" w:rsidRDefault="0058789F" w:rsidP="00AD1066">
            <w:pPr>
              <w:pStyle w:val="TableBodyText"/>
            </w:pPr>
            <w:r>
              <w:t> </w:t>
            </w:r>
          </w:p>
        </w:tc>
        <w:tc>
          <w:tcPr>
            <w:tcW w:w="0" w:type="pct"/>
            <w:noWrap/>
            <w:hideMark/>
          </w:tcPr>
          <w:p w14:paraId="426F93D6" w14:textId="77777777" w:rsidR="0058789F" w:rsidRDefault="0058789F" w:rsidP="00AD1066">
            <w:pPr>
              <w:pStyle w:val="TableHeading3rightalign"/>
            </w:pPr>
            <w:r>
              <w:t>2023</w:t>
            </w:r>
          </w:p>
          <w:p w14:paraId="4D874AF0" w14:textId="77777777" w:rsidR="0058789F" w:rsidRDefault="0058789F" w:rsidP="00AD1066">
            <w:pPr>
              <w:pStyle w:val="TableHeading3rightalign"/>
            </w:pPr>
            <w:r>
              <w:t>($’000)</w:t>
            </w:r>
          </w:p>
        </w:tc>
        <w:tc>
          <w:tcPr>
            <w:tcW w:w="0" w:type="pct"/>
            <w:noWrap/>
            <w:hideMark/>
          </w:tcPr>
          <w:p w14:paraId="5A52BCFE" w14:textId="77777777" w:rsidR="0058789F" w:rsidRDefault="0058789F" w:rsidP="00AD1066">
            <w:pPr>
              <w:pStyle w:val="TableHeading3rightalign"/>
            </w:pPr>
            <w:r>
              <w:t>2022</w:t>
            </w:r>
          </w:p>
          <w:p w14:paraId="33293404" w14:textId="77777777" w:rsidR="0058789F" w:rsidRDefault="0058789F" w:rsidP="00AD1066">
            <w:pPr>
              <w:pStyle w:val="TableHeading3rightalign"/>
            </w:pPr>
            <w:r>
              <w:t>($’000)</w:t>
            </w:r>
          </w:p>
        </w:tc>
      </w:tr>
      <w:tr w:rsidR="0058789F" w14:paraId="21D02C7E" w14:textId="77777777" w:rsidTr="00AD1066">
        <w:trPr>
          <w:trHeight w:val="255"/>
        </w:trPr>
        <w:tc>
          <w:tcPr>
            <w:tcW w:w="0" w:type="pct"/>
            <w:gridSpan w:val="3"/>
            <w:noWrap/>
            <w:hideMark/>
          </w:tcPr>
          <w:p w14:paraId="4F12DDB4" w14:textId="77777777" w:rsidR="0058789F" w:rsidRDefault="0058789F" w:rsidP="00AD1066">
            <w:pPr>
              <w:pStyle w:val="TableBodyTextsmall"/>
            </w:pPr>
          </w:p>
        </w:tc>
      </w:tr>
      <w:tr w:rsidR="0058789F" w14:paraId="37C70879" w14:textId="77777777" w:rsidTr="00AD1066">
        <w:trPr>
          <w:trHeight w:val="255"/>
        </w:trPr>
        <w:tc>
          <w:tcPr>
            <w:tcW w:w="0" w:type="pct"/>
            <w:gridSpan w:val="3"/>
            <w:noWrap/>
            <w:hideMark/>
          </w:tcPr>
          <w:p w14:paraId="4A47990B" w14:textId="77777777" w:rsidR="0058789F" w:rsidRDefault="0058789F" w:rsidP="00AD1066">
            <w:pPr>
              <w:pStyle w:val="TableHeading1"/>
            </w:pPr>
            <w:r>
              <w:t>Contractual </w:t>
            </w:r>
          </w:p>
        </w:tc>
      </w:tr>
      <w:tr w:rsidR="0058789F" w14:paraId="13539B87" w14:textId="77777777" w:rsidTr="00AD1066">
        <w:trPr>
          <w:trHeight w:val="255"/>
        </w:trPr>
        <w:tc>
          <w:tcPr>
            <w:tcW w:w="0" w:type="pct"/>
            <w:noWrap/>
            <w:hideMark/>
          </w:tcPr>
          <w:p w14:paraId="699CDCC0" w14:textId="77777777" w:rsidR="0058789F" w:rsidRDefault="0058789F" w:rsidP="00AD1066">
            <w:pPr>
              <w:pStyle w:val="TableBodyText"/>
            </w:pPr>
            <w:r>
              <w:t>Other receivables</w:t>
            </w:r>
            <w:r w:rsidRPr="007211D6">
              <w:rPr>
                <w:rStyle w:val="Charactersuperscript"/>
              </w:rPr>
              <w:t xml:space="preserve"> </w:t>
            </w:r>
          </w:p>
        </w:tc>
        <w:tc>
          <w:tcPr>
            <w:tcW w:w="0" w:type="pct"/>
            <w:shd w:val="clear" w:color="auto" w:fill="F2F2F2" w:themeFill="background1" w:themeFillShade="F2"/>
            <w:noWrap/>
            <w:hideMark/>
          </w:tcPr>
          <w:p w14:paraId="41CDA6F0" w14:textId="77777777" w:rsidR="0058789F" w:rsidRPr="00655CB2" w:rsidRDefault="0058789F" w:rsidP="00AD1066">
            <w:pPr>
              <w:pStyle w:val="TableBodyTextrightalign"/>
            </w:pPr>
            <w:r>
              <w:t>6</w:t>
            </w:r>
          </w:p>
        </w:tc>
        <w:tc>
          <w:tcPr>
            <w:tcW w:w="0" w:type="pct"/>
            <w:noWrap/>
            <w:hideMark/>
          </w:tcPr>
          <w:p w14:paraId="098A2254" w14:textId="77777777" w:rsidR="0058789F" w:rsidRDefault="0058789F" w:rsidP="00AD1066">
            <w:pPr>
              <w:pStyle w:val="TableBodyTextrightalign"/>
            </w:pPr>
            <w:r w:rsidRPr="00655CB2">
              <w:t>2</w:t>
            </w:r>
          </w:p>
        </w:tc>
      </w:tr>
      <w:tr w:rsidR="0058789F" w14:paraId="660017A8" w14:textId="77777777" w:rsidTr="00AD1066">
        <w:trPr>
          <w:trHeight w:val="255"/>
        </w:trPr>
        <w:tc>
          <w:tcPr>
            <w:tcW w:w="0" w:type="pct"/>
            <w:gridSpan w:val="3"/>
            <w:noWrap/>
            <w:hideMark/>
          </w:tcPr>
          <w:p w14:paraId="09824790" w14:textId="77777777" w:rsidR="0058789F" w:rsidRDefault="0058789F" w:rsidP="00AD1066">
            <w:pPr>
              <w:pStyle w:val="TableBodyTextsmall"/>
            </w:pPr>
          </w:p>
        </w:tc>
      </w:tr>
      <w:tr w:rsidR="0058789F" w14:paraId="7059525E" w14:textId="77777777" w:rsidTr="00AD1066">
        <w:trPr>
          <w:trHeight w:val="255"/>
        </w:trPr>
        <w:tc>
          <w:tcPr>
            <w:tcW w:w="0" w:type="pct"/>
            <w:gridSpan w:val="3"/>
            <w:noWrap/>
            <w:hideMark/>
          </w:tcPr>
          <w:p w14:paraId="2C9878A6" w14:textId="77777777" w:rsidR="0058789F" w:rsidRDefault="0058789F" w:rsidP="00AD1066">
            <w:pPr>
              <w:pStyle w:val="TableHeading1"/>
            </w:pPr>
            <w:r>
              <w:t>Statutory</w:t>
            </w:r>
          </w:p>
        </w:tc>
      </w:tr>
      <w:tr w:rsidR="0058789F" w14:paraId="1A9631E8" w14:textId="77777777" w:rsidTr="00AD1066">
        <w:trPr>
          <w:trHeight w:val="255"/>
        </w:trPr>
        <w:tc>
          <w:tcPr>
            <w:tcW w:w="0" w:type="pct"/>
            <w:tcBorders>
              <w:bottom w:val="single" w:sz="4" w:space="0" w:color="auto"/>
            </w:tcBorders>
            <w:noWrap/>
            <w:hideMark/>
          </w:tcPr>
          <w:p w14:paraId="2DB9C6BA" w14:textId="77777777" w:rsidR="0058789F" w:rsidRDefault="0058789F" w:rsidP="00AD1066">
            <w:pPr>
              <w:pStyle w:val="TableBodyText"/>
            </w:pPr>
            <w:r>
              <w:t>Amount owing from government</w:t>
            </w:r>
          </w:p>
        </w:tc>
        <w:tc>
          <w:tcPr>
            <w:tcW w:w="0" w:type="pct"/>
            <w:tcBorders>
              <w:bottom w:val="single" w:sz="4" w:space="0" w:color="auto"/>
            </w:tcBorders>
            <w:shd w:val="clear" w:color="auto" w:fill="F2F2F2" w:themeFill="background1" w:themeFillShade="F2"/>
            <w:noWrap/>
          </w:tcPr>
          <w:p w14:paraId="4B099AAC" w14:textId="77777777" w:rsidR="0058789F" w:rsidRDefault="0058789F" w:rsidP="00AD1066">
            <w:pPr>
              <w:pStyle w:val="TableBodyTextrightalign"/>
            </w:pPr>
            <w:r>
              <w:t>18,963</w:t>
            </w:r>
          </w:p>
        </w:tc>
        <w:tc>
          <w:tcPr>
            <w:tcW w:w="0" w:type="pct"/>
            <w:tcBorders>
              <w:bottom w:val="single" w:sz="4" w:space="0" w:color="auto"/>
            </w:tcBorders>
            <w:noWrap/>
            <w:hideMark/>
          </w:tcPr>
          <w:p w14:paraId="4A7F8ECD" w14:textId="77777777" w:rsidR="0058789F" w:rsidRDefault="0058789F" w:rsidP="00AD1066">
            <w:pPr>
              <w:pStyle w:val="TableBodyTextrightalign"/>
            </w:pPr>
            <w:r>
              <w:t>18,828</w:t>
            </w:r>
          </w:p>
        </w:tc>
      </w:tr>
      <w:tr w:rsidR="0058789F" w14:paraId="418F173E" w14:textId="77777777" w:rsidTr="00AD1066">
        <w:trPr>
          <w:trHeight w:val="255"/>
        </w:trPr>
        <w:tc>
          <w:tcPr>
            <w:tcW w:w="0" w:type="pct"/>
            <w:tcBorders>
              <w:top w:val="single" w:sz="4" w:space="0" w:color="auto"/>
              <w:bottom w:val="single" w:sz="4" w:space="0" w:color="auto"/>
            </w:tcBorders>
            <w:noWrap/>
            <w:hideMark/>
          </w:tcPr>
          <w:p w14:paraId="0F05462F" w14:textId="77777777" w:rsidR="0058789F" w:rsidRPr="000B6F4B" w:rsidRDefault="0058789F" w:rsidP="00AD1066">
            <w:pPr>
              <w:pStyle w:val="TableBodyText"/>
              <w:rPr>
                <w:rStyle w:val="Characterbold"/>
              </w:rPr>
            </w:pPr>
            <w:r w:rsidRPr="000B6F4B">
              <w:rPr>
                <w:rStyle w:val="Characterbold"/>
              </w:rPr>
              <w:t>Total receivables</w:t>
            </w:r>
          </w:p>
        </w:tc>
        <w:tc>
          <w:tcPr>
            <w:tcW w:w="0" w:type="pct"/>
            <w:tcBorders>
              <w:top w:val="single" w:sz="4" w:space="0" w:color="auto"/>
              <w:bottom w:val="single" w:sz="4" w:space="0" w:color="auto"/>
            </w:tcBorders>
            <w:shd w:val="clear" w:color="auto" w:fill="F2F2F2" w:themeFill="background1" w:themeFillShade="F2"/>
            <w:noWrap/>
          </w:tcPr>
          <w:p w14:paraId="586235B1" w14:textId="77777777" w:rsidR="0058789F" w:rsidRPr="007E78B5" w:rsidRDefault="0058789F" w:rsidP="007E78B5">
            <w:pPr>
              <w:pStyle w:val="TableBodyTextrightalign"/>
              <w:rPr>
                <w:rStyle w:val="Characterbold"/>
              </w:rPr>
            </w:pPr>
            <w:r w:rsidRPr="007E78B5">
              <w:rPr>
                <w:rStyle w:val="Characterbold"/>
              </w:rPr>
              <w:t>18,969</w:t>
            </w:r>
          </w:p>
        </w:tc>
        <w:tc>
          <w:tcPr>
            <w:tcW w:w="0" w:type="pct"/>
            <w:tcBorders>
              <w:top w:val="single" w:sz="4" w:space="0" w:color="auto"/>
              <w:bottom w:val="single" w:sz="4" w:space="0" w:color="auto"/>
            </w:tcBorders>
            <w:noWrap/>
            <w:hideMark/>
          </w:tcPr>
          <w:p w14:paraId="4AB29F1E" w14:textId="77777777" w:rsidR="0058789F" w:rsidRPr="000B6F4B" w:rsidRDefault="0058789F" w:rsidP="00AD1066">
            <w:pPr>
              <w:pStyle w:val="TableBodyTextrightalign"/>
              <w:rPr>
                <w:rStyle w:val="Characterbold"/>
              </w:rPr>
            </w:pPr>
            <w:r>
              <w:rPr>
                <w:rStyle w:val="Characterbold"/>
              </w:rPr>
              <w:t>18,830</w:t>
            </w:r>
          </w:p>
        </w:tc>
      </w:tr>
      <w:tr w:rsidR="0058789F" w14:paraId="012E0BD5" w14:textId="77777777" w:rsidTr="00AD1066">
        <w:trPr>
          <w:trHeight w:val="255"/>
        </w:trPr>
        <w:tc>
          <w:tcPr>
            <w:tcW w:w="0" w:type="pct"/>
            <w:gridSpan w:val="3"/>
            <w:tcBorders>
              <w:top w:val="single" w:sz="4" w:space="0" w:color="auto"/>
            </w:tcBorders>
            <w:noWrap/>
            <w:hideMark/>
          </w:tcPr>
          <w:p w14:paraId="297B7B18" w14:textId="77777777" w:rsidR="0058789F" w:rsidRPr="00A50A66" w:rsidRDefault="0058789F" w:rsidP="00A50A66">
            <w:pPr>
              <w:pStyle w:val="TableBodyText"/>
            </w:pPr>
            <w:r w:rsidRPr="00A50A66">
              <w:t>Represented by:</w:t>
            </w:r>
          </w:p>
        </w:tc>
      </w:tr>
      <w:tr w:rsidR="0058789F" w14:paraId="076210A7" w14:textId="77777777" w:rsidTr="00AD1066">
        <w:trPr>
          <w:trHeight w:val="255"/>
        </w:trPr>
        <w:tc>
          <w:tcPr>
            <w:tcW w:w="0" w:type="pct"/>
            <w:tcBorders>
              <w:bottom w:val="dotted" w:sz="4" w:space="0" w:color="auto"/>
            </w:tcBorders>
            <w:noWrap/>
            <w:hideMark/>
          </w:tcPr>
          <w:p w14:paraId="5E88A220" w14:textId="77777777" w:rsidR="0058789F" w:rsidRDefault="0058789F" w:rsidP="00AD1066">
            <w:pPr>
              <w:pStyle w:val="TableBodyText"/>
            </w:pPr>
            <w:r>
              <w:t>Current receivables</w:t>
            </w:r>
          </w:p>
        </w:tc>
        <w:tc>
          <w:tcPr>
            <w:tcW w:w="0" w:type="pct"/>
            <w:tcBorders>
              <w:bottom w:val="dotted" w:sz="4" w:space="0" w:color="auto"/>
            </w:tcBorders>
            <w:shd w:val="clear" w:color="auto" w:fill="F2F2F2" w:themeFill="background1" w:themeFillShade="F2"/>
            <w:noWrap/>
          </w:tcPr>
          <w:p w14:paraId="3AC084DC" w14:textId="77777777" w:rsidR="0058789F" w:rsidRDefault="0058789F" w:rsidP="00AD1066">
            <w:pPr>
              <w:pStyle w:val="TableBodyTextrightalign"/>
            </w:pPr>
            <w:r>
              <w:t>17,905</w:t>
            </w:r>
          </w:p>
        </w:tc>
        <w:tc>
          <w:tcPr>
            <w:tcW w:w="0" w:type="pct"/>
            <w:tcBorders>
              <w:bottom w:val="dotted" w:sz="4" w:space="0" w:color="auto"/>
            </w:tcBorders>
            <w:noWrap/>
            <w:hideMark/>
          </w:tcPr>
          <w:p w14:paraId="06B5CC0F" w14:textId="77777777" w:rsidR="0058789F" w:rsidRDefault="0058789F" w:rsidP="00AD1066">
            <w:pPr>
              <w:pStyle w:val="TableBodyTextrightalign"/>
            </w:pPr>
            <w:r>
              <w:t>18,055</w:t>
            </w:r>
          </w:p>
        </w:tc>
      </w:tr>
      <w:tr w:rsidR="0058789F" w14:paraId="3FF732AC" w14:textId="77777777" w:rsidTr="00AD1066">
        <w:trPr>
          <w:trHeight w:val="255"/>
        </w:trPr>
        <w:tc>
          <w:tcPr>
            <w:tcW w:w="0" w:type="pct"/>
            <w:tcBorders>
              <w:top w:val="dotted" w:sz="4" w:space="0" w:color="auto"/>
              <w:bottom w:val="single" w:sz="4" w:space="0" w:color="auto"/>
            </w:tcBorders>
            <w:noWrap/>
            <w:hideMark/>
          </w:tcPr>
          <w:p w14:paraId="582588CB" w14:textId="77777777" w:rsidR="0058789F" w:rsidRDefault="0058789F" w:rsidP="00AD1066">
            <w:pPr>
              <w:pStyle w:val="TableBodyText"/>
            </w:pPr>
            <w:r>
              <w:t>Non-current receivables</w:t>
            </w:r>
          </w:p>
        </w:tc>
        <w:tc>
          <w:tcPr>
            <w:tcW w:w="0" w:type="pct"/>
            <w:tcBorders>
              <w:top w:val="dotted" w:sz="4" w:space="0" w:color="auto"/>
              <w:bottom w:val="single" w:sz="4" w:space="0" w:color="auto"/>
            </w:tcBorders>
            <w:shd w:val="clear" w:color="auto" w:fill="F2F2F2" w:themeFill="background1" w:themeFillShade="F2"/>
            <w:noWrap/>
          </w:tcPr>
          <w:p w14:paraId="32FDC171" w14:textId="77777777" w:rsidR="0058789F" w:rsidRDefault="0058789F" w:rsidP="00AD1066">
            <w:pPr>
              <w:pStyle w:val="TableBodyTextrightalign"/>
            </w:pPr>
            <w:r>
              <w:t>1,064</w:t>
            </w:r>
          </w:p>
        </w:tc>
        <w:tc>
          <w:tcPr>
            <w:tcW w:w="0" w:type="pct"/>
            <w:tcBorders>
              <w:top w:val="dotted" w:sz="4" w:space="0" w:color="auto"/>
              <w:bottom w:val="single" w:sz="4" w:space="0" w:color="auto"/>
            </w:tcBorders>
            <w:noWrap/>
            <w:hideMark/>
          </w:tcPr>
          <w:p w14:paraId="4BF2E2E4" w14:textId="77777777" w:rsidR="0058789F" w:rsidRDefault="0058789F" w:rsidP="00AD1066">
            <w:pPr>
              <w:pStyle w:val="TableBodyTextrightalign"/>
            </w:pPr>
            <w:r>
              <w:t>775</w:t>
            </w:r>
          </w:p>
        </w:tc>
      </w:tr>
    </w:tbl>
    <w:p w14:paraId="095FD544" w14:textId="77777777" w:rsidR="0058789F" w:rsidRPr="00146503" w:rsidRDefault="0058789F" w:rsidP="0058789F">
      <w:pPr>
        <w:pStyle w:val="TableNote"/>
      </w:pPr>
    </w:p>
    <w:p w14:paraId="3C8550F1" w14:textId="77777777" w:rsidR="0058789F" w:rsidRPr="00EF4840" w:rsidRDefault="0058789F" w:rsidP="0058789F">
      <w:pPr>
        <w:pStyle w:val="BodyText"/>
      </w:pPr>
      <w:r w:rsidRPr="00785DFE">
        <w:rPr>
          <w:rStyle w:val="Characterbold"/>
        </w:rPr>
        <w:t>Contractual receivables</w:t>
      </w:r>
      <w:r w:rsidRPr="00EF4840">
        <w:t xml:space="preserve"> are classified as financial instruments and categorised as ‘financial assets at amortised cost</w:t>
      </w:r>
      <w:r>
        <w:t>’</w:t>
      </w:r>
      <w:r w:rsidRPr="00EF4840">
        <w:t>. They are initially recognised at fair value plus any directly attributable transaction costs. Subsequent to initial measurement</w:t>
      </w:r>
      <w:r>
        <w:t>,</w:t>
      </w:r>
      <w:r w:rsidRPr="00EF4840">
        <w:t xml:space="preserve"> they are measured at amortised cost using the effective interest method, less any impairment. </w:t>
      </w:r>
    </w:p>
    <w:p w14:paraId="617F1314" w14:textId="77777777" w:rsidR="0058789F" w:rsidRDefault="0058789F" w:rsidP="0058789F">
      <w:pPr>
        <w:pStyle w:val="BodyText"/>
      </w:pPr>
      <w:r w:rsidRPr="00785DFE">
        <w:rPr>
          <w:rStyle w:val="Characterbold"/>
        </w:rPr>
        <w:t>Statutory receivables</w:t>
      </w:r>
      <w:r w:rsidRPr="00EF4840">
        <w:t xml:space="preserve"> do not arise from contracts and are recognised and measured similarly to contractual receivables (except for impairment)</w:t>
      </w:r>
      <w:r>
        <w:t>, but</w:t>
      </w:r>
      <w:r w:rsidRPr="00EF4840">
        <w:t xml:space="preserve"> are not classified as financial instruments for disclosure purposes. IBAC applies </w:t>
      </w:r>
      <w:r w:rsidRPr="00E95B19">
        <w:t>AASB 9</w:t>
      </w:r>
      <w:r w:rsidRPr="001C7CF1">
        <w:rPr>
          <w:rStyle w:val="Characteritalic"/>
        </w:rPr>
        <w:t xml:space="preserve"> </w:t>
      </w:r>
      <w:r w:rsidRPr="007E5ED9">
        <w:rPr>
          <w:rStyle w:val="Characteritalic"/>
        </w:rPr>
        <w:t>Financial Instruments</w:t>
      </w:r>
      <w:r w:rsidRPr="00EF4840">
        <w:t xml:space="preserve"> </w:t>
      </w:r>
      <w:r>
        <w:t xml:space="preserve">(AASB 9) </w:t>
      </w:r>
      <w:r w:rsidRPr="00EF4840">
        <w:t>for initial measurement of the statutory receivables and</w:t>
      </w:r>
      <w:r>
        <w:t>,</w:t>
      </w:r>
      <w:r w:rsidRPr="00EF4840">
        <w:t xml:space="preserve"> as a result</w:t>
      </w:r>
      <w:r>
        <w:t>,</w:t>
      </w:r>
      <w:r w:rsidRPr="00EF4840">
        <w:t xml:space="preserve">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630BC4D3" w14:textId="77777777" w:rsidR="0058789F" w:rsidRDefault="0058789F" w:rsidP="006F399C">
      <w:pPr>
        <w:pStyle w:val="NotesHeading2"/>
      </w:pPr>
      <w:bookmarkStart w:id="183" w:name="_Ref82072561"/>
      <w:r w:rsidRPr="009275E4">
        <w:t>Payables</w:t>
      </w:r>
      <w:bookmarkEnd w:id="183"/>
    </w:p>
    <w:tbl>
      <w:tblPr>
        <w:tblStyle w:val="CustomTabledetailed"/>
        <w:tblW w:w="5000" w:type="pct"/>
        <w:tblLook w:val="0660" w:firstRow="1" w:lastRow="1" w:firstColumn="0" w:lastColumn="0" w:noHBand="1" w:noVBand="1"/>
      </w:tblPr>
      <w:tblGrid>
        <w:gridCol w:w="4253"/>
        <w:gridCol w:w="2387"/>
        <w:gridCol w:w="2387"/>
      </w:tblGrid>
      <w:tr w:rsidR="0058789F" w:rsidRPr="009524FF" w14:paraId="003104B1"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356" w:type="pct"/>
            <w:noWrap/>
            <w:hideMark/>
          </w:tcPr>
          <w:p w14:paraId="558AB555" w14:textId="77777777" w:rsidR="0058789F" w:rsidRPr="009524FF" w:rsidRDefault="0058789F" w:rsidP="00AD1066">
            <w:pPr>
              <w:pStyle w:val="TableBodyText"/>
            </w:pPr>
            <w:r w:rsidRPr="009524FF">
              <w:t> </w:t>
            </w:r>
          </w:p>
        </w:tc>
        <w:tc>
          <w:tcPr>
            <w:tcW w:w="1322" w:type="pct"/>
            <w:noWrap/>
            <w:hideMark/>
          </w:tcPr>
          <w:p w14:paraId="455B602F" w14:textId="77777777" w:rsidR="0058789F" w:rsidRDefault="0058789F" w:rsidP="00AD1066">
            <w:pPr>
              <w:pStyle w:val="TableHeading3rightalign"/>
            </w:pPr>
            <w:r>
              <w:t>2023</w:t>
            </w:r>
          </w:p>
          <w:p w14:paraId="5D85D0E6" w14:textId="77777777" w:rsidR="0058789F" w:rsidRPr="009524FF" w:rsidRDefault="0058789F" w:rsidP="00AD1066">
            <w:pPr>
              <w:pStyle w:val="TableHeading3rightalign"/>
            </w:pPr>
            <w:r>
              <w:t>($’000)</w:t>
            </w:r>
          </w:p>
        </w:tc>
        <w:tc>
          <w:tcPr>
            <w:tcW w:w="1322" w:type="pct"/>
            <w:noWrap/>
            <w:hideMark/>
          </w:tcPr>
          <w:p w14:paraId="71AC01FC" w14:textId="77777777" w:rsidR="0058789F" w:rsidRDefault="0058789F" w:rsidP="00AD1066">
            <w:pPr>
              <w:pStyle w:val="TableHeading3rightalign"/>
            </w:pPr>
            <w:r>
              <w:t>2022</w:t>
            </w:r>
          </w:p>
          <w:p w14:paraId="6ED5191B" w14:textId="77777777" w:rsidR="0058789F" w:rsidRPr="009524FF" w:rsidRDefault="0058789F" w:rsidP="00AD1066">
            <w:pPr>
              <w:pStyle w:val="TableHeading3rightalign"/>
            </w:pPr>
            <w:r>
              <w:t>($’000)</w:t>
            </w:r>
          </w:p>
        </w:tc>
      </w:tr>
      <w:tr w:rsidR="0058789F" w:rsidRPr="009524FF" w14:paraId="1E0E346F" w14:textId="77777777" w:rsidTr="00AD1066">
        <w:trPr>
          <w:trHeight w:val="255"/>
        </w:trPr>
        <w:tc>
          <w:tcPr>
            <w:tcW w:w="5000" w:type="pct"/>
            <w:gridSpan w:val="3"/>
            <w:noWrap/>
            <w:hideMark/>
          </w:tcPr>
          <w:p w14:paraId="738DB2B8" w14:textId="77777777" w:rsidR="0058789F" w:rsidRPr="009524FF" w:rsidRDefault="0058789F" w:rsidP="00AD1066">
            <w:pPr>
              <w:pStyle w:val="TableBodyTextsmall"/>
            </w:pPr>
            <w:r>
              <w:t xml:space="preserve"> </w:t>
            </w:r>
          </w:p>
        </w:tc>
      </w:tr>
      <w:tr w:rsidR="0058789F" w:rsidRPr="009524FF" w14:paraId="328EAD0A" w14:textId="77777777" w:rsidTr="00AD1066">
        <w:trPr>
          <w:trHeight w:val="255"/>
        </w:trPr>
        <w:tc>
          <w:tcPr>
            <w:tcW w:w="5000" w:type="pct"/>
            <w:gridSpan w:val="3"/>
            <w:noWrap/>
            <w:hideMark/>
          </w:tcPr>
          <w:p w14:paraId="21FE444B" w14:textId="77777777" w:rsidR="0058789F" w:rsidRPr="009524FF" w:rsidRDefault="0058789F" w:rsidP="00AD1066">
            <w:pPr>
              <w:pStyle w:val="TableHeading1"/>
            </w:pPr>
            <w:r w:rsidRPr="009524FF">
              <w:t>Contractual</w:t>
            </w:r>
          </w:p>
        </w:tc>
      </w:tr>
      <w:tr w:rsidR="0058789F" w:rsidRPr="009524FF" w14:paraId="766C9AB0" w14:textId="77777777" w:rsidTr="00AD1066">
        <w:trPr>
          <w:trHeight w:val="255"/>
        </w:trPr>
        <w:tc>
          <w:tcPr>
            <w:tcW w:w="2356" w:type="pct"/>
            <w:noWrap/>
            <w:hideMark/>
          </w:tcPr>
          <w:p w14:paraId="26913087" w14:textId="77777777" w:rsidR="0058789F" w:rsidRPr="009524FF" w:rsidRDefault="0058789F" w:rsidP="00AD1066">
            <w:pPr>
              <w:pStyle w:val="TableBodyText"/>
            </w:pPr>
            <w:r w:rsidRPr="009524FF">
              <w:t>Supplies and services</w:t>
            </w:r>
          </w:p>
        </w:tc>
        <w:tc>
          <w:tcPr>
            <w:tcW w:w="1322" w:type="pct"/>
            <w:shd w:val="clear" w:color="auto" w:fill="F2F2F2" w:themeFill="background1" w:themeFillShade="F2"/>
            <w:noWrap/>
          </w:tcPr>
          <w:p w14:paraId="2AFF60FE" w14:textId="77777777" w:rsidR="0058789F" w:rsidRPr="009524FF" w:rsidRDefault="0058789F" w:rsidP="00AD1066">
            <w:pPr>
              <w:pStyle w:val="TableBodyTextrightalign"/>
            </w:pPr>
            <w:r>
              <w:t>1,753</w:t>
            </w:r>
          </w:p>
        </w:tc>
        <w:tc>
          <w:tcPr>
            <w:tcW w:w="1322" w:type="pct"/>
            <w:noWrap/>
            <w:hideMark/>
          </w:tcPr>
          <w:p w14:paraId="2238C1B9" w14:textId="77777777" w:rsidR="0058789F" w:rsidRPr="009524FF" w:rsidRDefault="0058789F" w:rsidP="00AD1066">
            <w:pPr>
              <w:pStyle w:val="TableBodyTextrightalign"/>
            </w:pPr>
            <w:r>
              <w:t>2,729</w:t>
            </w:r>
          </w:p>
        </w:tc>
      </w:tr>
      <w:tr w:rsidR="0058789F" w:rsidRPr="009524FF" w14:paraId="5FB3BF88" w14:textId="77777777" w:rsidTr="00AD1066">
        <w:trPr>
          <w:trHeight w:val="79"/>
        </w:trPr>
        <w:tc>
          <w:tcPr>
            <w:tcW w:w="5000" w:type="pct"/>
            <w:gridSpan w:val="3"/>
            <w:noWrap/>
            <w:hideMark/>
          </w:tcPr>
          <w:p w14:paraId="3F7752E4" w14:textId="77777777" w:rsidR="0058789F" w:rsidRPr="009524FF" w:rsidRDefault="0058789F" w:rsidP="00AD1066">
            <w:pPr>
              <w:pStyle w:val="TableBodyTextsmall"/>
            </w:pPr>
            <w:r>
              <w:t xml:space="preserve"> </w:t>
            </w:r>
          </w:p>
        </w:tc>
      </w:tr>
      <w:tr w:rsidR="0058789F" w:rsidRPr="009524FF" w14:paraId="3E9B8239" w14:textId="77777777" w:rsidTr="00AD1066">
        <w:trPr>
          <w:trHeight w:val="255"/>
        </w:trPr>
        <w:tc>
          <w:tcPr>
            <w:tcW w:w="5000" w:type="pct"/>
            <w:gridSpan w:val="3"/>
            <w:noWrap/>
            <w:hideMark/>
          </w:tcPr>
          <w:p w14:paraId="0DC7A1EC" w14:textId="77777777" w:rsidR="0058789F" w:rsidRPr="009524FF" w:rsidRDefault="0058789F" w:rsidP="00AD1066">
            <w:pPr>
              <w:pStyle w:val="TableHeading1"/>
            </w:pPr>
            <w:r w:rsidRPr="009524FF">
              <w:t>Statutory</w:t>
            </w:r>
          </w:p>
        </w:tc>
      </w:tr>
      <w:tr w:rsidR="0058789F" w:rsidRPr="009524FF" w14:paraId="20C7679E" w14:textId="77777777" w:rsidTr="00AD1066">
        <w:trPr>
          <w:trHeight w:val="255"/>
        </w:trPr>
        <w:tc>
          <w:tcPr>
            <w:tcW w:w="2356" w:type="pct"/>
            <w:tcBorders>
              <w:bottom w:val="dotted" w:sz="4" w:space="0" w:color="auto"/>
            </w:tcBorders>
            <w:noWrap/>
            <w:hideMark/>
          </w:tcPr>
          <w:p w14:paraId="6EDF93FB" w14:textId="45397C5C" w:rsidR="0058789F" w:rsidRPr="009524FF" w:rsidRDefault="0058789F" w:rsidP="00AD1066">
            <w:pPr>
              <w:pStyle w:val="TableBodyText"/>
            </w:pPr>
            <w:r w:rsidRPr="009524FF">
              <w:t>F</w:t>
            </w:r>
            <w:r w:rsidR="003A5B2E">
              <w:t>ringe benefits tax</w:t>
            </w:r>
            <w:r w:rsidRPr="009524FF">
              <w:t xml:space="preserve"> payable</w:t>
            </w:r>
          </w:p>
        </w:tc>
        <w:tc>
          <w:tcPr>
            <w:tcW w:w="1322" w:type="pct"/>
            <w:tcBorders>
              <w:bottom w:val="dotted" w:sz="4" w:space="0" w:color="auto"/>
            </w:tcBorders>
            <w:shd w:val="clear" w:color="auto" w:fill="F2F2F2" w:themeFill="background1" w:themeFillShade="F2"/>
            <w:noWrap/>
          </w:tcPr>
          <w:p w14:paraId="123CE4C5" w14:textId="77777777" w:rsidR="0058789F" w:rsidRPr="009524FF" w:rsidRDefault="0058789F" w:rsidP="00AD1066">
            <w:pPr>
              <w:pStyle w:val="TableBodyTextrightalign"/>
            </w:pPr>
            <w:r>
              <w:t>25</w:t>
            </w:r>
          </w:p>
        </w:tc>
        <w:tc>
          <w:tcPr>
            <w:tcW w:w="1322" w:type="pct"/>
            <w:tcBorders>
              <w:bottom w:val="dotted" w:sz="4" w:space="0" w:color="auto"/>
            </w:tcBorders>
            <w:noWrap/>
            <w:hideMark/>
          </w:tcPr>
          <w:p w14:paraId="4521124A" w14:textId="77777777" w:rsidR="0058789F" w:rsidRPr="009524FF" w:rsidRDefault="0058789F" w:rsidP="00AD1066">
            <w:pPr>
              <w:pStyle w:val="TableBodyTextrightalign"/>
            </w:pPr>
            <w:r>
              <w:t>21</w:t>
            </w:r>
          </w:p>
        </w:tc>
      </w:tr>
      <w:tr w:rsidR="0058789F" w:rsidRPr="009524FF" w14:paraId="2CF20303" w14:textId="77777777" w:rsidTr="00AD1066">
        <w:trPr>
          <w:trHeight w:val="119"/>
        </w:trPr>
        <w:tc>
          <w:tcPr>
            <w:tcW w:w="5000" w:type="pct"/>
            <w:gridSpan w:val="3"/>
            <w:tcBorders>
              <w:top w:val="dotted" w:sz="4" w:space="0" w:color="auto"/>
              <w:bottom w:val="dotted" w:sz="4" w:space="0" w:color="auto"/>
            </w:tcBorders>
            <w:noWrap/>
          </w:tcPr>
          <w:p w14:paraId="1CDEDDDC" w14:textId="77777777" w:rsidR="0058789F" w:rsidRPr="00146503" w:rsidRDefault="0058789F" w:rsidP="00AD1066">
            <w:pPr>
              <w:pStyle w:val="TableBodyTextsmall"/>
            </w:pPr>
            <w:r>
              <w:t xml:space="preserve"> </w:t>
            </w:r>
          </w:p>
        </w:tc>
      </w:tr>
      <w:tr w:rsidR="0058789F" w:rsidRPr="009524FF" w14:paraId="0775ECEE"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2356" w:type="pct"/>
            <w:tcBorders>
              <w:top w:val="dotted" w:sz="4" w:space="0" w:color="auto"/>
            </w:tcBorders>
            <w:noWrap/>
            <w:hideMark/>
          </w:tcPr>
          <w:p w14:paraId="5B6A4582" w14:textId="77777777" w:rsidR="0058789F" w:rsidRPr="009524FF" w:rsidRDefault="0058789F" w:rsidP="00AD1066">
            <w:pPr>
              <w:pStyle w:val="TableBodyText"/>
            </w:pPr>
            <w:r w:rsidRPr="009524FF">
              <w:t>Total payables</w:t>
            </w:r>
          </w:p>
        </w:tc>
        <w:tc>
          <w:tcPr>
            <w:tcW w:w="1322" w:type="pct"/>
            <w:tcBorders>
              <w:top w:val="dotted" w:sz="4" w:space="0" w:color="auto"/>
            </w:tcBorders>
            <w:shd w:val="clear" w:color="auto" w:fill="F2F2F2" w:themeFill="background1" w:themeFillShade="F2"/>
            <w:noWrap/>
          </w:tcPr>
          <w:p w14:paraId="16F967A4" w14:textId="77777777" w:rsidR="0058789F" w:rsidRPr="009524FF" w:rsidRDefault="0058789F" w:rsidP="00AD1066">
            <w:pPr>
              <w:pStyle w:val="TableBodyTextrightalign"/>
            </w:pPr>
            <w:r>
              <w:t>1,778</w:t>
            </w:r>
          </w:p>
        </w:tc>
        <w:tc>
          <w:tcPr>
            <w:tcW w:w="1322" w:type="pct"/>
            <w:tcBorders>
              <w:top w:val="dotted" w:sz="4" w:space="0" w:color="auto"/>
            </w:tcBorders>
            <w:noWrap/>
            <w:hideMark/>
          </w:tcPr>
          <w:p w14:paraId="7909C921" w14:textId="77777777" w:rsidR="0058789F" w:rsidRPr="009524FF" w:rsidRDefault="0058789F" w:rsidP="00AD1066">
            <w:pPr>
              <w:pStyle w:val="TableBodyTextrightalign"/>
            </w:pPr>
            <w:r>
              <w:t>2,750</w:t>
            </w:r>
          </w:p>
        </w:tc>
      </w:tr>
    </w:tbl>
    <w:p w14:paraId="27D8E412" w14:textId="77777777" w:rsidR="0058789F" w:rsidRPr="00785DFE" w:rsidRDefault="0058789F" w:rsidP="0058789F">
      <w:pPr>
        <w:pStyle w:val="BodyText"/>
      </w:pPr>
      <w:r w:rsidRPr="00785DFE">
        <w:t>All payables are current.</w:t>
      </w:r>
    </w:p>
    <w:p w14:paraId="46B23F8F" w14:textId="77777777" w:rsidR="0058789F" w:rsidRPr="00785DFE" w:rsidRDefault="0058789F" w:rsidP="0058789F">
      <w:pPr>
        <w:pStyle w:val="BodyText"/>
      </w:pPr>
      <w:r w:rsidRPr="00785DFE">
        <w:rPr>
          <w:rStyle w:val="Characterbold"/>
        </w:rPr>
        <w:t>Contractual payables</w:t>
      </w:r>
      <w:r w:rsidRPr="00785DFE">
        <w:t xml:space="preserve"> are classified as financial instruments and measured at amortised cost. Accounts payable represent liabilities for goods and services provided to IBAC prior to the end of the financial year that are unpaid.</w:t>
      </w:r>
    </w:p>
    <w:p w14:paraId="3F3D338E" w14:textId="77777777" w:rsidR="0058789F" w:rsidRPr="00785DFE" w:rsidRDefault="0058789F" w:rsidP="0058789F">
      <w:pPr>
        <w:pStyle w:val="BodyText"/>
      </w:pPr>
      <w:r w:rsidRPr="00785DFE">
        <w:rPr>
          <w:rStyle w:val="Characterbold"/>
        </w:rPr>
        <w:t>Statutory payables</w:t>
      </w:r>
      <w:r w:rsidRPr="00785DFE">
        <w:t xml:space="preserve"> are recognised and measured similarly to contractual payables but are not classified as financial instruments and not included in the category of financial liabilities at amortised cost, because they do not arise from contract.</w:t>
      </w:r>
    </w:p>
    <w:p w14:paraId="29EFA9ED" w14:textId="77777777" w:rsidR="0058789F" w:rsidRPr="00785DFE" w:rsidRDefault="0058789F" w:rsidP="0058789F">
      <w:pPr>
        <w:pStyle w:val="BodyText"/>
      </w:pPr>
      <w:r w:rsidRPr="00785DFE">
        <w:t>Payables for supplies and services have an average credit period of 30 days</w:t>
      </w:r>
      <w:r>
        <w:t xml:space="preserve"> and are paid within credit terms</w:t>
      </w:r>
      <w:r w:rsidRPr="00785DFE">
        <w:t>.</w:t>
      </w:r>
      <w:r>
        <w:t xml:space="preserve"> As part of the government’s Economic Stimulus Package to assist businesses during the </w:t>
      </w:r>
      <w:r w:rsidRPr="00261DC5">
        <w:t>COVID-19 pandemic, the payment terms have been changed to 10 days. There are no material payables that are determined to be impaired.</w:t>
      </w:r>
    </w:p>
    <w:p w14:paraId="6A56ACAE" w14:textId="77777777" w:rsidR="0058789F" w:rsidRDefault="0058789F" w:rsidP="0058789F">
      <w:pPr>
        <w:pStyle w:val="BodyText"/>
      </w:pPr>
      <w:r w:rsidRPr="00785DFE">
        <w:t>The terms and conditions of amounts payable to the government and agencies vary according to the particular agreements and as they are not legislative payables, they are not classified as financial instruments.</w:t>
      </w:r>
    </w:p>
    <w:p w14:paraId="1A2B8946" w14:textId="2EF2684F" w:rsidR="0058789F" w:rsidRPr="00146503" w:rsidRDefault="0058789F" w:rsidP="00625893">
      <w:pPr>
        <w:pStyle w:val="Heading5"/>
      </w:pPr>
      <w:r w:rsidRPr="007211D6">
        <w:t xml:space="preserve"> </w:t>
      </w:r>
      <w:r w:rsidR="00C0187E" w:rsidRPr="007211D6">
        <w:t xml:space="preserve">5.2.1 </w:t>
      </w:r>
      <w:r w:rsidRPr="00146503">
        <w:t>Maturity analysis of contractual payables</w:t>
      </w:r>
    </w:p>
    <w:p w14:paraId="133DF1CA" w14:textId="6149DFC5" w:rsidR="0058789F" w:rsidRDefault="0058789F" w:rsidP="0058789F">
      <w:pPr>
        <w:pStyle w:val="BodyText"/>
      </w:pPr>
      <w:r w:rsidRPr="00785DFE">
        <w:t>At 30 June 202</w:t>
      </w:r>
      <w:r>
        <w:t>3</w:t>
      </w:r>
      <w:r w:rsidRPr="00785DFE">
        <w:t>, the carrying and nominal amount</w:t>
      </w:r>
      <w:r>
        <w:t>s</w:t>
      </w:r>
      <w:r w:rsidRPr="00785DFE">
        <w:t xml:space="preserve"> of contractual </w:t>
      </w:r>
      <w:r w:rsidRPr="0047373A">
        <w:t>payables were $</w:t>
      </w:r>
      <w:r w:rsidRPr="000C5938">
        <w:t>1,753,</w:t>
      </w:r>
      <w:r>
        <w:t>157</w:t>
      </w:r>
      <w:r w:rsidRPr="0047373A" w:rsidDel="00B26BED">
        <w:t xml:space="preserve"> </w:t>
      </w:r>
      <w:r w:rsidRPr="0047373A">
        <w:t>(202</w:t>
      </w:r>
      <w:r>
        <w:t>2</w:t>
      </w:r>
      <w:r w:rsidRPr="0047373A">
        <w:t xml:space="preserve">: </w:t>
      </w:r>
      <w:r w:rsidRPr="0081384D">
        <w:t>$</w:t>
      </w:r>
      <w:r>
        <w:t>2,729,336)</w:t>
      </w:r>
      <w:r w:rsidRPr="0081384D">
        <w:t>.</w:t>
      </w:r>
    </w:p>
    <w:tbl>
      <w:tblPr>
        <w:tblStyle w:val="CustomTabledetailed"/>
        <w:tblW w:w="5000" w:type="pct"/>
        <w:tblLook w:val="0620" w:firstRow="1" w:lastRow="0" w:firstColumn="0" w:lastColumn="0" w:noHBand="1" w:noVBand="1"/>
      </w:tblPr>
      <w:tblGrid>
        <w:gridCol w:w="2172"/>
        <w:gridCol w:w="1220"/>
        <w:gridCol w:w="1220"/>
        <w:gridCol w:w="1096"/>
        <w:gridCol w:w="1096"/>
        <w:gridCol w:w="1096"/>
        <w:gridCol w:w="1127"/>
      </w:tblGrid>
      <w:tr w:rsidR="0058789F" w14:paraId="03088D2C" w14:textId="77777777" w:rsidTr="00AD1066">
        <w:trPr>
          <w:cnfStyle w:val="100000000000" w:firstRow="1" w:lastRow="0" w:firstColumn="0" w:lastColumn="0" w:oddVBand="0" w:evenVBand="0" w:oddHBand="0" w:evenHBand="0" w:firstRowFirstColumn="0" w:firstRowLastColumn="0" w:lastRowFirstColumn="0" w:lastRowLastColumn="0"/>
          <w:trHeight w:val="300"/>
        </w:trPr>
        <w:tc>
          <w:tcPr>
            <w:tcW w:w="1203" w:type="pct"/>
            <w:vMerge w:val="restart"/>
            <w:tcBorders>
              <w:left w:val="nil"/>
            </w:tcBorders>
            <w:noWrap/>
            <w:hideMark/>
          </w:tcPr>
          <w:p w14:paraId="4A717E11" w14:textId="77777777" w:rsidR="0058789F" w:rsidRDefault="0058789F" w:rsidP="00AD1066">
            <w:pPr>
              <w:pStyle w:val="TableBodyText"/>
              <w:rPr>
                <w:lang w:eastAsia="en-US"/>
              </w:rPr>
            </w:pPr>
            <w:r>
              <w:rPr>
                <w:lang w:eastAsia="en-US"/>
              </w:rPr>
              <w:t> </w:t>
            </w:r>
          </w:p>
          <w:p w14:paraId="7EFE280A" w14:textId="77777777" w:rsidR="0058789F" w:rsidRDefault="0058789F" w:rsidP="00AD1066">
            <w:pPr>
              <w:pStyle w:val="TableBodyText"/>
              <w:rPr>
                <w:lang w:eastAsia="en-US"/>
              </w:rPr>
            </w:pPr>
            <w:r>
              <w:rPr>
                <w:lang w:eastAsia="en-US"/>
              </w:rPr>
              <w:t> </w:t>
            </w:r>
          </w:p>
        </w:tc>
        <w:tc>
          <w:tcPr>
            <w:tcW w:w="676" w:type="pct"/>
            <w:vMerge w:val="restart"/>
            <w:tcBorders>
              <w:bottom w:val="dotted" w:sz="4" w:space="0" w:color="auto"/>
            </w:tcBorders>
            <w:vAlign w:val="top"/>
            <w:hideMark/>
          </w:tcPr>
          <w:p w14:paraId="77530DFA" w14:textId="77777777" w:rsidR="0058789F" w:rsidRDefault="0058789F" w:rsidP="00AD1066">
            <w:pPr>
              <w:pStyle w:val="TableHeading1"/>
              <w:rPr>
                <w:lang w:eastAsia="en-US"/>
              </w:rPr>
            </w:pPr>
            <w:r>
              <w:rPr>
                <w:lang w:eastAsia="en-US"/>
              </w:rPr>
              <w:t>Carrying amount</w:t>
            </w:r>
          </w:p>
        </w:tc>
        <w:tc>
          <w:tcPr>
            <w:tcW w:w="676" w:type="pct"/>
            <w:vMerge w:val="restart"/>
            <w:tcBorders>
              <w:bottom w:val="dotted" w:sz="4" w:space="0" w:color="auto"/>
            </w:tcBorders>
            <w:vAlign w:val="top"/>
            <w:hideMark/>
          </w:tcPr>
          <w:p w14:paraId="484C23E2" w14:textId="77777777" w:rsidR="0058789F" w:rsidRDefault="0058789F" w:rsidP="00AD1066">
            <w:pPr>
              <w:pStyle w:val="TableHeading1"/>
              <w:rPr>
                <w:lang w:eastAsia="en-US"/>
              </w:rPr>
            </w:pPr>
            <w:r>
              <w:rPr>
                <w:lang w:eastAsia="en-US"/>
              </w:rPr>
              <w:t>Nominal amount</w:t>
            </w:r>
          </w:p>
        </w:tc>
        <w:tc>
          <w:tcPr>
            <w:tcW w:w="2445" w:type="pct"/>
            <w:gridSpan w:val="4"/>
            <w:tcBorders>
              <w:right w:val="nil"/>
            </w:tcBorders>
            <w:hideMark/>
          </w:tcPr>
          <w:p w14:paraId="2C097CE1" w14:textId="77777777" w:rsidR="0058789F" w:rsidRDefault="0058789F" w:rsidP="00AD1066">
            <w:pPr>
              <w:pStyle w:val="TableHeading1"/>
              <w:rPr>
                <w:lang w:eastAsia="en-US"/>
              </w:rPr>
            </w:pPr>
            <w:r>
              <w:rPr>
                <w:lang w:eastAsia="en-US"/>
              </w:rPr>
              <w:t>Maturity dates</w:t>
            </w:r>
          </w:p>
        </w:tc>
      </w:tr>
      <w:tr w:rsidR="0058789F" w14:paraId="488BDF27" w14:textId="77777777" w:rsidTr="00AD1066">
        <w:trPr>
          <w:trHeight w:val="510"/>
        </w:trPr>
        <w:tc>
          <w:tcPr>
            <w:tcW w:w="1203" w:type="pct"/>
            <w:vMerge/>
            <w:tcBorders>
              <w:left w:val="nil"/>
              <w:bottom w:val="dotted" w:sz="4" w:space="0" w:color="auto"/>
            </w:tcBorders>
            <w:shd w:val="clear" w:color="auto" w:fill="E5DFEC"/>
            <w:noWrap/>
            <w:hideMark/>
          </w:tcPr>
          <w:p w14:paraId="7A1C84C2" w14:textId="77777777" w:rsidR="0058789F" w:rsidRDefault="0058789F" w:rsidP="00AD1066">
            <w:pPr>
              <w:pStyle w:val="TableBodyText"/>
              <w:rPr>
                <w:lang w:eastAsia="en-US"/>
              </w:rPr>
            </w:pPr>
          </w:p>
        </w:tc>
        <w:tc>
          <w:tcPr>
            <w:tcW w:w="0" w:type="auto"/>
            <w:vMerge/>
            <w:tcBorders>
              <w:top w:val="single" w:sz="4" w:space="0" w:color="FFFFFF" w:themeColor="background1"/>
              <w:bottom w:val="dotted" w:sz="4" w:space="0" w:color="auto"/>
              <w:right w:val="nil"/>
            </w:tcBorders>
            <w:vAlign w:val="center"/>
            <w:hideMark/>
          </w:tcPr>
          <w:p w14:paraId="331DF406" w14:textId="77777777" w:rsidR="0058789F" w:rsidRDefault="0058789F" w:rsidP="00AD1066">
            <w:pPr>
              <w:spacing w:before="0" w:after="0"/>
              <w:rPr>
                <w:rFonts w:eastAsia="Times New Roman" w:cs="Times New Roman"/>
                <w:b/>
                <w:bCs/>
                <w:color w:val="981D97"/>
                <w:sz w:val="18"/>
                <w:szCs w:val="24"/>
                <w:lang w:val="en-US"/>
              </w:rPr>
            </w:pPr>
          </w:p>
        </w:tc>
        <w:tc>
          <w:tcPr>
            <w:tcW w:w="0" w:type="auto"/>
            <w:vMerge/>
            <w:tcBorders>
              <w:top w:val="single" w:sz="4" w:space="0" w:color="FFFFFF" w:themeColor="background1"/>
              <w:left w:val="nil"/>
              <w:bottom w:val="dotted" w:sz="4" w:space="0" w:color="auto"/>
              <w:right w:val="nil"/>
            </w:tcBorders>
            <w:vAlign w:val="center"/>
            <w:hideMark/>
          </w:tcPr>
          <w:p w14:paraId="1F276A2A" w14:textId="77777777" w:rsidR="0058789F" w:rsidRDefault="0058789F" w:rsidP="00AD1066">
            <w:pPr>
              <w:spacing w:before="0" w:after="0"/>
              <w:rPr>
                <w:rFonts w:eastAsia="Times New Roman" w:cs="Times New Roman"/>
                <w:b/>
                <w:bCs/>
                <w:color w:val="981D97"/>
                <w:sz w:val="18"/>
                <w:szCs w:val="24"/>
                <w:lang w:val="en-US"/>
              </w:rPr>
            </w:pPr>
          </w:p>
        </w:tc>
        <w:tc>
          <w:tcPr>
            <w:tcW w:w="607" w:type="pct"/>
            <w:tcBorders>
              <w:top w:val="dotted" w:sz="4" w:space="0" w:color="auto"/>
              <w:left w:val="nil"/>
              <w:bottom w:val="dotted" w:sz="4" w:space="0" w:color="auto"/>
              <w:right w:val="nil"/>
            </w:tcBorders>
            <w:shd w:val="clear" w:color="auto" w:fill="E5DFEC"/>
            <w:vAlign w:val="bottom"/>
            <w:hideMark/>
          </w:tcPr>
          <w:p w14:paraId="46209AE2" w14:textId="5950F166" w:rsidR="0058789F" w:rsidRDefault="0058789F" w:rsidP="00AD1066">
            <w:pPr>
              <w:pStyle w:val="TableHeading3rightalign"/>
              <w:rPr>
                <w:lang w:eastAsia="en-US"/>
              </w:rPr>
            </w:pPr>
            <w:r>
              <w:rPr>
                <w:lang w:eastAsia="en-US"/>
              </w:rPr>
              <w:t>Less than 1</w:t>
            </w:r>
            <w:r w:rsidR="00995325">
              <w:rPr>
                <w:lang w:eastAsia="en-US"/>
              </w:rPr>
              <w:t> </w:t>
            </w:r>
            <w:r>
              <w:rPr>
                <w:lang w:eastAsia="en-US"/>
              </w:rPr>
              <w:t>month</w:t>
            </w:r>
          </w:p>
          <w:p w14:paraId="6BE2B0D5" w14:textId="77777777" w:rsidR="0058789F" w:rsidRDefault="0058789F" w:rsidP="00AD1066">
            <w:pPr>
              <w:pStyle w:val="TableHeading3rightalign"/>
              <w:rPr>
                <w:lang w:eastAsia="en-US"/>
              </w:rPr>
            </w:pPr>
            <w:r>
              <w:rPr>
                <w:lang w:eastAsia="en-US"/>
              </w:rPr>
              <w:t>($’000)</w:t>
            </w:r>
          </w:p>
        </w:tc>
        <w:tc>
          <w:tcPr>
            <w:tcW w:w="607" w:type="pct"/>
            <w:tcBorders>
              <w:top w:val="dotted" w:sz="4" w:space="0" w:color="auto"/>
              <w:left w:val="nil"/>
              <w:bottom w:val="dotted" w:sz="4" w:space="0" w:color="auto"/>
              <w:right w:val="nil"/>
            </w:tcBorders>
            <w:shd w:val="clear" w:color="auto" w:fill="E5DFEC"/>
            <w:vAlign w:val="bottom"/>
            <w:hideMark/>
          </w:tcPr>
          <w:p w14:paraId="72A6C852" w14:textId="77777777" w:rsidR="0058789F" w:rsidRDefault="0058789F" w:rsidP="00AD1066">
            <w:pPr>
              <w:pStyle w:val="TableHeading3rightalign"/>
              <w:rPr>
                <w:lang w:eastAsia="en-US"/>
              </w:rPr>
            </w:pPr>
            <w:r>
              <w:rPr>
                <w:lang w:eastAsia="en-US"/>
              </w:rPr>
              <w:t>1–3 months</w:t>
            </w:r>
          </w:p>
          <w:p w14:paraId="035FF631" w14:textId="77777777" w:rsidR="0058789F" w:rsidRDefault="0058789F" w:rsidP="00AD1066">
            <w:pPr>
              <w:pStyle w:val="TableHeading3rightalign"/>
              <w:rPr>
                <w:lang w:eastAsia="en-US"/>
              </w:rPr>
            </w:pPr>
            <w:r>
              <w:rPr>
                <w:lang w:eastAsia="en-US"/>
              </w:rPr>
              <w:t>($’000)</w:t>
            </w:r>
          </w:p>
        </w:tc>
        <w:tc>
          <w:tcPr>
            <w:tcW w:w="607" w:type="pct"/>
            <w:tcBorders>
              <w:top w:val="dotted" w:sz="4" w:space="0" w:color="auto"/>
              <w:left w:val="nil"/>
              <w:bottom w:val="dotted" w:sz="4" w:space="0" w:color="auto"/>
              <w:right w:val="nil"/>
            </w:tcBorders>
            <w:shd w:val="clear" w:color="auto" w:fill="E5DFEC"/>
            <w:vAlign w:val="bottom"/>
            <w:hideMark/>
          </w:tcPr>
          <w:p w14:paraId="137467C8" w14:textId="77777777" w:rsidR="0058789F" w:rsidRDefault="0058789F" w:rsidP="00AD1066">
            <w:pPr>
              <w:pStyle w:val="TableHeading3rightalign"/>
              <w:rPr>
                <w:lang w:eastAsia="en-US"/>
              </w:rPr>
            </w:pPr>
            <w:r>
              <w:rPr>
                <w:lang w:eastAsia="en-US"/>
              </w:rPr>
              <w:t>3 months to 1 year</w:t>
            </w:r>
          </w:p>
          <w:p w14:paraId="73BE1D0C" w14:textId="77777777" w:rsidR="0058789F" w:rsidRDefault="0058789F" w:rsidP="00AD1066">
            <w:pPr>
              <w:pStyle w:val="TableHeading3rightalign"/>
              <w:rPr>
                <w:lang w:eastAsia="en-US"/>
              </w:rPr>
            </w:pPr>
            <w:r>
              <w:rPr>
                <w:lang w:eastAsia="en-US"/>
              </w:rPr>
              <w:t>($’000)</w:t>
            </w:r>
          </w:p>
        </w:tc>
        <w:tc>
          <w:tcPr>
            <w:tcW w:w="624" w:type="pct"/>
            <w:tcBorders>
              <w:top w:val="dotted" w:sz="4" w:space="0" w:color="auto"/>
              <w:left w:val="nil"/>
              <w:bottom w:val="dotted" w:sz="4" w:space="0" w:color="auto"/>
              <w:right w:val="nil"/>
            </w:tcBorders>
            <w:shd w:val="clear" w:color="auto" w:fill="E5DFEC"/>
            <w:vAlign w:val="bottom"/>
            <w:hideMark/>
          </w:tcPr>
          <w:p w14:paraId="5F6D5ACE" w14:textId="77777777" w:rsidR="0058789F" w:rsidRDefault="0058789F" w:rsidP="00AD1066">
            <w:pPr>
              <w:pStyle w:val="TableHeading3rightalign"/>
              <w:rPr>
                <w:lang w:eastAsia="en-US"/>
              </w:rPr>
            </w:pPr>
            <w:r>
              <w:rPr>
                <w:lang w:eastAsia="en-US"/>
              </w:rPr>
              <w:t>1–5 years</w:t>
            </w:r>
          </w:p>
          <w:p w14:paraId="01417E03" w14:textId="77777777" w:rsidR="0058789F" w:rsidRDefault="0058789F" w:rsidP="00AD1066">
            <w:pPr>
              <w:pStyle w:val="TableHeading3rightalign"/>
              <w:rPr>
                <w:lang w:eastAsia="en-US"/>
              </w:rPr>
            </w:pPr>
            <w:r>
              <w:rPr>
                <w:lang w:eastAsia="en-US"/>
              </w:rPr>
              <w:t>($’000)</w:t>
            </w:r>
          </w:p>
        </w:tc>
      </w:tr>
      <w:tr w:rsidR="0058789F" w14:paraId="534B58C2" w14:textId="77777777" w:rsidTr="00AD1066">
        <w:trPr>
          <w:trHeight w:val="255"/>
        </w:trPr>
        <w:tc>
          <w:tcPr>
            <w:tcW w:w="5000" w:type="pct"/>
            <w:gridSpan w:val="7"/>
            <w:tcBorders>
              <w:top w:val="dotted" w:sz="4" w:space="0" w:color="auto"/>
              <w:left w:val="nil"/>
              <w:bottom w:val="dotted" w:sz="4" w:space="0" w:color="auto"/>
              <w:right w:val="nil"/>
            </w:tcBorders>
            <w:noWrap/>
            <w:hideMark/>
          </w:tcPr>
          <w:p w14:paraId="38FCBF80" w14:textId="77777777" w:rsidR="0058789F" w:rsidRDefault="0058789F" w:rsidP="00AD1066">
            <w:pPr>
              <w:pStyle w:val="TableBodyTextsmall"/>
            </w:pPr>
          </w:p>
        </w:tc>
      </w:tr>
      <w:tr w:rsidR="0058789F" w14:paraId="5EFD7A4C" w14:textId="77777777" w:rsidTr="00AD1066">
        <w:trPr>
          <w:trHeight w:val="255"/>
        </w:trPr>
        <w:tc>
          <w:tcPr>
            <w:tcW w:w="5000" w:type="pct"/>
            <w:gridSpan w:val="7"/>
            <w:tcBorders>
              <w:top w:val="dotted" w:sz="4" w:space="0" w:color="auto"/>
              <w:left w:val="nil"/>
              <w:bottom w:val="dotted" w:sz="4" w:space="0" w:color="auto"/>
              <w:right w:val="nil"/>
            </w:tcBorders>
            <w:shd w:val="clear" w:color="auto" w:fill="D9D9D9"/>
            <w:noWrap/>
            <w:hideMark/>
          </w:tcPr>
          <w:p w14:paraId="0C98DA5B" w14:textId="77777777" w:rsidR="0058789F" w:rsidRDefault="0058789F" w:rsidP="00AD1066">
            <w:pPr>
              <w:pStyle w:val="TableHeading1"/>
              <w:rPr>
                <w:lang w:val="en-US" w:eastAsia="en-US"/>
              </w:rPr>
            </w:pPr>
            <w:r>
              <w:rPr>
                <w:lang w:eastAsia="en-US"/>
              </w:rPr>
              <w:t>2023</w:t>
            </w:r>
          </w:p>
        </w:tc>
      </w:tr>
      <w:tr w:rsidR="0058789F" w14:paraId="4BA64E37" w14:textId="77777777" w:rsidTr="00AD1066">
        <w:trPr>
          <w:trHeight w:val="255"/>
        </w:trPr>
        <w:tc>
          <w:tcPr>
            <w:tcW w:w="5000" w:type="pct"/>
            <w:gridSpan w:val="7"/>
            <w:tcBorders>
              <w:top w:val="dotted" w:sz="4" w:space="0" w:color="auto"/>
              <w:left w:val="nil"/>
              <w:bottom w:val="dotted" w:sz="4" w:space="0" w:color="auto"/>
              <w:right w:val="nil"/>
            </w:tcBorders>
            <w:noWrap/>
          </w:tcPr>
          <w:p w14:paraId="3D499A04" w14:textId="77777777" w:rsidR="0058789F" w:rsidRDefault="0058789F" w:rsidP="00AD1066">
            <w:pPr>
              <w:pStyle w:val="TableHeading1"/>
              <w:rPr>
                <w:lang w:eastAsia="en-US"/>
              </w:rPr>
            </w:pPr>
            <w:r w:rsidRPr="00690E67">
              <w:rPr>
                <w:lang w:eastAsia="en-US"/>
              </w:rPr>
              <w:t>Contractual</w:t>
            </w:r>
          </w:p>
        </w:tc>
      </w:tr>
      <w:tr w:rsidR="0058789F" w14:paraId="637646DC" w14:textId="77777777" w:rsidTr="00AD1066">
        <w:trPr>
          <w:trHeight w:val="255"/>
        </w:trPr>
        <w:tc>
          <w:tcPr>
            <w:tcW w:w="1203" w:type="pct"/>
            <w:tcBorders>
              <w:top w:val="dotted" w:sz="4" w:space="0" w:color="auto"/>
              <w:left w:val="nil"/>
              <w:bottom w:val="dotted" w:sz="4" w:space="0" w:color="auto"/>
              <w:right w:val="nil"/>
            </w:tcBorders>
            <w:noWrap/>
            <w:hideMark/>
          </w:tcPr>
          <w:p w14:paraId="461367C0" w14:textId="77777777" w:rsidR="0058789F" w:rsidRPr="007211D6" w:rsidRDefault="0058789F" w:rsidP="007211D6">
            <w:pPr>
              <w:pStyle w:val="TableBodyText"/>
            </w:pPr>
            <w:r w:rsidRPr="007211D6">
              <w:t>Supplies and services</w:t>
            </w:r>
          </w:p>
        </w:tc>
        <w:tc>
          <w:tcPr>
            <w:tcW w:w="676" w:type="pct"/>
            <w:tcBorders>
              <w:top w:val="dotted" w:sz="4" w:space="0" w:color="auto"/>
              <w:left w:val="nil"/>
              <w:bottom w:val="dotted" w:sz="4" w:space="0" w:color="auto"/>
              <w:right w:val="nil"/>
            </w:tcBorders>
            <w:shd w:val="clear" w:color="auto" w:fill="F2F2F2" w:themeFill="background1" w:themeFillShade="F2"/>
            <w:noWrap/>
            <w:hideMark/>
          </w:tcPr>
          <w:p w14:paraId="71800D6F" w14:textId="77777777" w:rsidR="0058789F" w:rsidRDefault="0058789F" w:rsidP="00ED79A2">
            <w:pPr>
              <w:pStyle w:val="TableBodyTextrightalign"/>
              <w:rPr>
                <w:lang w:eastAsia="en-US"/>
              </w:rPr>
            </w:pPr>
            <w:r w:rsidRPr="00BA396B">
              <w:t>1,753</w:t>
            </w:r>
          </w:p>
        </w:tc>
        <w:tc>
          <w:tcPr>
            <w:tcW w:w="676" w:type="pct"/>
            <w:tcBorders>
              <w:top w:val="dotted" w:sz="4" w:space="0" w:color="auto"/>
              <w:left w:val="nil"/>
              <w:bottom w:val="dotted" w:sz="4" w:space="0" w:color="auto"/>
              <w:right w:val="nil"/>
            </w:tcBorders>
            <w:shd w:val="clear" w:color="auto" w:fill="F2F2F2"/>
            <w:noWrap/>
            <w:hideMark/>
          </w:tcPr>
          <w:p w14:paraId="58904F9D" w14:textId="77777777" w:rsidR="0058789F" w:rsidRDefault="0058789F" w:rsidP="00ED79A2">
            <w:pPr>
              <w:pStyle w:val="TableBodyTextrightalign"/>
              <w:rPr>
                <w:lang w:eastAsia="en-US"/>
              </w:rPr>
            </w:pPr>
            <w:r w:rsidRPr="00BA396B">
              <w:t>1,753</w:t>
            </w:r>
          </w:p>
        </w:tc>
        <w:tc>
          <w:tcPr>
            <w:tcW w:w="607" w:type="pct"/>
            <w:tcBorders>
              <w:top w:val="dotted" w:sz="4" w:space="0" w:color="auto"/>
              <w:left w:val="nil"/>
              <w:bottom w:val="dotted" w:sz="4" w:space="0" w:color="auto"/>
              <w:right w:val="nil"/>
            </w:tcBorders>
            <w:shd w:val="clear" w:color="auto" w:fill="auto"/>
            <w:noWrap/>
            <w:hideMark/>
          </w:tcPr>
          <w:p w14:paraId="334B1047" w14:textId="77777777" w:rsidR="0058789F" w:rsidRDefault="0058789F" w:rsidP="00ED79A2">
            <w:pPr>
              <w:pStyle w:val="TableBodyTextrightalign"/>
              <w:rPr>
                <w:lang w:eastAsia="en-US"/>
              </w:rPr>
            </w:pPr>
            <w:r w:rsidRPr="00BA396B">
              <w:t>1,753</w:t>
            </w:r>
          </w:p>
        </w:tc>
        <w:tc>
          <w:tcPr>
            <w:tcW w:w="607" w:type="pct"/>
            <w:tcBorders>
              <w:top w:val="dotted" w:sz="4" w:space="0" w:color="auto"/>
              <w:left w:val="nil"/>
              <w:bottom w:val="dotted" w:sz="4" w:space="0" w:color="auto"/>
              <w:right w:val="nil"/>
            </w:tcBorders>
            <w:shd w:val="clear" w:color="auto" w:fill="auto"/>
            <w:noWrap/>
            <w:hideMark/>
          </w:tcPr>
          <w:p w14:paraId="61BC5041" w14:textId="77777777" w:rsidR="0058789F" w:rsidRDefault="0058789F" w:rsidP="00ED79A2">
            <w:pPr>
              <w:pStyle w:val="TableBodyTextrightalign"/>
            </w:pPr>
            <w:r>
              <w:t>–</w:t>
            </w:r>
          </w:p>
        </w:tc>
        <w:tc>
          <w:tcPr>
            <w:tcW w:w="607" w:type="pct"/>
            <w:tcBorders>
              <w:top w:val="dotted" w:sz="4" w:space="0" w:color="auto"/>
              <w:left w:val="nil"/>
              <w:bottom w:val="dotted" w:sz="4" w:space="0" w:color="auto"/>
              <w:right w:val="nil"/>
            </w:tcBorders>
            <w:shd w:val="clear" w:color="auto" w:fill="auto"/>
            <w:noWrap/>
            <w:hideMark/>
          </w:tcPr>
          <w:p w14:paraId="105FAD00" w14:textId="77777777" w:rsidR="0058789F" w:rsidRDefault="0058789F" w:rsidP="00ED79A2">
            <w:pPr>
              <w:pStyle w:val="TableBodyTextrightalign"/>
            </w:pPr>
            <w:r>
              <w:t>–</w:t>
            </w:r>
          </w:p>
        </w:tc>
        <w:tc>
          <w:tcPr>
            <w:tcW w:w="624" w:type="pct"/>
            <w:tcBorders>
              <w:top w:val="dotted" w:sz="4" w:space="0" w:color="auto"/>
              <w:left w:val="nil"/>
              <w:bottom w:val="dotted" w:sz="4" w:space="0" w:color="auto"/>
              <w:right w:val="nil"/>
            </w:tcBorders>
            <w:shd w:val="clear" w:color="auto" w:fill="auto"/>
            <w:noWrap/>
            <w:hideMark/>
          </w:tcPr>
          <w:p w14:paraId="417C953E" w14:textId="77777777" w:rsidR="0058789F" w:rsidRDefault="0058789F" w:rsidP="00ED79A2">
            <w:pPr>
              <w:pStyle w:val="TableBodyTextrightalign"/>
            </w:pPr>
            <w:r>
              <w:t>–</w:t>
            </w:r>
          </w:p>
        </w:tc>
      </w:tr>
      <w:tr w:rsidR="0058789F" w14:paraId="6DC9F1B4" w14:textId="77777777" w:rsidTr="00AD1066">
        <w:trPr>
          <w:trHeight w:val="255"/>
        </w:trPr>
        <w:tc>
          <w:tcPr>
            <w:tcW w:w="5000" w:type="pct"/>
            <w:gridSpan w:val="7"/>
            <w:tcBorders>
              <w:top w:val="dotted" w:sz="4" w:space="0" w:color="auto"/>
              <w:left w:val="nil"/>
              <w:bottom w:val="dotted" w:sz="4" w:space="0" w:color="auto"/>
              <w:right w:val="nil"/>
            </w:tcBorders>
            <w:noWrap/>
          </w:tcPr>
          <w:p w14:paraId="4B894FDF" w14:textId="77777777" w:rsidR="0058789F" w:rsidRDefault="0058789F" w:rsidP="00AD1066">
            <w:pPr>
              <w:pStyle w:val="TableHeading1"/>
              <w:rPr>
                <w:lang w:eastAsia="en-US"/>
              </w:rPr>
            </w:pPr>
            <w:r w:rsidRPr="004444A5">
              <w:t>Statutory</w:t>
            </w:r>
          </w:p>
        </w:tc>
      </w:tr>
      <w:tr w:rsidR="0058789F" w14:paraId="673A2B08" w14:textId="77777777" w:rsidTr="00AD1066">
        <w:trPr>
          <w:trHeight w:val="255"/>
        </w:trPr>
        <w:tc>
          <w:tcPr>
            <w:tcW w:w="1203" w:type="pct"/>
            <w:tcBorders>
              <w:top w:val="dotted" w:sz="4" w:space="0" w:color="auto"/>
              <w:left w:val="nil"/>
              <w:bottom w:val="dotted" w:sz="4" w:space="0" w:color="auto"/>
              <w:right w:val="nil"/>
            </w:tcBorders>
            <w:noWrap/>
          </w:tcPr>
          <w:p w14:paraId="774A8278" w14:textId="77777777" w:rsidR="0058789F" w:rsidRPr="007211D6" w:rsidRDefault="0058789F" w:rsidP="007211D6">
            <w:pPr>
              <w:pStyle w:val="TableBodyText"/>
            </w:pPr>
            <w:r w:rsidRPr="007211D6">
              <w:t>FBT payable</w:t>
            </w:r>
          </w:p>
        </w:tc>
        <w:tc>
          <w:tcPr>
            <w:tcW w:w="676" w:type="pct"/>
            <w:tcBorders>
              <w:top w:val="dotted" w:sz="4" w:space="0" w:color="auto"/>
              <w:left w:val="nil"/>
              <w:bottom w:val="dotted" w:sz="4" w:space="0" w:color="auto"/>
              <w:right w:val="nil"/>
            </w:tcBorders>
            <w:shd w:val="clear" w:color="auto" w:fill="F2F2F2" w:themeFill="background1" w:themeFillShade="F2"/>
            <w:noWrap/>
          </w:tcPr>
          <w:p w14:paraId="007C2E02" w14:textId="77777777" w:rsidR="0058789F" w:rsidRDefault="0058789F" w:rsidP="00ED79A2">
            <w:pPr>
              <w:pStyle w:val="TableBodyTextrightalign"/>
              <w:rPr>
                <w:lang w:eastAsia="en-US"/>
              </w:rPr>
            </w:pPr>
            <w:r w:rsidRPr="00C842EB">
              <w:t>25</w:t>
            </w:r>
          </w:p>
        </w:tc>
        <w:tc>
          <w:tcPr>
            <w:tcW w:w="676" w:type="pct"/>
            <w:tcBorders>
              <w:top w:val="dotted" w:sz="4" w:space="0" w:color="auto"/>
              <w:left w:val="nil"/>
              <w:bottom w:val="dotted" w:sz="4" w:space="0" w:color="auto"/>
              <w:right w:val="nil"/>
            </w:tcBorders>
            <w:shd w:val="clear" w:color="auto" w:fill="F2F2F2" w:themeFill="background1" w:themeFillShade="F2"/>
            <w:noWrap/>
          </w:tcPr>
          <w:p w14:paraId="36FDB24F" w14:textId="77777777" w:rsidR="0058789F" w:rsidRDefault="0058789F" w:rsidP="00ED79A2">
            <w:pPr>
              <w:pStyle w:val="TableBodyTextrightalign"/>
              <w:rPr>
                <w:lang w:eastAsia="en-US"/>
              </w:rPr>
            </w:pPr>
            <w:r w:rsidRPr="00C842EB">
              <w:t>25</w:t>
            </w:r>
          </w:p>
        </w:tc>
        <w:tc>
          <w:tcPr>
            <w:tcW w:w="607" w:type="pct"/>
            <w:tcBorders>
              <w:top w:val="dotted" w:sz="4" w:space="0" w:color="auto"/>
              <w:left w:val="nil"/>
              <w:bottom w:val="dotted" w:sz="4" w:space="0" w:color="auto"/>
              <w:right w:val="nil"/>
            </w:tcBorders>
            <w:shd w:val="clear" w:color="auto" w:fill="auto"/>
            <w:noWrap/>
          </w:tcPr>
          <w:p w14:paraId="3DAE414A" w14:textId="77777777" w:rsidR="0058789F" w:rsidRDefault="0058789F" w:rsidP="00ED79A2">
            <w:pPr>
              <w:pStyle w:val="TableBodyTextrightalign"/>
              <w:rPr>
                <w:lang w:eastAsia="en-US"/>
              </w:rPr>
            </w:pPr>
            <w:r w:rsidRPr="00C842EB">
              <w:t>25</w:t>
            </w:r>
          </w:p>
        </w:tc>
        <w:tc>
          <w:tcPr>
            <w:tcW w:w="607" w:type="pct"/>
            <w:tcBorders>
              <w:top w:val="dotted" w:sz="4" w:space="0" w:color="auto"/>
              <w:left w:val="nil"/>
              <w:bottom w:val="dotted" w:sz="4" w:space="0" w:color="auto"/>
              <w:right w:val="nil"/>
            </w:tcBorders>
            <w:shd w:val="clear" w:color="auto" w:fill="auto"/>
            <w:noWrap/>
          </w:tcPr>
          <w:p w14:paraId="610B88DA" w14:textId="77777777" w:rsidR="0058789F" w:rsidRDefault="0058789F" w:rsidP="00ED79A2">
            <w:pPr>
              <w:pStyle w:val="TableBodyTextrightalign"/>
            </w:pPr>
            <w:r>
              <w:t>–</w:t>
            </w:r>
          </w:p>
        </w:tc>
        <w:tc>
          <w:tcPr>
            <w:tcW w:w="607" w:type="pct"/>
            <w:tcBorders>
              <w:top w:val="dotted" w:sz="4" w:space="0" w:color="auto"/>
              <w:left w:val="nil"/>
              <w:bottom w:val="dotted" w:sz="4" w:space="0" w:color="auto"/>
              <w:right w:val="nil"/>
            </w:tcBorders>
            <w:shd w:val="clear" w:color="auto" w:fill="auto"/>
            <w:noWrap/>
          </w:tcPr>
          <w:p w14:paraId="128DEC4A" w14:textId="77777777" w:rsidR="0058789F" w:rsidRDefault="0058789F" w:rsidP="00ED79A2">
            <w:pPr>
              <w:pStyle w:val="TableBodyTextrightalign"/>
            </w:pPr>
            <w:r>
              <w:t>–</w:t>
            </w:r>
          </w:p>
        </w:tc>
        <w:tc>
          <w:tcPr>
            <w:tcW w:w="624" w:type="pct"/>
            <w:tcBorders>
              <w:top w:val="dotted" w:sz="4" w:space="0" w:color="auto"/>
              <w:left w:val="nil"/>
              <w:bottom w:val="dotted" w:sz="4" w:space="0" w:color="auto"/>
              <w:right w:val="nil"/>
            </w:tcBorders>
            <w:shd w:val="clear" w:color="auto" w:fill="auto"/>
            <w:noWrap/>
          </w:tcPr>
          <w:p w14:paraId="69AE853B" w14:textId="77777777" w:rsidR="0058789F" w:rsidRDefault="0058789F" w:rsidP="00ED79A2">
            <w:pPr>
              <w:pStyle w:val="TableBodyTextrightalign"/>
            </w:pPr>
            <w:r>
              <w:t>–</w:t>
            </w:r>
          </w:p>
        </w:tc>
      </w:tr>
      <w:tr w:rsidR="0058789F" w14:paraId="1BE9085C" w14:textId="77777777" w:rsidTr="00AD1066">
        <w:trPr>
          <w:trHeight w:val="315"/>
        </w:trPr>
        <w:tc>
          <w:tcPr>
            <w:tcW w:w="5000" w:type="pct"/>
            <w:gridSpan w:val="7"/>
            <w:tcBorders>
              <w:top w:val="dotted" w:sz="4" w:space="0" w:color="auto"/>
              <w:left w:val="nil"/>
              <w:bottom w:val="dotted" w:sz="4" w:space="0" w:color="auto"/>
              <w:right w:val="nil"/>
            </w:tcBorders>
            <w:noWrap/>
          </w:tcPr>
          <w:p w14:paraId="3D91C2C0" w14:textId="77777777" w:rsidR="0058789F" w:rsidRPr="00690E67" w:rsidRDefault="0058789F" w:rsidP="00AD1066">
            <w:pPr>
              <w:pStyle w:val="TableBodyTextsmall"/>
            </w:pPr>
            <w:r>
              <w:t xml:space="preserve"> </w:t>
            </w:r>
          </w:p>
        </w:tc>
      </w:tr>
      <w:tr w:rsidR="0058789F" w14:paraId="7443CEE3" w14:textId="77777777" w:rsidTr="00AD1066">
        <w:trPr>
          <w:trHeight w:val="315"/>
        </w:trPr>
        <w:tc>
          <w:tcPr>
            <w:tcW w:w="1203" w:type="pct"/>
            <w:tcBorders>
              <w:top w:val="dotted" w:sz="4" w:space="0" w:color="auto"/>
              <w:left w:val="nil"/>
              <w:bottom w:val="single" w:sz="4" w:space="0" w:color="auto"/>
              <w:right w:val="nil"/>
            </w:tcBorders>
            <w:noWrap/>
            <w:hideMark/>
          </w:tcPr>
          <w:p w14:paraId="55F26545" w14:textId="77777777" w:rsidR="0058789F" w:rsidRDefault="0058789F" w:rsidP="00AD1066">
            <w:pPr>
              <w:pStyle w:val="TableBodyText"/>
              <w:rPr>
                <w:rStyle w:val="Characterbold"/>
                <w:bCs w:val="0"/>
              </w:rPr>
            </w:pPr>
            <w:r>
              <w:rPr>
                <w:rStyle w:val="Characterbold"/>
                <w:bCs w:val="0"/>
                <w:lang w:eastAsia="en-US"/>
              </w:rPr>
              <w:t>Total</w:t>
            </w:r>
          </w:p>
        </w:tc>
        <w:tc>
          <w:tcPr>
            <w:tcW w:w="676" w:type="pct"/>
            <w:tcBorders>
              <w:top w:val="dotted" w:sz="4" w:space="0" w:color="auto"/>
              <w:left w:val="nil"/>
              <w:bottom w:val="single" w:sz="4" w:space="0" w:color="auto"/>
              <w:right w:val="nil"/>
            </w:tcBorders>
            <w:shd w:val="clear" w:color="auto" w:fill="F2F2F2" w:themeFill="background1" w:themeFillShade="F2"/>
            <w:noWrap/>
            <w:hideMark/>
          </w:tcPr>
          <w:p w14:paraId="4F23FC94" w14:textId="77777777" w:rsidR="0058789F" w:rsidRPr="007E78B5" w:rsidRDefault="0058789F" w:rsidP="007E78B5">
            <w:pPr>
              <w:pStyle w:val="TableBodyTextrightalign"/>
              <w:rPr>
                <w:rStyle w:val="Characterbold"/>
              </w:rPr>
            </w:pPr>
            <w:r w:rsidRPr="007E78B5">
              <w:rPr>
                <w:rStyle w:val="Characterbold"/>
              </w:rPr>
              <w:t>1,778</w:t>
            </w:r>
          </w:p>
        </w:tc>
        <w:tc>
          <w:tcPr>
            <w:tcW w:w="676" w:type="pct"/>
            <w:tcBorders>
              <w:top w:val="dotted" w:sz="4" w:space="0" w:color="auto"/>
              <w:left w:val="nil"/>
              <w:bottom w:val="single" w:sz="4" w:space="0" w:color="auto"/>
              <w:right w:val="nil"/>
            </w:tcBorders>
            <w:shd w:val="clear" w:color="auto" w:fill="F2F2F2" w:themeFill="background1" w:themeFillShade="F2"/>
            <w:noWrap/>
            <w:hideMark/>
          </w:tcPr>
          <w:p w14:paraId="329DA4EA" w14:textId="77777777" w:rsidR="0058789F" w:rsidRPr="007E78B5" w:rsidRDefault="0058789F" w:rsidP="007E78B5">
            <w:pPr>
              <w:pStyle w:val="TableBodyTextrightalign"/>
              <w:rPr>
                <w:rStyle w:val="Characterbold"/>
              </w:rPr>
            </w:pPr>
            <w:r w:rsidRPr="007E78B5">
              <w:rPr>
                <w:rStyle w:val="Characterbold"/>
              </w:rPr>
              <w:t>1,778</w:t>
            </w:r>
          </w:p>
        </w:tc>
        <w:tc>
          <w:tcPr>
            <w:tcW w:w="607" w:type="pct"/>
            <w:tcBorders>
              <w:top w:val="dotted" w:sz="4" w:space="0" w:color="auto"/>
              <w:left w:val="nil"/>
              <w:bottom w:val="single" w:sz="4" w:space="0" w:color="auto"/>
              <w:right w:val="nil"/>
            </w:tcBorders>
            <w:shd w:val="clear" w:color="auto" w:fill="auto"/>
            <w:noWrap/>
            <w:hideMark/>
          </w:tcPr>
          <w:p w14:paraId="64CC751B" w14:textId="77777777" w:rsidR="0058789F" w:rsidRPr="007E78B5" w:rsidRDefault="0058789F" w:rsidP="007E78B5">
            <w:pPr>
              <w:pStyle w:val="TableBodyTextrightalign"/>
              <w:rPr>
                <w:rStyle w:val="Characterbold"/>
              </w:rPr>
            </w:pPr>
            <w:r w:rsidRPr="007E78B5">
              <w:rPr>
                <w:rStyle w:val="Characterbold"/>
              </w:rPr>
              <w:t>1,778</w:t>
            </w:r>
          </w:p>
        </w:tc>
        <w:tc>
          <w:tcPr>
            <w:tcW w:w="607" w:type="pct"/>
            <w:tcBorders>
              <w:top w:val="dotted" w:sz="4" w:space="0" w:color="auto"/>
              <w:left w:val="nil"/>
              <w:bottom w:val="single" w:sz="4" w:space="0" w:color="auto"/>
              <w:right w:val="nil"/>
            </w:tcBorders>
            <w:shd w:val="clear" w:color="auto" w:fill="auto"/>
            <w:noWrap/>
            <w:hideMark/>
          </w:tcPr>
          <w:p w14:paraId="12B56D52" w14:textId="77777777" w:rsidR="0058789F" w:rsidRPr="007E78B5" w:rsidRDefault="0058789F" w:rsidP="007E78B5">
            <w:pPr>
              <w:pStyle w:val="TableBodyTextrightalign"/>
              <w:rPr>
                <w:rStyle w:val="Characterbold"/>
              </w:rPr>
            </w:pPr>
            <w:r w:rsidRPr="007E78B5">
              <w:rPr>
                <w:rStyle w:val="Characterbold"/>
              </w:rPr>
              <w:t>–</w:t>
            </w:r>
          </w:p>
        </w:tc>
        <w:tc>
          <w:tcPr>
            <w:tcW w:w="607" w:type="pct"/>
            <w:tcBorders>
              <w:top w:val="dotted" w:sz="4" w:space="0" w:color="auto"/>
              <w:left w:val="nil"/>
              <w:bottom w:val="single" w:sz="4" w:space="0" w:color="auto"/>
              <w:right w:val="nil"/>
            </w:tcBorders>
            <w:shd w:val="clear" w:color="auto" w:fill="auto"/>
            <w:noWrap/>
            <w:hideMark/>
          </w:tcPr>
          <w:p w14:paraId="552F9477" w14:textId="77777777" w:rsidR="0058789F" w:rsidRPr="007E78B5" w:rsidRDefault="0058789F" w:rsidP="007E78B5">
            <w:pPr>
              <w:pStyle w:val="TableBodyTextrightalign"/>
              <w:rPr>
                <w:rStyle w:val="Characterbold"/>
              </w:rPr>
            </w:pPr>
            <w:r w:rsidRPr="007E78B5">
              <w:rPr>
                <w:rStyle w:val="Characterbold"/>
              </w:rPr>
              <w:t>–</w:t>
            </w:r>
          </w:p>
        </w:tc>
        <w:tc>
          <w:tcPr>
            <w:tcW w:w="624" w:type="pct"/>
            <w:tcBorders>
              <w:top w:val="dotted" w:sz="4" w:space="0" w:color="auto"/>
              <w:left w:val="nil"/>
              <w:bottom w:val="single" w:sz="4" w:space="0" w:color="auto"/>
              <w:right w:val="nil"/>
            </w:tcBorders>
            <w:shd w:val="clear" w:color="auto" w:fill="auto"/>
            <w:noWrap/>
            <w:hideMark/>
          </w:tcPr>
          <w:p w14:paraId="1D5F837B" w14:textId="77777777" w:rsidR="0058789F" w:rsidRPr="007E78B5" w:rsidRDefault="0058789F" w:rsidP="007E78B5">
            <w:pPr>
              <w:pStyle w:val="TableBodyTextrightalign"/>
              <w:rPr>
                <w:rStyle w:val="Characterbold"/>
              </w:rPr>
            </w:pPr>
            <w:r w:rsidRPr="007E78B5">
              <w:rPr>
                <w:rStyle w:val="Characterbold"/>
              </w:rPr>
              <w:t>–</w:t>
            </w:r>
          </w:p>
        </w:tc>
      </w:tr>
      <w:tr w:rsidR="0058789F" w14:paraId="7D0F275B" w14:textId="77777777" w:rsidTr="00AD1066">
        <w:trPr>
          <w:trHeight w:val="255"/>
        </w:trPr>
        <w:tc>
          <w:tcPr>
            <w:tcW w:w="5000" w:type="pct"/>
            <w:gridSpan w:val="7"/>
            <w:tcBorders>
              <w:top w:val="dotted" w:sz="4" w:space="0" w:color="auto"/>
              <w:left w:val="nil"/>
              <w:bottom w:val="dotted" w:sz="4" w:space="0" w:color="auto"/>
              <w:right w:val="nil"/>
            </w:tcBorders>
            <w:noWrap/>
          </w:tcPr>
          <w:p w14:paraId="6864C60F" w14:textId="77777777" w:rsidR="0058789F" w:rsidRDefault="0058789F" w:rsidP="00AD1066">
            <w:pPr>
              <w:pStyle w:val="TableBodyTextsmall"/>
            </w:pPr>
            <w:r>
              <w:t xml:space="preserve"> </w:t>
            </w:r>
          </w:p>
        </w:tc>
      </w:tr>
      <w:tr w:rsidR="0058789F" w14:paraId="5EF1F154" w14:textId="77777777" w:rsidTr="00AD1066">
        <w:trPr>
          <w:trHeight w:val="255"/>
        </w:trPr>
        <w:tc>
          <w:tcPr>
            <w:tcW w:w="5000" w:type="pct"/>
            <w:gridSpan w:val="7"/>
            <w:tcBorders>
              <w:top w:val="dotted" w:sz="4" w:space="0" w:color="auto"/>
              <w:left w:val="nil"/>
              <w:bottom w:val="dotted" w:sz="4" w:space="0" w:color="auto"/>
              <w:right w:val="nil"/>
            </w:tcBorders>
            <w:shd w:val="clear" w:color="auto" w:fill="D9D9D9"/>
            <w:noWrap/>
            <w:hideMark/>
          </w:tcPr>
          <w:p w14:paraId="4965BC34" w14:textId="77777777" w:rsidR="0058789F" w:rsidRDefault="0058789F" w:rsidP="00AD1066">
            <w:pPr>
              <w:pStyle w:val="TableHeading1"/>
              <w:rPr>
                <w:lang w:val="en-US" w:eastAsia="en-US"/>
              </w:rPr>
            </w:pPr>
            <w:r>
              <w:rPr>
                <w:lang w:eastAsia="en-US"/>
              </w:rPr>
              <w:t>2022</w:t>
            </w:r>
          </w:p>
        </w:tc>
      </w:tr>
      <w:tr w:rsidR="0058789F" w14:paraId="353CEDD3" w14:textId="77777777" w:rsidTr="00AD1066">
        <w:trPr>
          <w:trHeight w:val="255"/>
        </w:trPr>
        <w:tc>
          <w:tcPr>
            <w:tcW w:w="5000" w:type="pct"/>
            <w:gridSpan w:val="7"/>
            <w:tcBorders>
              <w:top w:val="dotted" w:sz="4" w:space="0" w:color="auto"/>
              <w:left w:val="nil"/>
              <w:bottom w:val="dotted" w:sz="4" w:space="0" w:color="auto"/>
              <w:right w:val="nil"/>
            </w:tcBorders>
            <w:noWrap/>
          </w:tcPr>
          <w:p w14:paraId="02C40693" w14:textId="77777777" w:rsidR="0058789F" w:rsidRDefault="0058789F" w:rsidP="00AD1066">
            <w:pPr>
              <w:pStyle w:val="TableHeading1"/>
              <w:rPr>
                <w:lang w:eastAsia="en-US"/>
              </w:rPr>
            </w:pPr>
            <w:r w:rsidRPr="00690E67">
              <w:rPr>
                <w:lang w:eastAsia="en-US"/>
              </w:rPr>
              <w:t>Contractual</w:t>
            </w:r>
          </w:p>
        </w:tc>
      </w:tr>
      <w:tr w:rsidR="0058789F" w14:paraId="75B245D0" w14:textId="77777777" w:rsidTr="00AD1066">
        <w:trPr>
          <w:trHeight w:val="255"/>
        </w:trPr>
        <w:tc>
          <w:tcPr>
            <w:tcW w:w="1203" w:type="pct"/>
            <w:tcBorders>
              <w:top w:val="dotted" w:sz="4" w:space="0" w:color="auto"/>
              <w:left w:val="nil"/>
              <w:bottom w:val="dotted" w:sz="4" w:space="0" w:color="auto"/>
              <w:right w:val="nil"/>
            </w:tcBorders>
            <w:noWrap/>
            <w:hideMark/>
          </w:tcPr>
          <w:p w14:paraId="7D7C88E0" w14:textId="77777777" w:rsidR="0058789F" w:rsidRPr="007211D6" w:rsidRDefault="0058789F" w:rsidP="007211D6">
            <w:pPr>
              <w:pStyle w:val="TableBodyText"/>
            </w:pPr>
            <w:r w:rsidRPr="007211D6">
              <w:t>Supplies and services</w:t>
            </w:r>
          </w:p>
        </w:tc>
        <w:tc>
          <w:tcPr>
            <w:tcW w:w="676" w:type="pct"/>
            <w:tcBorders>
              <w:top w:val="dotted" w:sz="4" w:space="0" w:color="auto"/>
              <w:left w:val="nil"/>
              <w:bottom w:val="dotted" w:sz="4" w:space="0" w:color="auto"/>
              <w:right w:val="nil"/>
            </w:tcBorders>
            <w:shd w:val="clear" w:color="auto" w:fill="auto"/>
            <w:noWrap/>
            <w:hideMark/>
          </w:tcPr>
          <w:p w14:paraId="2D9BE652" w14:textId="77777777" w:rsidR="0058789F" w:rsidRDefault="0058789F" w:rsidP="00ED79A2">
            <w:pPr>
              <w:pStyle w:val="TableBodyTextrightalign"/>
              <w:rPr>
                <w:lang w:eastAsia="en-US"/>
              </w:rPr>
            </w:pPr>
            <w:r w:rsidRPr="00EE687F">
              <w:t>2,729</w:t>
            </w:r>
          </w:p>
        </w:tc>
        <w:tc>
          <w:tcPr>
            <w:tcW w:w="676" w:type="pct"/>
            <w:tcBorders>
              <w:top w:val="dotted" w:sz="4" w:space="0" w:color="auto"/>
              <w:left w:val="nil"/>
              <w:bottom w:val="dotted" w:sz="4" w:space="0" w:color="auto"/>
              <w:right w:val="nil"/>
            </w:tcBorders>
            <w:shd w:val="clear" w:color="auto" w:fill="auto"/>
            <w:noWrap/>
            <w:hideMark/>
          </w:tcPr>
          <w:p w14:paraId="50DFB5D3" w14:textId="77777777" w:rsidR="0058789F" w:rsidRDefault="0058789F" w:rsidP="00ED79A2">
            <w:pPr>
              <w:pStyle w:val="TableBodyTextrightalign"/>
              <w:rPr>
                <w:lang w:eastAsia="en-US"/>
              </w:rPr>
            </w:pPr>
            <w:r w:rsidRPr="00EE687F">
              <w:t>2,729</w:t>
            </w:r>
          </w:p>
        </w:tc>
        <w:tc>
          <w:tcPr>
            <w:tcW w:w="607" w:type="pct"/>
            <w:tcBorders>
              <w:top w:val="dotted" w:sz="4" w:space="0" w:color="auto"/>
              <w:left w:val="nil"/>
              <w:bottom w:val="dotted" w:sz="4" w:space="0" w:color="auto"/>
              <w:right w:val="nil"/>
            </w:tcBorders>
            <w:noWrap/>
            <w:hideMark/>
          </w:tcPr>
          <w:p w14:paraId="314F37EB" w14:textId="77777777" w:rsidR="0058789F" w:rsidRDefault="0058789F" w:rsidP="00ED79A2">
            <w:pPr>
              <w:pStyle w:val="TableBodyTextrightalign"/>
              <w:rPr>
                <w:lang w:eastAsia="en-US"/>
              </w:rPr>
            </w:pPr>
            <w:r w:rsidRPr="00EE687F">
              <w:t>2,729</w:t>
            </w:r>
          </w:p>
        </w:tc>
        <w:tc>
          <w:tcPr>
            <w:tcW w:w="607" w:type="pct"/>
            <w:tcBorders>
              <w:top w:val="dotted" w:sz="4" w:space="0" w:color="auto"/>
              <w:left w:val="nil"/>
              <w:bottom w:val="dotted" w:sz="4" w:space="0" w:color="auto"/>
              <w:right w:val="nil"/>
            </w:tcBorders>
            <w:noWrap/>
            <w:hideMark/>
          </w:tcPr>
          <w:p w14:paraId="47210B29" w14:textId="77777777" w:rsidR="0058789F" w:rsidRDefault="0058789F" w:rsidP="00ED79A2">
            <w:pPr>
              <w:pStyle w:val="TableBodyTextrightalign"/>
            </w:pPr>
            <w:r>
              <w:t>–</w:t>
            </w:r>
          </w:p>
        </w:tc>
        <w:tc>
          <w:tcPr>
            <w:tcW w:w="607" w:type="pct"/>
            <w:tcBorders>
              <w:top w:val="dotted" w:sz="4" w:space="0" w:color="auto"/>
              <w:left w:val="nil"/>
              <w:bottom w:val="dotted" w:sz="4" w:space="0" w:color="auto"/>
              <w:right w:val="nil"/>
            </w:tcBorders>
            <w:noWrap/>
            <w:hideMark/>
          </w:tcPr>
          <w:p w14:paraId="59B60719" w14:textId="77777777" w:rsidR="0058789F" w:rsidRDefault="0058789F" w:rsidP="00ED79A2">
            <w:pPr>
              <w:pStyle w:val="TableBodyTextrightalign"/>
            </w:pPr>
            <w:r>
              <w:t>–</w:t>
            </w:r>
          </w:p>
        </w:tc>
        <w:tc>
          <w:tcPr>
            <w:tcW w:w="624" w:type="pct"/>
            <w:tcBorders>
              <w:top w:val="dotted" w:sz="4" w:space="0" w:color="auto"/>
              <w:left w:val="nil"/>
              <w:bottom w:val="dotted" w:sz="4" w:space="0" w:color="auto"/>
              <w:right w:val="nil"/>
            </w:tcBorders>
            <w:noWrap/>
            <w:hideMark/>
          </w:tcPr>
          <w:p w14:paraId="373B36CE" w14:textId="77777777" w:rsidR="0058789F" w:rsidRDefault="0058789F" w:rsidP="00ED79A2">
            <w:pPr>
              <w:pStyle w:val="TableBodyTextrightalign"/>
            </w:pPr>
            <w:r>
              <w:t>–</w:t>
            </w:r>
          </w:p>
        </w:tc>
      </w:tr>
      <w:tr w:rsidR="0058789F" w14:paraId="09084263" w14:textId="77777777" w:rsidTr="00AD1066">
        <w:trPr>
          <w:trHeight w:val="255"/>
        </w:trPr>
        <w:tc>
          <w:tcPr>
            <w:tcW w:w="5000" w:type="pct"/>
            <w:gridSpan w:val="7"/>
            <w:tcBorders>
              <w:top w:val="dotted" w:sz="4" w:space="0" w:color="auto"/>
              <w:left w:val="nil"/>
              <w:bottom w:val="dotted" w:sz="4" w:space="0" w:color="auto"/>
              <w:right w:val="nil"/>
            </w:tcBorders>
            <w:noWrap/>
          </w:tcPr>
          <w:p w14:paraId="532D399E" w14:textId="77777777" w:rsidR="0058789F" w:rsidRDefault="0058789F" w:rsidP="00AD1066">
            <w:pPr>
              <w:pStyle w:val="TableHeading1"/>
              <w:rPr>
                <w:lang w:eastAsia="en-US"/>
              </w:rPr>
            </w:pPr>
            <w:r w:rsidRPr="004444A5">
              <w:t>Statutory</w:t>
            </w:r>
          </w:p>
        </w:tc>
      </w:tr>
      <w:tr w:rsidR="0058789F" w14:paraId="7CB56574" w14:textId="77777777" w:rsidTr="00AD1066">
        <w:trPr>
          <w:trHeight w:val="255"/>
        </w:trPr>
        <w:tc>
          <w:tcPr>
            <w:tcW w:w="1203" w:type="pct"/>
            <w:tcBorders>
              <w:top w:val="dotted" w:sz="4" w:space="0" w:color="auto"/>
              <w:left w:val="nil"/>
              <w:bottom w:val="dotted" w:sz="4" w:space="0" w:color="auto"/>
              <w:right w:val="nil"/>
            </w:tcBorders>
            <w:noWrap/>
          </w:tcPr>
          <w:p w14:paraId="1CE7773B" w14:textId="77777777" w:rsidR="0058789F" w:rsidRPr="007211D6" w:rsidRDefault="0058789F" w:rsidP="007211D6">
            <w:pPr>
              <w:pStyle w:val="TableBodyText"/>
            </w:pPr>
            <w:r w:rsidRPr="007211D6">
              <w:t>FBT payable</w:t>
            </w:r>
          </w:p>
        </w:tc>
        <w:tc>
          <w:tcPr>
            <w:tcW w:w="676" w:type="pct"/>
            <w:tcBorders>
              <w:top w:val="dotted" w:sz="4" w:space="0" w:color="auto"/>
              <w:left w:val="nil"/>
              <w:bottom w:val="dotted" w:sz="4" w:space="0" w:color="auto"/>
              <w:right w:val="nil"/>
            </w:tcBorders>
            <w:shd w:val="clear" w:color="auto" w:fill="auto"/>
            <w:noWrap/>
          </w:tcPr>
          <w:p w14:paraId="76D5CCCD" w14:textId="77777777" w:rsidR="0058789F" w:rsidRPr="007211D6" w:rsidRDefault="0058789F" w:rsidP="007211D6">
            <w:pPr>
              <w:pStyle w:val="TableBodyText"/>
            </w:pPr>
            <w:r w:rsidRPr="007211D6">
              <w:t>21</w:t>
            </w:r>
          </w:p>
        </w:tc>
        <w:tc>
          <w:tcPr>
            <w:tcW w:w="676" w:type="pct"/>
            <w:tcBorders>
              <w:top w:val="dotted" w:sz="4" w:space="0" w:color="auto"/>
              <w:left w:val="nil"/>
              <w:bottom w:val="dotted" w:sz="4" w:space="0" w:color="auto"/>
              <w:right w:val="nil"/>
            </w:tcBorders>
            <w:shd w:val="clear" w:color="auto" w:fill="auto"/>
            <w:noWrap/>
          </w:tcPr>
          <w:p w14:paraId="031EC16C" w14:textId="77777777" w:rsidR="0058789F" w:rsidRPr="007211D6" w:rsidRDefault="0058789F" w:rsidP="007211D6">
            <w:pPr>
              <w:pStyle w:val="TableBodyText"/>
            </w:pPr>
            <w:r w:rsidRPr="007211D6">
              <w:t>21</w:t>
            </w:r>
          </w:p>
        </w:tc>
        <w:tc>
          <w:tcPr>
            <w:tcW w:w="607" w:type="pct"/>
            <w:tcBorders>
              <w:top w:val="dotted" w:sz="4" w:space="0" w:color="auto"/>
              <w:left w:val="nil"/>
              <w:bottom w:val="dotted" w:sz="4" w:space="0" w:color="auto"/>
              <w:right w:val="nil"/>
            </w:tcBorders>
            <w:noWrap/>
          </w:tcPr>
          <w:p w14:paraId="4DEF03E8" w14:textId="77777777" w:rsidR="0058789F" w:rsidRPr="007211D6" w:rsidRDefault="0058789F" w:rsidP="007211D6">
            <w:pPr>
              <w:pStyle w:val="TableBodyText"/>
            </w:pPr>
            <w:r w:rsidRPr="007211D6">
              <w:t>21</w:t>
            </w:r>
          </w:p>
        </w:tc>
        <w:tc>
          <w:tcPr>
            <w:tcW w:w="607" w:type="pct"/>
            <w:tcBorders>
              <w:top w:val="dotted" w:sz="4" w:space="0" w:color="auto"/>
              <w:left w:val="nil"/>
              <w:bottom w:val="dotted" w:sz="4" w:space="0" w:color="auto"/>
              <w:right w:val="nil"/>
            </w:tcBorders>
            <w:noWrap/>
          </w:tcPr>
          <w:p w14:paraId="6575B38C" w14:textId="77777777" w:rsidR="0058789F" w:rsidRDefault="0058789F" w:rsidP="00ED79A2">
            <w:pPr>
              <w:pStyle w:val="TableBodyTextrightalign"/>
            </w:pPr>
            <w:r>
              <w:t>–</w:t>
            </w:r>
          </w:p>
        </w:tc>
        <w:tc>
          <w:tcPr>
            <w:tcW w:w="607" w:type="pct"/>
            <w:tcBorders>
              <w:top w:val="dotted" w:sz="4" w:space="0" w:color="auto"/>
              <w:left w:val="nil"/>
              <w:bottom w:val="dotted" w:sz="4" w:space="0" w:color="auto"/>
              <w:right w:val="nil"/>
            </w:tcBorders>
            <w:noWrap/>
          </w:tcPr>
          <w:p w14:paraId="6F75F1A6" w14:textId="77777777" w:rsidR="0058789F" w:rsidRDefault="0058789F" w:rsidP="00ED79A2">
            <w:pPr>
              <w:pStyle w:val="TableBodyTextrightalign"/>
            </w:pPr>
            <w:r>
              <w:t>–</w:t>
            </w:r>
          </w:p>
        </w:tc>
        <w:tc>
          <w:tcPr>
            <w:tcW w:w="624" w:type="pct"/>
            <w:tcBorders>
              <w:top w:val="dotted" w:sz="4" w:space="0" w:color="auto"/>
              <w:left w:val="nil"/>
              <w:bottom w:val="dotted" w:sz="4" w:space="0" w:color="auto"/>
              <w:right w:val="nil"/>
            </w:tcBorders>
            <w:noWrap/>
          </w:tcPr>
          <w:p w14:paraId="1AC46DCF" w14:textId="77777777" w:rsidR="0058789F" w:rsidRDefault="0058789F" w:rsidP="00ED79A2">
            <w:pPr>
              <w:pStyle w:val="TableBodyTextrightalign"/>
            </w:pPr>
            <w:r>
              <w:t>–</w:t>
            </w:r>
          </w:p>
        </w:tc>
      </w:tr>
      <w:tr w:rsidR="0058789F" w14:paraId="272E99FE" w14:textId="77777777" w:rsidTr="00AD1066">
        <w:trPr>
          <w:trHeight w:val="37"/>
        </w:trPr>
        <w:tc>
          <w:tcPr>
            <w:tcW w:w="5000" w:type="pct"/>
            <w:gridSpan w:val="7"/>
            <w:tcBorders>
              <w:top w:val="dotted" w:sz="4" w:space="0" w:color="auto"/>
              <w:left w:val="nil"/>
              <w:bottom w:val="dotted" w:sz="4" w:space="0" w:color="auto"/>
              <w:right w:val="nil"/>
            </w:tcBorders>
            <w:noWrap/>
          </w:tcPr>
          <w:p w14:paraId="56020960" w14:textId="77777777" w:rsidR="0058789F" w:rsidRPr="00C034F5" w:rsidRDefault="0058789F" w:rsidP="00AD1066">
            <w:pPr>
              <w:pStyle w:val="TableBodyTextsmall"/>
            </w:pPr>
            <w:r>
              <w:t xml:space="preserve"> </w:t>
            </w:r>
          </w:p>
        </w:tc>
      </w:tr>
      <w:tr w:rsidR="0058789F" w14:paraId="437B6ACB" w14:textId="77777777" w:rsidTr="00AD1066">
        <w:trPr>
          <w:trHeight w:val="123"/>
        </w:trPr>
        <w:tc>
          <w:tcPr>
            <w:tcW w:w="1203" w:type="pct"/>
            <w:tcBorders>
              <w:top w:val="dotted" w:sz="4" w:space="0" w:color="auto"/>
              <w:left w:val="nil"/>
              <w:bottom w:val="single" w:sz="4" w:space="0" w:color="auto"/>
              <w:right w:val="nil"/>
            </w:tcBorders>
            <w:noWrap/>
            <w:hideMark/>
          </w:tcPr>
          <w:p w14:paraId="41D67140" w14:textId="77777777" w:rsidR="0058789F" w:rsidRPr="00690E67" w:rsidRDefault="0058789F" w:rsidP="00AD1066">
            <w:pPr>
              <w:pStyle w:val="TableBodyText"/>
              <w:rPr>
                <w:rStyle w:val="Characterbold"/>
              </w:rPr>
            </w:pPr>
            <w:r w:rsidRPr="00690E67">
              <w:rPr>
                <w:rStyle w:val="Characterbold"/>
              </w:rPr>
              <w:t>Total</w:t>
            </w:r>
          </w:p>
        </w:tc>
        <w:tc>
          <w:tcPr>
            <w:tcW w:w="676" w:type="pct"/>
            <w:tcBorders>
              <w:top w:val="dotted" w:sz="4" w:space="0" w:color="auto"/>
              <w:left w:val="nil"/>
              <w:bottom w:val="single" w:sz="4" w:space="0" w:color="auto"/>
              <w:right w:val="nil"/>
            </w:tcBorders>
            <w:shd w:val="clear" w:color="auto" w:fill="auto"/>
            <w:noWrap/>
            <w:hideMark/>
          </w:tcPr>
          <w:p w14:paraId="5AC38522" w14:textId="77777777" w:rsidR="0058789F" w:rsidRPr="007E78B5" w:rsidRDefault="0058789F" w:rsidP="007E78B5">
            <w:pPr>
              <w:pStyle w:val="TableBodyTextrightalign"/>
              <w:rPr>
                <w:rStyle w:val="Characterbold"/>
              </w:rPr>
            </w:pPr>
            <w:r w:rsidRPr="007E78B5">
              <w:rPr>
                <w:rStyle w:val="Characterbold"/>
              </w:rPr>
              <w:t>2,750</w:t>
            </w:r>
          </w:p>
        </w:tc>
        <w:tc>
          <w:tcPr>
            <w:tcW w:w="676" w:type="pct"/>
            <w:tcBorders>
              <w:top w:val="dotted" w:sz="4" w:space="0" w:color="auto"/>
              <w:left w:val="nil"/>
              <w:bottom w:val="single" w:sz="4" w:space="0" w:color="auto"/>
              <w:right w:val="nil"/>
            </w:tcBorders>
            <w:shd w:val="clear" w:color="auto" w:fill="auto"/>
            <w:noWrap/>
            <w:hideMark/>
          </w:tcPr>
          <w:p w14:paraId="19D73DE0" w14:textId="77777777" w:rsidR="0058789F" w:rsidRPr="007E78B5" w:rsidRDefault="0058789F" w:rsidP="007E78B5">
            <w:pPr>
              <w:pStyle w:val="TableBodyTextrightalign"/>
              <w:rPr>
                <w:rStyle w:val="Characterbold"/>
              </w:rPr>
            </w:pPr>
            <w:r w:rsidRPr="007E78B5">
              <w:rPr>
                <w:rStyle w:val="Characterbold"/>
              </w:rPr>
              <w:t>2,750</w:t>
            </w:r>
          </w:p>
        </w:tc>
        <w:tc>
          <w:tcPr>
            <w:tcW w:w="607" w:type="pct"/>
            <w:tcBorders>
              <w:top w:val="dotted" w:sz="4" w:space="0" w:color="auto"/>
              <w:left w:val="nil"/>
              <w:bottom w:val="single" w:sz="4" w:space="0" w:color="auto"/>
              <w:right w:val="nil"/>
            </w:tcBorders>
            <w:noWrap/>
            <w:hideMark/>
          </w:tcPr>
          <w:p w14:paraId="716D69A7" w14:textId="77777777" w:rsidR="0058789F" w:rsidRPr="007E78B5" w:rsidRDefault="0058789F" w:rsidP="007E78B5">
            <w:pPr>
              <w:pStyle w:val="TableBodyTextrightalign"/>
              <w:rPr>
                <w:rStyle w:val="Characterbold"/>
              </w:rPr>
            </w:pPr>
            <w:r w:rsidRPr="007E78B5">
              <w:rPr>
                <w:rStyle w:val="Characterbold"/>
              </w:rPr>
              <w:t>2,750</w:t>
            </w:r>
          </w:p>
        </w:tc>
        <w:tc>
          <w:tcPr>
            <w:tcW w:w="607" w:type="pct"/>
            <w:tcBorders>
              <w:top w:val="dotted" w:sz="4" w:space="0" w:color="auto"/>
              <w:left w:val="nil"/>
              <w:bottom w:val="single" w:sz="4" w:space="0" w:color="auto"/>
              <w:right w:val="nil"/>
            </w:tcBorders>
            <w:noWrap/>
            <w:hideMark/>
          </w:tcPr>
          <w:p w14:paraId="0D7B1D1D" w14:textId="77777777" w:rsidR="0058789F" w:rsidRPr="007E78B5" w:rsidRDefault="0058789F" w:rsidP="007E78B5">
            <w:pPr>
              <w:pStyle w:val="TableBodyTextrightalign"/>
              <w:rPr>
                <w:rStyle w:val="Characterbold"/>
              </w:rPr>
            </w:pPr>
            <w:r w:rsidRPr="007E78B5">
              <w:rPr>
                <w:rStyle w:val="Characterbold"/>
              </w:rPr>
              <w:t>–</w:t>
            </w:r>
          </w:p>
        </w:tc>
        <w:tc>
          <w:tcPr>
            <w:tcW w:w="607" w:type="pct"/>
            <w:tcBorders>
              <w:top w:val="dotted" w:sz="4" w:space="0" w:color="auto"/>
              <w:left w:val="nil"/>
              <w:bottom w:val="single" w:sz="4" w:space="0" w:color="auto"/>
              <w:right w:val="nil"/>
            </w:tcBorders>
            <w:noWrap/>
            <w:hideMark/>
          </w:tcPr>
          <w:p w14:paraId="4718954F" w14:textId="77777777" w:rsidR="0058789F" w:rsidRPr="007E78B5" w:rsidRDefault="0058789F" w:rsidP="007E78B5">
            <w:pPr>
              <w:pStyle w:val="TableBodyTextrightalign"/>
              <w:rPr>
                <w:rStyle w:val="Characterbold"/>
              </w:rPr>
            </w:pPr>
            <w:r w:rsidRPr="007E78B5">
              <w:rPr>
                <w:rStyle w:val="Characterbold"/>
              </w:rPr>
              <w:t>–</w:t>
            </w:r>
          </w:p>
        </w:tc>
        <w:tc>
          <w:tcPr>
            <w:tcW w:w="624" w:type="pct"/>
            <w:tcBorders>
              <w:top w:val="dotted" w:sz="4" w:space="0" w:color="auto"/>
              <w:left w:val="nil"/>
              <w:bottom w:val="single" w:sz="4" w:space="0" w:color="auto"/>
              <w:right w:val="nil"/>
            </w:tcBorders>
            <w:noWrap/>
            <w:hideMark/>
          </w:tcPr>
          <w:p w14:paraId="1524E53F" w14:textId="77777777" w:rsidR="0058789F" w:rsidRPr="007E78B5" w:rsidRDefault="0058789F" w:rsidP="007E78B5">
            <w:pPr>
              <w:pStyle w:val="TableBodyTextrightalign"/>
              <w:rPr>
                <w:rStyle w:val="Characterbold"/>
              </w:rPr>
            </w:pPr>
            <w:r w:rsidRPr="007E78B5">
              <w:rPr>
                <w:rStyle w:val="Characterbold"/>
              </w:rPr>
              <w:t>–</w:t>
            </w:r>
          </w:p>
        </w:tc>
      </w:tr>
    </w:tbl>
    <w:p w14:paraId="13BD88A0" w14:textId="77777777" w:rsidR="0058789F" w:rsidRPr="005C634F" w:rsidRDefault="0058789F" w:rsidP="005C634F">
      <w:pPr>
        <w:pStyle w:val="TableNote"/>
        <w:rPr>
          <w:highlight w:val="lightGray"/>
        </w:rPr>
      </w:pPr>
      <w:bookmarkStart w:id="184" w:name="_Ref82072553"/>
      <w:r>
        <w:rPr>
          <w:highlight w:val="lightGray"/>
        </w:rPr>
        <w:br w:type="page"/>
      </w:r>
    </w:p>
    <w:p w14:paraId="692F287B" w14:textId="77777777" w:rsidR="0058789F" w:rsidRDefault="0058789F" w:rsidP="006F399C">
      <w:pPr>
        <w:pStyle w:val="NotesHeading2"/>
      </w:pPr>
      <w:r w:rsidRPr="00075155">
        <w:t>Other non-financial assets</w:t>
      </w:r>
      <w:bookmarkEnd w:id="184"/>
    </w:p>
    <w:tbl>
      <w:tblPr>
        <w:tblStyle w:val="CustomTabledetailed"/>
        <w:tblW w:w="5000" w:type="pct"/>
        <w:tblLook w:val="0660" w:firstRow="1" w:lastRow="1" w:firstColumn="0" w:lastColumn="0" w:noHBand="1" w:noVBand="1"/>
      </w:tblPr>
      <w:tblGrid>
        <w:gridCol w:w="4229"/>
        <w:gridCol w:w="2399"/>
        <w:gridCol w:w="2399"/>
      </w:tblGrid>
      <w:tr w:rsidR="0058789F" w:rsidRPr="004311E5" w14:paraId="4B2C1B8D"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342" w:type="pct"/>
            <w:noWrap/>
            <w:hideMark/>
          </w:tcPr>
          <w:p w14:paraId="5130E607" w14:textId="77777777" w:rsidR="0058789F" w:rsidRPr="004311E5" w:rsidRDefault="0058789F" w:rsidP="00AD1066">
            <w:pPr>
              <w:pStyle w:val="TableBodyText"/>
            </w:pPr>
            <w:r w:rsidRPr="004311E5">
              <w:t> </w:t>
            </w:r>
          </w:p>
          <w:p w14:paraId="5BF5713C" w14:textId="77777777" w:rsidR="0058789F" w:rsidRPr="004311E5" w:rsidRDefault="0058789F" w:rsidP="00AD1066">
            <w:pPr>
              <w:pStyle w:val="TableBodyText"/>
            </w:pPr>
            <w:r w:rsidRPr="004311E5">
              <w:t> </w:t>
            </w:r>
          </w:p>
        </w:tc>
        <w:tc>
          <w:tcPr>
            <w:tcW w:w="1329" w:type="pct"/>
            <w:noWrap/>
            <w:hideMark/>
          </w:tcPr>
          <w:p w14:paraId="7205EAB4" w14:textId="77777777" w:rsidR="0058789F" w:rsidRDefault="0058789F" w:rsidP="00AD1066">
            <w:pPr>
              <w:pStyle w:val="TableHeading3rightalign"/>
            </w:pPr>
            <w:r>
              <w:t>2023</w:t>
            </w:r>
          </w:p>
          <w:p w14:paraId="6809E869" w14:textId="77777777" w:rsidR="0058789F" w:rsidRPr="004311E5" w:rsidRDefault="0058789F" w:rsidP="00AD1066">
            <w:pPr>
              <w:pStyle w:val="TableHeading3rightalign"/>
            </w:pPr>
            <w:r>
              <w:t>($’000)</w:t>
            </w:r>
          </w:p>
        </w:tc>
        <w:tc>
          <w:tcPr>
            <w:tcW w:w="1329" w:type="pct"/>
            <w:noWrap/>
            <w:hideMark/>
          </w:tcPr>
          <w:p w14:paraId="5F25E912" w14:textId="77777777" w:rsidR="0058789F" w:rsidRDefault="0058789F" w:rsidP="00AD1066">
            <w:pPr>
              <w:pStyle w:val="TableHeading3rightalign"/>
            </w:pPr>
            <w:r>
              <w:t>2022</w:t>
            </w:r>
          </w:p>
          <w:p w14:paraId="4C6B4B14" w14:textId="77777777" w:rsidR="0058789F" w:rsidRPr="004311E5" w:rsidRDefault="0058789F" w:rsidP="00AD1066">
            <w:pPr>
              <w:pStyle w:val="TableHeading3rightalign"/>
            </w:pPr>
            <w:r>
              <w:t>($’000)</w:t>
            </w:r>
          </w:p>
        </w:tc>
      </w:tr>
      <w:tr w:rsidR="0058789F" w:rsidRPr="004311E5" w14:paraId="3D0B700B" w14:textId="77777777" w:rsidTr="00AD1066">
        <w:trPr>
          <w:trHeight w:val="255"/>
        </w:trPr>
        <w:tc>
          <w:tcPr>
            <w:tcW w:w="5000" w:type="pct"/>
            <w:gridSpan w:val="3"/>
            <w:noWrap/>
            <w:hideMark/>
          </w:tcPr>
          <w:p w14:paraId="7629CF87" w14:textId="77777777" w:rsidR="0058789F" w:rsidRPr="004311E5" w:rsidRDefault="0058789F" w:rsidP="00AD1066">
            <w:pPr>
              <w:pStyle w:val="TableBodyTextsmall"/>
            </w:pPr>
          </w:p>
        </w:tc>
      </w:tr>
      <w:tr w:rsidR="0058789F" w:rsidRPr="004311E5" w14:paraId="06D06C97" w14:textId="77777777" w:rsidTr="00AD1066">
        <w:trPr>
          <w:trHeight w:val="255"/>
        </w:trPr>
        <w:tc>
          <w:tcPr>
            <w:tcW w:w="5000" w:type="pct"/>
            <w:gridSpan w:val="3"/>
            <w:noWrap/>
            <w:hideMark/>
          </w:tcPr>
          <w:p w14:paraId="7AD63587" w14:textId="77777777" w:rsidR="0058789F" w:rsidRPr="004311E5" w:rsidRDefault="0058789F" w:rsidP="00AD1066">
            <w:pPr>
              <w:pStyle w:val="TableHeading1"/>
            </w:pPr>
            <w:r w:rsidRPr="004311E5">
              <w:t>Current other assets</w:t>
            </w:r>
          </w:p>
        </w:tc>
      </w:tr>
      <w:tr w:rsidR="0058789F" w:rsidRPr="004311E5" w14:paraId="3F2FE36B" w14:textId="77777777" w:rsidTr="00AD1066">
        <w:trPr>
          <w:trHeight w:val="255"/>
        </w:trPr>
        <w:tc>
          <w:tcPr>
            <w:tcW w:w="2342" w:type="pct"/>
            <w:tcBorders>
              <w:bottom w:val="dotted" w:sz="4" w:space="0" w:color="auto"/>
            </w:tcBorders>
            <w:noWrap/>
            <w:hideMark/>
          </w:tcPr>
          <w:p w14:paraId="04E289BE" w14:textId="77777777" w:rsidR="0058789F" w:rsidRPr="004311E5" w:rsidRDefault="0058789F" w:rsidP="00AD1066">
            <w:pPr>
              <w:pStyle w:val="TableBodyText"/>
            </w:pPr>
            <w:r w:rsidRPr="004311E5">
              <w:t>Prepayments</w:t>
            </w:r>
          </w:p>
        </w:tc>
        <w:tc>
          <w:tcPr>
            <w:tcW w:w="1329" w:type="pct"/>
            <w:tcBorders>
              <w:bottom w:val="dotted" w:sz="4" w:space="0" w:color="auto"/>
            </w:tcBorders>
            <w:shd w:val="clear" w:color="auto" w:fill="F2F2F2" w:themeFill="background1" w:themeFillShade="F2"/>
            <w:noWrap/>
          </w:tcPr>
          <w:p w14:paraId="01CAE9EF" w14:textId="77777777" w:rsidR="0058789F" w:rsidRPr="004311E5" w:rsidRDefault="0058789F" w:rsidP="00AD1066">
            <w:pPr>
              <w:pStyle w:val="TableBodyTextrightalign"/>
            </w:pPr>
            <w:r>
              <w:t>1,488</w:t>
            </w:r>
          </w:p>
        </w:tc>
        <w:tc>
          <w:tcPr>
            <w:tcW w:w="1329" w:type="pct"/>
            <w:tcBorders>
              <w:bottom w:val="dotted" w:sz="4" w:space="0" w:color="auto"/>
            </w:tcBorders>
            <w:noWrap/>
            <w:hideMark/>
          </w:tcPr>
          <w:p w14:paraId="607D3A3B" w14:textId="77777777" w:rsidR="0058789F" w:rsidRPr="004311E5" w:rsidRDefault="0058789F" w:rsidP="00AD1066">
            <w:pPr>
              <w:pStyle w:val="TableBodyTextrightalign"/>
            </w:pPr>
            <w:r>
              <w:t>1,710</w:t>
            </w:r>
          </w:p>
        </w:tc>
      </w:tr>
      <w:tr w:rsidR="0058789F" w:rsidRPr="004311E5" w14:paraId="19B0FC66" w14:textId="77777777" w:rsidTr="00AD1066">
        <w:trPr>
          <w:trHeight w:val="255"/>
        </w:trPr>
        <w:tc>
          <w:tcPr>
            <w:tcW w:w="2342" w:type="pct"/>
            <w:tcBorders>
              <w:top w:val="dotted" w:sz="4" w:space="0" w:color="auto"/>
              <w:bottom w:val="single" w:sz="4" w:space="0" w:color="auto"/>
            </w:tcBorders>
            <w:noWrap/>
            <w:hideMark/>
          </w:tcPr>
          <w:p w14:paraId="2B3465A0" w14:textId="77777777" w:rsidR="0058789F" w:rsidRPr="00EA0A03" w:rsidRDefault="0058789F" w:rsidP="00AD1066">
            <w:pPr>
              <w:pStyle w:val="TableBodyText"/>
              <w:rPr>
                <w:rStyle w:val="Characterbold"/>
              </w:rPr>
            </w:pPr>
            <w:r w:rsidRPr="00EA0A03">
              <w:rPr>
                <w:rStyle w:val="Characterbold"/>
              </w:rPr>
              <w:t>Total current other assets</w:t>
            </w:r>
          </w:p>
        </w:tc>
        <w:tc>
          <w:tcPr>
            <w:tcW w:w="1329" w:type="pct"/>
            <w:tcBorders>
              <w:top w:val="dotted" w:sz="4" w:space="0" w:color="auto"/>
              <w:bottom w:val="single" w:sz="4" w:space="0" w:color="auto"/>
            </w:tcBorders>
            <w:shd w:val="clear" w:color="auto" w:fill="F2F2F2" w:themeFill="background1" w:themeFillShade="F2"/>
            <w:noWrap/>
          </w:tcPr>
          <w:p w14:paraId="142B783B" w14:textId="77777777" w:rsidR="0058789F" w:rsidRPr="007E78B5" w:rsidRDefault="0058789F" w:rsidP="007E78B5">
            <w:pPr>
              <w:pStyle w:val="TableBodyTextrightalign"/>
              <w:rPr>
                <w:rStyle w:val="Characterbold"/>
              </w:rPr>
            </w:pPr>
            <w:r w:rsidRPr="007E78B5">
              <w:rPr>
                <w:rStyle w:val="Characterbold"/>
              </w:rPr>
              <w:t>1,488</w:t>
            </w:r>
          </w:p>
        </w:tc>
        <w:tc>
          <w:tcPr>
            <w:tcW w:w="1329" w:type="pct"/>
            <w:tcBorders>
              <w:top w:val="dotted" w:sz="4" w:space="0" w:color="auto"/>
              <w:bottom w:val="single" w:sz="4" w:space="0" w:color="auto"/>
            </w:tcBorders>
            <w:noWrap/>
            <w:hideMark/>
          </w:tcPr>
          <w:p w14:paraId="62B01F63" w14:textId="77777777" w:rsidR="0058789F" w:rsidRPr="00EA0A03" w:rsidRDefault="0058789F" w:rsidP="00AD1066">
            <w:pPr>
              <w:pStyle w:val="TableBodyTextrightalign"/>
              <w:rPr>
                <w:rStyle w:val="Characterbold"/>
              </w:rPr>
            </w:pPr>
            <w:r>
              <w:rPr>
                <w:rStyle w:val="Characterbold"/>
              </w:rPr>
              <w:t>1,710</w:t>
            </w:r>
          </w:p>
        </w:tc>
      </w:tr>
      <w:tr w:rsidR="0058789F" w:rsidRPr="004311E5" w14:paraId="75EC389E" w14:textId="77777777" w:rsidTr="00AD1066">
        <w:trPr>
          <w:trHeight w:val="255"/>
        </w:trPr>
        <w:tc>
          <w:tcPr>
            <w:tcW w:w="5000" w:type="pct"/>
            <w:gridSpan w:val="3"/>
            <w:tcBorders>
              <w:top w:val="single" w:sz="4" w:space="0" w:color="auto"/>
            </w:tcBorders>
            <w:noWrap/>
            <w:hideMark/>
          </w:tcPr>
          <w:p w14:paraId="35CF89F4" w14:textId="77777777" w:rsidR="0058789F" w:rsidRPr="004311E5" w:rsidRDefault="0058789F" w:rsidP="00AD1066">
            <w:pPr>
              <w:pStyle w:val="TableBodyTextsmall"/>
            </w:pPr>
          </w:p>
        </w:tc>
      </w:tr>
      <w:tr w:rsidR="0058789F" w:rsidRPr="004311E5" w14:paraId="2CA71A1C" w14:textId="77777777" w:rsidTr="00AD1066">
        <w:trPr>
          <w:trHeight w:val="255"/>
        </w:trPr>
        <w:tc>
          <w:tcPr>
            <w:tcW w:w="5000" w:type="pct"/>
            <w:gridSpan w:val="3"/>
            <w:noWrap/>
            <w:hideMark/>
          </w:tcPr>
          <w:p w14:paraId="02450395" w14:textId="77777777" w:rsidR="0058789F" w:rsidRPr="004311E5" w:rsidRDefault="0058789F" w:rsidP="00AD1066">
            <w:pPr>
              <w:pStyle w:val="TableHeading1"/>
            </w:pPr>
            <w:r w:rsidRPr="004311E5">
              <w:t>Non-current other assets</w:t>
            </w:r>
          </w:p>
        </w:tc>
      </w:tr>
      <w:tr w:rsidR="0058789F" w:rsidRPr="004311E5" w14:paraId="2BB32A89" w14:textId="77777777" w:rsidTr="00AD1066">
        <w:trPr>
          <w:trHeight w:val="255"/>
        </w:trPr>
        <w:tc>
          <w:tcPr>
            <w:tcW w:w="2342" w:type="pct"/>
            <w:tcBorders>
              <w:bottom w:val="dotted" w:sz="4" w:space="0" w:color="auto"/>
            </w:tcBorders>
            <w:noWrap/>
            <w:hideMark/>
          </w:tcPr>
          <w:p w14:paraId="21A179BF" w14:textId="77777777" w:rsidR="0058789F" w:rsidRPr="004311E5" w:rsidRDefault="0058789F" w:rsidP="00AD1066">
            <w:pPr>
              <w:pStyle w:val="TableBodyText"/>
            </w:pPr>
            <w:r w:rsidRPr="004311E5">
              <w:t>Prepayments</w:t>
            </w:r>
          </w:p>
        </w:tc>
        <w:tc>
          <w:tcPr>
            <w:tcW w:w="1329" w:type="pct"/>
            <w:tcBorders>
              <w:bottom w:val="dotted" w:sz="4" w:space="0" w:color="auto"/>
            </w:tcBorders>
            <w:shd w:val="clear" w:color="auto" w:fill="F2F2F2" w:themeFill="background1" w:themeFillShade="F2"/>
            <w:noWrap/>
          </w:tcPr>
          <w:p w14:paraId="4AC84923" w14:textId="77777777" w:rsidR="0058789F" w:rsidRPr="004311E5" w:rsidRDefault="0058789F" w:rsidP="00AD1066">
            <w:pPr>
              <w:pStyle w:val="TableBodyTextrightalign"/>
            </w:pPr>
            <w:r>
              <w:t>812</w:t>
            </w:r>
          </w:p>
        </w:tc>
        <w:tc>
          <w:tcPr>
            <w:tcW w:w="1329" w:type="pct"/>
            <w:tcBorders>
              <w:bottom w:val="dotted" w:sz="4" w:space="0" w:color="auto"/>
            </w:tcBorders>
            <w:noWrap/>
            <w:hideMark/>
          </w:tcPr>
          <w:p w14:paraId="00AA98C3" w14:textId="77777777" w:rsidR="0058789F" w:rsidRPr="004311E5" w:rsidRDefault="0058789F" w:rsidP="00AD1066">
            <w:pPr>
              <w:pStyle w:val="TableBodyTextrightalign"/>
            </w:pPr>
            <w:r>
              <w:t>214</w:t>
            </w:r>
          </w:p>
        </w:tc>
      </w:tr>
      <w:tr w:rsidR="0058789F" w:rsidRPr="004311E5" w14:paraId="712FDDB4" w14:textId="77777777" w:rsidTr="00AD1066">
        <w:trPr>
          <w:trHeight w:val="255"/>
        </w:trPr>
        <w:tc>
          <w:tcPr>
            <w:tcW w:w="2342" w:type="pct"/>
            <w:tcBorders>
              <w:top w:val="dotted" w:sz="4" w:space="0" w:color="auto"/>
              <w:bottom w:val="single" w:sz="4" w:space="0" w:color="auto"/>
            </w:tcBorders>
            <w:noWrap/>
            <w:hideMark/>
          </w:tcPr>
          <w:p w14:paraId="13739E5E" w14:textId="77777777" w:rsidR="0058789F" w:rsidRPr="007211D6" w:rsidRDefault="0058789F" w:rsidP="00AD1066">
            <w:pPr>
              <w:pStyle w:val="TableBodyText"/>
              <w:rPr>
                <w:rStyle w:val="Characterbold"/>
              </w:rPr>
            </w:pPr>
            <w:r w:rsidRPr="007211D6">
              <w:rPr>
                <w:rStyle w:val="Characterbold"/>
              </w:rPr>
              <w:t>Total non-current other assets</w:t>
            </w:r>
          </w:p>
        </w:tc>
        <w:tc>
          <w:tcPr>
            <w:tcW w:w="1329" w:type="pct"/>
            <w:tcBorders>
              <w:top w:val="dotted" w:sz="4" w:space="0" w:color="auto"/>
              <w:bottom w:val="single" w:sz="4" w:space="0" w:color="auto"/>
            </w:tcBorders>
            <w:shd w:val="clear" w:color="auto" w:fill="F2F2F2" w:themeFill="background1" w:themeFillShade="F2"/>
            <w:noWrap/>
          </w:tcPr>
          <w:p w14:paraId="558F3DE6" w14:textId="77777777" w:rsidR="0058789F" w:rsidRPr="007E78B5" w:rsidRDefault="0058789F" w:rsidP="007E78B5">
            <w:pPr>
              <w:pStyle w:val="TableBodyTextrightalign"/>
              <w:rPr>
                <w:rStyle w:val="Characterbold"/>
              </w:rPr>
            </w:pPr>
            <w:r w:rsidRPr="007E78B5">
              <w:rPr>
                <w:rStyle w:val="Characterbold"/>
              </w:rPr>
              <w:t>812</w:t>
            </w:r>
          </w:p>
        </w:tc>
        <w:tc>
          <w:tcPr>
            <w:tcW w:w="1329" w:type="pct"/>
            <w:tcBorders>
              <w:top w:val="dotted" w:sz="4" w:space="0" w:color="auto"/>
              <w:bottom w:val="single" w:sz="4" w:space="0" w:color="auto"/>
            </w:tcBorders>
            <w:noWrap/>
            <w:hideMark/>
          </w:tcPr>
          <w:p w14:paraId="73467628" w14:textId="77777777" w:rsidR="0058789F" w:rsidRPr="007E78B5" w:rsidRDefault="0058789F" w:rsidP="007E78B5">
            <w:pPr>
              <w:pStyle w:val="TableBodyTextrightalign"/>
              <w:rPr>
                <w:rStyle w:val="Characterbold"/>
              </w:rPr>
            </w:pPr>
            <w:r w:rsidRPr="007E78B5">
              <w:rPr>
                <w:rStyle w:val="Characterbold"/>
              </w:rPr>
              <w:t>214</w:t>
            </w:r>
          </w:p>
        </w:tc>
      </w:tr>
      <w:tr w:rsidR="0058789F" w:rsidRPr="004311E5" w14:paraId="00370924" w14:textId="77777777" w:rsidTr="00AD1066">
        <w:trPr>
          <w:trHeight w:val="270"/>
        </w:trPr>
        <w:tc>
          <w:tcPr>
            <w:tcW w:w="5000" w:type="pct"/>
            <w:gridSpan w:val="3"/>
            <w:tcBorders>
              <w:top w:val="single" w:sz="4" w:space="0" w:color="auto"/>
              <w:bottom w:val="dotted" w:sz="4" w:space="0" w:color="auto"/>
            </w:tcBorders>
            <w:noWrap/>
          </w:tcPr>
          <w:p w14:paraId="54594849" w14:textId="77777777" w:rsidR="0058789F" w:rsidRDefault="0058789F" w:rsidP="00AD1066">
            <w:pPr>
              <w:pStyle w:val="TableBodyTextsmall"/>
            </w:pPr>
          </w:p>
        </w:tc>
      </w:tr>
      <w:tr w:rsidR="0058789F" w:rsidRPr="004311E5" w14:paraId="635AD726"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2342" w:type="pct"/>
            <w:tcBorders>
              <w:top w:val="dotted" w:sz="4" w:space="0" w:color="auto"/>
            </w:tcBorders>
            <w:noWrap/>
            <w:hideMark/>
          </w:tcPr>
          <w:p w14:paraId="5A665DC7" w14:textId="77777777" w:rsidR="0058789F" w:rsidRPr="00B622F1" w:rsidRDefault="0058789F" w:rsidP="00AD1066">
            <w:pPr>
              <w:pStyle w:val="TableBodyText"/>
              <w:rPr>
                <w:b w:val="0"/>
                <w:bCs w:val="0"/>
              </w:rPr>
            </w:pPr>
            <w:r w:rsidRPr="004311E5">
              <w:t>Total other non-financial assets</w:t>
            </w:r>
          </w:p>
        </w:tc>
        <w:tc>
          <w:tcPr>
            <w:tcW w:w="1329" w:type="pct"/>
            <w:tcBorders>
              <w:top w:val="dotted" w:sz="4" w:space="0" w:color="auto"/>
            </w:tcBorders>
            <w:shd w:val="clear" w:color="auto" w:fill="F2F2F2" w:themeFill="background1" w:themeFillShade="F2"/>
            <w:noWrap/>
          </w:tcPr>
          <w:p w14:paraId="242881E0" w14:textId="77777777" w:rsidR="0058789F" w:rsidRPr="004311E5" w:rsidRDefault="0058789F" w:rsidP="00AD1066">
            <w:pPr>
              <w:pStyle w:val="TableBodyTextrightalign"/>
            </w:pPr>
            <w:r>
              <w:t>2,300</w:t>
            </w:r>
          </w:p>
        </w:tc>
        <w:tc>
          <w:tcPr>
            <w:tcW w:w="1329" w:type="pct"/>
            <w:tcBorders>
              <w:top w:val="dotted" w:sz="4" w:space="0" w:color="auto"/>
            </w:tcBorders>
            <w:noWrap/>
            <w:hideMark/>
          </w:tcPr>
          <w:p w14:paraId="410B236D" w14:textId="77777777" w:rsidR="0058789F" w:rsidRPr="004311E5" w:rsidRDefault="0058789F" w:rsidP="00AD1066">
            <w:pPr>
              <w:pStyle w:val="TableBodyTextrightalign"/>
            </w:pPr>
            <w:r>
              <w:t>1,924</w:t>
            </w:r>
          </w:p>
        </w:tc>
      </w:tr>
    </w:tbl>
    <w:p w14:paraId="31C7C91E" w14:textId="77777777" w:rsidR="0058789F" w:rsidRDefault="0058789F" w:rsidP="0058789F">
      <w:r w:rsidRPr="00706851">
        <w:t xml:space="preserve">Other non-financial assets include </w:t>
      </w:r>
      <w:r>
        <w:t>prepayments for</w:t>
      </w:r>
      <w:r w:rsidRPr="00706851">
        <w:t xml:space="preserve"> </w:t>
      </w:r>
      <w:r>
        <w:t>rental</w:t>
      </w:r>
      <w:r w:rsidRPr="00706851">
        <w:t>, hardware and software maintenance</w:t>
      </w:r>
      <w:r>
        <w:t>,</w:t>
      </w:r>
      <w:r w:rsidRPr="00706851">
        <w:t xml:space="preserve"> and licences</w:t>
      </w:r>
      <w:r>
        <w:t>.</w:t>
      </w:r>
      <w:r w:rsidRPr="00706851">
        <w:t xml:space="preserve"> Prepayments represent payments in advance of receipt of goods or services or that form part of expenditure made in one accounting period covering a term extending beyond that period.</w:t>
      </w:r>
    </w:p>
    <w:p w14:paraId="587B526C" w14:textId="77777777" w:rsidR="0058789F" w:rsidRPr="00706851" w:rsidRDefault="0058789F" w:rsidP="006F399C">
      <w:pPr>
        <w:pStyle w:val="NotesHeading2"/>
      </w:pPr>
      <w:bookmarkStart w:id="185" w:name="_Ref82072589"/>
      <w:r w:rsidRPr="00706851">
        <w:t>Other provisions</w:t>
      </w:r>
      <w:bookmarkEnd w:id="185"/>
    </w:p>
    <w:p w14:paraId="0E15E0DD" w14:textId="66A30DD0" w:rsidR="0058789F" w:rsidRPr="00706851" w:rsidRDefault="0058789F" w:rsidP="0058789F">
      <w:pPr>
        <w:pStyle w:val="BodyText"/>
      </w:pPr>
      <w:r w:rsidRPr="00ED0CC3">
        <w:t>Other provisions consist of a make good provision relating to IBAC</w:t>
      </w:r>
      <w:r>
        <w:t>-</w:t>
      </w:r>
      <w:r w:rsidRPr="00ED0CC3">
        <w:t xml:space="preserve">specific building modification. Management </w:t>
      </w:r>
      <w:r>
        <w:t xml:space="preserve">has </w:t>
      </w:r>
      <w:r w:rsidRPr="00ED0CC3">
        <w:t>made a judgment that it is almost certain that IBAC will be required to make good for this modification</w:t>
      </w:r>
      <w:r>
        <w:t>,</w:t>
      </w:r>
      <w:r w:rsidRPr="00ED0CC3">
        <w:t xml:space="preserve"> therefore, a provision has been raised. At 30 June 202</w:t>
      </w:r>
      <w:r>
        <w:t>3</w:t>
      </w:r>
      <w:r w:rsidRPr="00ED0CC3">
        <w:t xml:space="preserve">, the make good provision classified as non-current </w:t>
      </w:r>
      <w:r>
        <w:t>is</w:t>
      </w:r>
      <w:r w:rsidRPr="00ED0CC3">
        <w:t xml:space="preserve"> $</w:t>
      </w:r>
      <w:r w:rsidRPr="00F24788">
        <w:t>121,000</w:t>
      </w:r>
      <w:r w:rsidRPr="002B3187" w:rsidDel="00B26BED">
        <w:t xml:space="preserve"> </w:t>
      </w:r>
      <w:r w:rsidRPr="00ED0CC3">
        <w:t>(202</w:t>
      </w:r>
      <w:r>
        <w:t>2</w:t>
      </w:r>
      <w:r w:rsidRPr="00ED0CC3">
        <w:t>: $121,000).</w:t>
      </w:r>
    </w:p>
    <w:p w14:paraId="786039C6" w14:textId="77777777" w:rsidR="0058789F" w:rsidRPr="00706851" w:rsidRDefault="0058789F" w:rsidP="0058789F">
      <w:pPr>
        <w:pStyle w:val="BodyText"/>
      </w:pPr>
      <w:r w:rsidRPr="00706851">
        <w:t>Other provisions are recognised when IBAC has a present obligation, the future sacrifice of economic benefits is probable, and the amount of the provision can be measured reliably. The amount recognised as a provision is the best estimate of the consideration required to settle the present obligation, taking into account the risks and uncertainties surrounding the obligation.</w:t>
      </w:r>
    </w:p>
    <w:p w14:paraId="1E9569AD" w14:textId="77777777" w:rsidR="0058789F" w:rsidRDefault="0058789F" w:rsidP="0058789F">
      <w:pPr>
        <w:pStyle w:val="BodyText"/>
      </w:pPr>
      <w:r w:rsidRPr="00706851">
        <w:t>Where a provision is measured using the cash flows estimated to settle the present obligation, it</w:t>
      </w:r>
      <w:r>
        <w:t>s</w:t>
      </w:r>
      <w:r w:rsidRPr="00706851">
        <w:t xml:space="preserve"> carrying amount is the present value of those cash flows, using discount rates that reflect the time</w:t>
      </w:r>
      <w:r>
        <w:t xml:space="preserve">, </w:t>
      </w:r>
      <w:r w:rsidRPr="00706851">
        <w:t>value of money and risks specific to the provision.</w:t>
      </w:r>
    </w:p>
    <w:p w14:paraId="6503D85A" w14:textId="77777777" w:rsidR="0058789F" w:rsidRPr="007211D6" w:rsidRDefault="0058789F" w:rsidP="007211D6">
      <w:pPr>
        <w:pStyle w:val="BodyText"/>
      </w:pPr>
      <w:r>
        <w:br w:type="page"/>
      </w:r>
    </w:p>
    <w:p w14:paraId="5F8FF1F9" w14:textId="77777777" w:rsidR="0058789F" w:rsidRPr="00B45DCA" w:rsidRDefault="0058789F" w:rsidP="0058789F">
      <w:pPr>
        <w:pStyle w:val="NotesHeading1"/>
        <w:numPr>
          <w:ilvl w:val="0"/>
          <w:numId w:val="22"/>
        </w:numPr>
      </w:pPr>
      <w:bookmarkStart w:id="186" w:name="_Ref120788315"/>
      <w:r>
        <w:t>Financing our operations</w:t>
      </w:r>
      <w:bookmarkEnd w:id="186"/>
    </w:p>
    <w:p w14:paraId="3042D246" w14:textId="77777777" w:rsidR="0058789F" w:rsidRPr="00B45DCA" w:rsidRDefault="0058789F" w:rsidP="0058789F">
      <w:pPr>
        <w:pStyle w:val="BodyText"/>
      </w:pPr>
      <w:r w:rsidRPr="00B45DCA">
        <w:t>This section provides information on the sources of finance used by IBAC during its operations, along with interest expenses (the cost of borrowings) and other information related to financing activities of IBAC.</w:t>
      </w:r>
    </w:p>
    <w:p w14:paraId="4C427C2F" w14:textId="22396A99" w:rsidR="0058789F" w:rsidRPr="006F399C" w:rsidRDefault="0058789F" w:rsidP="006F399C">
      <w:pPr>
        <w:pStyle w:val="BodyText"/>
      </w:pPr>
      <w:r w:rsidRPr="00B45DCA">
        <w:t xml:space="preserve">This section includes disclosures of balances that are financial instruments (such as borrowings and cash balances). Notes </w:t>
      </w:r>
      <w:r>
        <w:fldChar w:fldCharType="begin"/>
      </w:r>
      <w:r>
        <w:instrText xml:space="preserve"> REF _Ref145067231 \n \h </w:instrText>
      </w:r>
      <w:r>
        <w:fldChar w:fldCharType="separate"/>
      </w:r>
      <w:r>
        <w:t>7.1</w:t>
      </w:r>
      <w:r>
        <w:fldChar w:fldCharType="end"/>
      </w:r>
      <w:r w:rsidRPr="00B45DCA">
        <w:t xml:space="preserve"> and </w:t>
      </w:r>
      <w:r>
        <w:fldChar w:fldCharType="begin"/>
      </w:r>
      <w:r>
        <w:instrText xml:space="preserve"> REF _Ref145067241 \n \h </w:instrText>
      </w:r>
      <w:r>
        <w:fldChar w:fldCharType="separate"/>
      </w:r>
      <w:r>
        <w:t>7.3</w:t>
      </w:r>
      <w:r>
        <w:fldChar w:fldCharType="end"/>
      </w:r>
      <w:r>
        <w:t xml:space="preserve"> </w:t>
      </w:r>
      <w:r w:rsidRPr="00B45DCA">
        <w:t>provide additional, specific financial instrument disclosures.</w:t>
      </w:r>
      <w:bookmarkStart w:id="187" w:name="_Ref82072568"/>
    </w:p>
    <w:p w14:paraId="2DA2F915" w14:textId="77777777" w:rsidR="0058789F" w:rsidRDefault="0058789F" w:rsidP="006F399C">
      <w:pPr>
        <w:pStyle w:val="NotesHeading2"/>
      </w:pPr>
      <w:r w:rsidRPr="00B45DCA">
        <w:t>Borrowings</w:t>
      </w:r>
      <w:bookmarkEnd w:id="187"/>
    </w:p>
    <w:tbl>
      <w:tblPr>
        <w:tblStyle w:val="CustomTabledetailed"/>
        <w:tblW w:w="5000" w:type="pct"/>
        <w:tblLook w:val="0660" w:firstRow="1" w:lastRow="1" w:firstColumn="0" w:lastColumn="0" w:noHBand="1" w:noVBand="1"/>
      </w:tblPr>
      <w:tblGrid>
        <w:gridCol w:w="4133"/>
        <w:gridCol w:w="2448"/>
        <w:gridCol w:w="2446"/>
      </w:tblGrid>
      <w:tr w:rsidR="0058789F" w:rsidRPr="00E17DC7" w14:paraId="0DE27FF0"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289" w:type="pct"/>
            <w:noWrap/>
            <w:hideMark/>
          </w:tcPr>
          <w:p w14:paraId="603A6495" w14:textId="77777777" w:rsidR="0058789F" w:rsidRPr="00E17DC7" w:rsidRDefault="0058789F" w:rsidP="00AD1066">
            <w:pPr>
              <w:pStyle w:val="TableBodyText"/>
            </w:pPr>
            <w:r>
              <w:t xml:space="preserve"> </w:t>
            </w:r>
            <w:r w:rsidRPr="00E17DC7">
              <w:t> </w:t>
            </w:r>
          </w:p>
        </w:tc>
        <w:tc>
          <w:tcPr>
            <w:tcW w:w="1356" w:type="pct"/>
            <w:noWrap/>
            <w:hideMark/>
          </w:tcPr>
          <w:p w14:paraId="3B318CAF" w14:textId="77777777" w:rsidR="0058789F" w:rsidRDefault="0058789F" w:rsidP="00AD1066">
            <w:pPr>
              <w:pStyle w:val="TableHeading3rightalign"/>
            </w:pPr>
            <w:r>
              <w:t>2023</w:t>
            </w:r>
          </w:p>
          <w:p w14:paraId="76EEE645" w14:textId="77777777" w:rsidR="0058789F" w:rsidRPr="00E17DC7" w:rsidRDefault="0058789F" w:rsidP="00AD1066">
            <w:pPr>
              <w:pStyle w:val="TableHeading3rightalign"/>
            </w:pPr>
            <w:r>
              <w:t>($’000)</w:t>
            </w:r>
          </w:p>
        </w:tc>
        <w:tc>
          <w:tcPr>
            <w:tcW w:w="1355" w:type="pct"/>
            <w:noWrap/>
            <w:hideMark/>
          </w:tcPr>
          <w:p w14:paraId="4604D6F5" w14:textId="77777777" w:rsidR="0058789F" w:rsidRDefault="0058789F" w:rsidP="00AD1066">
            <w:pPr>
              <w:pStyle w:val="TableHeading3rightalign"/>
            </w:pPr>
            <w:r>
              <w:t>2022</w:t>
            </w:r>
          </w:p>
          <w:p w14:paraId="42B75271" w14:textId="77777777" w:rsidR="0058789F" w:rsidRPr="00E17DC7" w:rsidRDefault="0058789F" w:rsidP="00AD1066">
            <w:pPr>
              <w:pStyle w:val="TableHeading3rightalign"/>
            </w:pPr>
            <w:r>
              <w:t>($’000)</w:t>
            </w:r>
          </w:p>
        </w:tc>
      </w:tr>
      <w:tr w:rsidR="0058789F" w:rsidRPr="00E17DC7" w14:paraId="13B18F8E" w14:textId="77777777" w:rsidTr="00AD1066">
        <w:trPr>
          <w:trHeight w:val="255"/>
        </w:trPr>
        <w:tc>
          <w:tcPr>
            <w:tcW w:w="5000" w:type="pct"/>
            <w:gridSpan w:val="3"/>
            <w:noWrap/>
            <w:hideMark/>
          </w:tcPr>
          <w:p w14:paraId="4552C738" w14:textId="77777777" w:rsidR="0058789F" w:rsidRPr="00E17DC7" w:rsidRDefault="0058789F" w:rsidP="00AD1066">
            <w:pPr>
              <w:pStyle w:val="TableBodyTextsmall"/>
            </w:pPr>
            <w:r>
              <w:t xml:space="preserve"> </w:t>
            </w:r>
          </w:p>
        </w:tc>
      </w:tr>
      <w:tr w:rsidR="0058789F" w:rsidRPr="00E17DC7" w14:paraId="40F31E7C" w14:textId="77777777" w:rsidTr="00AD1066">
        <w:trPr>
          <w:trHeight w:val="255"/>
        </w:trPr>
        <w:tc>
          <w:tcPr>
            <w:tcW w:w="5000" w:type="pct"/>
            <w:gridSpan w:val="3"/>
            <w:noWrap/>
            <w:hideMark/>
          </w:tcPr>
          <w:p w14:paraId="1DDCF6C1" w14:textId="77777777" w:rsidR="0058789F" w:rsidRPr="00E17DC7" w:rsidRDefault="0058789F" w:rsidP="00AD1066">
            <w:pPr>
              <w:pStyle w:val="TableHeading1"/>
            </w:pPr>
            <w:r w:rsidRPr="00E17DC7">
              <w:t>Current borrowings </w:t>
            </w:r>
          </w:p>
        </w:tc>
      </w:tr>
      <w:tr w:rsidR="0058789F" w:rsidRPr="00E17DC7" w14:paraId="6EEE6B09" w14:textId="77777777" w:rsidTr="00AD1066">
        <w:trPr>
          <w:trHeight w:val="255"/>
        </w:trPr>
        <w:tc>
          <w:tcPr>
            <w:tcW w:w="2289" w:type="pct"/>
            <w:tcBorders>
              <w:bottom w:val="dotted" w:sz="4" w:space="0" w:color="auto"/>
            </w:tcBorders>
            <w:noWrap/>
            <w:hideMark/>
          </w:tcPr>
          <w:p w14:paraId="49E542C1" w14:textId="77777777" w:rsidR="0058789F" w:rsidRPr="00E17DC7" w:rsidRDefault="0058789F" w:rsidP="00AD1066">
            <w:pPr>
              <w:pStyle w:val="TableBodyText"/>
            </w:pPr>
            <w:r w:rsidRPr="00E17DC7">
              <w:t>Lease liabilities</w:t>
            </w:r>
            <w:r w:rsidRPr="00A1575E">
              <w:rPr>
                <w:rStyle w:val="Charactersuperscript"/>
              </w:rPr>
              <w:t>(a)</w:t>
            </w:r>
          </w:p>
        </w:tc>
        <w:tc>
          <w:tcPr>
            <w:tcW w:w="1356" w:type="pct"/>
            <w:tcBorders>
              <w:bottom w:val="dotted" w:sz="4" w:space="0" w:color="auto"/>
            </w:tcBorders>
            <w:shd w:val="clear" w:color="auto" w:fill="F2F2F2" w:themeFill="background1" w:themeFillShade="F2"/>
            <w:noWrap/>
          </w:tcPr>
          <w:p w14:paraId="7B3EB96E" w14:textId="77777777" w:rsidR="0058789F" w:rsidRPr="00E17DC7" w:rsidRDefault="0058789F" w:rsidP="00AD1066">
            <w:pPr>
              <w:pStyle w:val="TableBodyTextrightalign"/>
            </w:pPr>
            <w:r>
              <w:t>2,798</w:t>
            </w:r>
          </w:p>
        </w:tc>
        <w:tc>
          <w:tcPr>
            <w:tcW w:w="1355" w:type="pct"/>
            <w:tcBorders>
              <w:bottom w:val="dotted" w:sz="4" w:space="0" w:color="auto"/>
            </w:tcBorders>
            <w:noWrap/>
            <w:hideMark/>
          </w:tcPr>
          <w:p w14:paraId="305CB091" w14:textId="77777777" w:rsidR="0058789F" w:rsidRPr="00E17DC7" w:rsidRDefault="0058789F" w:rsidP="00AD1066">
            <w:pPr>
              <w:pStyle w:val="TableBodyTextrightalign"/>
            </w:pPr>
            <w:r>
              <w:t>3,328</w:t>
            </w:r>
          </w:p>
        </w:tc>
      </w:tr>
      <w:tr w:rsidR="0058789F" w:rsidRPr="00E17DC7" w14:paraId="69CE64C9" w14:textId="77777777" w:rsidTr="00AD1066">
        <w:trPr>
          <w:trHeight w:val="255"/>
        </w:trPr>
        <w:tc>
          <w:tcPr>
            <w:tcW w:w="2289" w:type="pct"/>
            <w:tcBorders>
              <w:top w:val="dotted" w:sz="4" w:space="0" w:color="auto"/>
              <w:bottom w:val="single" w:sz="4" w:space="0" w:color="auto"/>
            </w:tcBorders>
            <w:noWrap/>
            <w:hideMark/>
          </w:tcPr>
          <w:p w14:paraId="4B8D3998" w14:textId="77777777" w:rsidR="0058789F" w:rsidRPr="00EA4D8B" w:rsidRDefault="0058789F" w:rsidP="00AD1066">
            <w:pPr>
              <w:pStyle w:val="TableBodyText"/>
              <w:rPr>
                <w:rStyle w:val="Characterbold"/>
              </w:rPr>
            </w:pPr>
            <w:r w:rsidRPr="00EA4D8B">
              <w:rPr>
                <w:rStyle w:val="Characterbold"/>
              </w:rPr>
              <w:t>Total current borrowings</w:t>
            </w:r>
          </w:p>
        </w:tc>
        <w:tc>
          <w:tcPr>
            <w:tcW w:w="1356" w:type="pct"/>
            <w:tcBorders>
              <w:top w:val="dotted" w:sz="4" w:space="0" w:color="auto"/>
              <w:bottom w:val="single" w:sz="4" w:space="0" w:color="auto"/>
            </w:tcBorders>
            <w:shd w:val="clear" w:color="auto" w:fill="F2F2F2" w:themeFill="background1" w:themeFillShade="F2"/>
            <w:noWrap/>
          </w:tcPr>
          <w:p w14:paraId="03E769D8" w14:textId="77777777" w:rsidR="0058789F" w:rsidRPr="007E78B5" w:rsidRDefault="0058789F" w:rsidP="007E78B5">
            <w:pPr>
              <w:pStyle w:val="TableBodyTextrightalign"/>
              <w:rPr>
                <w:rStyle w:val="Characterbold"/>
              </w:rPr>
            </w:pPr>
            <w:r w:rsidRPr="007E78B5">
              <w:rPr>
                <w:rStyle w:val="Characterbold"/>
              </w:rPr>
              <w:t>2,798</w:t>
            </w:r>
          </w:p>
        </w:tc>
        <w:tc>
          <w:tcPr>
            <w:tcW w:w="1355" w:type="pct"/>
            <w:tcBorders>
              <w:top w:val="dotted" w:sz="4" w:space="0" w:color="auto"/>
              <w:bottom w:val="single" w:sz="4" w:space="0" w:color="auto"/>
            </w:tcBorders>
            <w:noWrap/>
            <w:hideMark/>
          </w:tcPr>
          <w:p w14:paraId="5FD42CFA" w14:textId="77777777" w:rsidR="0058789F" w:rsidRPr="00EA4D8B" w:rsidRDefault="0058789F" w:rsidP="00AD1066">
            <w:pPr>
              <w:pStyle w:val="TableBodyTextrightalign"/>
              <w:rPr>
                <w:rStyle w:val="Characterbold"/>
              </w:rPr>
            </w:pPr>
            <w:r>
              <w:rPr>
                <w:rStyle w:val="Characterbold"/>
              </w:rPr>
              <w:t>3,328</w:t>
            </w:r>
          </w:p>
        </w:tc>
      </w:tr>
      <w:tr w:rsidR="0058789F" w:rsidRPr="00E17DC7" w14:paraId="6B0FB35B" w14:textId="77777777" w:rsidTr="00AD1066">
        <w:trPr>
          <w:trHeight w:val="255"/>
        </w:trPr>
        <w:tc>
          <w:tcPr>
            <w:tcW w:w="5000" w:type="pct"/>
            <w:gridSpan w:val="3"/>
            <w:tcBorders>
              <w:top w:val="single" w:sz="4" w:space="0" w:color="auto"/>
              <w:bottom w:val="dotted" w:sz="4" w:space="0" w:color="auto"/>
            </w:tcBorders>
            <w:noWrap/>
          </w:tcPr>
          <w:p w14:paraId="2DFD576D" w14:textId="77777777" w:rsidR="0058789F" w:rsidRPr="00E17DC7" w:rsidRDefault="0058789F" w:rsidP="00AD1066">
            <w:pPr>
              <w:pStyle w:val="TableBodyTextsmall"/>
            </w:pPr>
            <w:r>
              <w:t xml:space="preserve"> </w:t>
            </w:r>
          </w:p>
        </w:tc>
      </w:tr>
      <w:tr w:rsidR="0058789F" w:rsidRPr="00E17DC7" w14:paraId="1A87C8A4" w14:textId="77777777" w:rsidTr="00AD1066">
        <w:trPr>
          <w:trHeight w:val="255"/>
        </w:trPr>
        <w:tc>
          <w:tcPr>
            <w:tcW w:w="5000" w:type="pct"/>
            <w:gridSpan w:val="3"/>
            <w:tcBorders>
              <w:top w:val="dotted" w:sz="4" w:space="0" w:color="auto"/>
            </w:tcBorders>
            <w:noWrap/>
            <w:hideMark/>
          </w:tcPr>
          <w:p w14:paraId="5460A431" w14:textId="77777777" w:rsidR="0058789F" w:rsidRPr="00E17DC7" w:rsidRDefault="0058789F" w:rsidP="00AD1066">
            <w:pPr>
              <w:pStyle w:val="TableHeading1"/>
            </w:pPr>
            <w:r w:rsidRPr="00E17DC7">
              <w:t>Non-current borrowings</w:t>
            </w:r>
          </w:p>
        </w:tc>
      </w:tr>
      <w:tr w:rsidR="0058789F" w:rsidRPr="00E17DC7" w14:paraId="59534C59" w14:textId="77777777" w:rsidTr="00AD1066">
        <w:trPr>
          <w:trHeight w:val="255"/>
        </w:trPr>
        <w:tc>
          <w:tcPr>
            <w:tcW w:w="2289" w:type="pct"/>
            <w:tcBorders>
              <w:bottom w:val="dotted" w:sz="4" w:space="0" w:color="auto"/>
            </w:tcBorders>
            <w:noWrap/>
            <w:hideMark/>
          </w:tcPr>
          <w:p w14:paraId="6628F113" w14:textId="77777777" w:rsidR="0058789F" w:rsidRPr="00E17DC7" w:rsidRDefault="0058789F" w:rsidP="00AD1066">
            <w:pPr>
              <w:pStyle w:val="TableBodyText"/>
            </w:pPr>
            <w:r w:rsidRPr="00E17DC7">
              <w:t>Lease liabilities</w:t>
            </w:r>
            <w:r w:rsidRPr="00A1575E">
              <w:rPr>
                <w:rStyle w:val="Charactersuperscript"/>
              </w:rPr>
              <w:t>(a)</w:t>
            </w:r>
          </w:p>
        </w:tc>
        <w:tc>
          <w:tcPr>
            <w:tcW w:w="1356" w:type="pct"/>
            <w:tcBorders>
              <w:bottom w:val="dotted" w:sz="4" w:space="0" w:color="auto"/>
            </w:tcBorders>
            <w:shd w:val="clear" w:color="auto" w:fill="F2F2F2" w:themeFill="background1" w:themeFillShade="F2"/>
            <w:noWrap/>
          </w:tcPr>
          <w:p w14:paraId="4BB55A44" w14:textId="77777777" w:rsidR="0058789F" w:rsidRPr="00E17DC7" w:rsidRDefault="0058789F" w:rsidP="00AD1066">
            <w:pPr>
              <w:pStyle w:val="TableBodyTextrightalign"/>
            </w:pPr>
            <w:r>
              <w:t>6,371</w:t>
            </w:r>
          </w:p>
        </w:tc>
        <w:tc>
          <w:tcPr>
            <w:tcW w:w="1355" w:type="pct"/>
            <w:tcBorders>
              <w:bottom w:val="dotted" w:sz="4" w:space="0" w:color="auto"/>
            </w:tcBorders>
            <w:noWrap/>
            <w:hideMark/>
          </w:tcPr>
          <w:p w14:paraId="0754BFEB" w14:textId="77777777" w:rsidR="0058789F" w:rsidRPr="00E17DC7" w:rsidRDefault="0058789F" w:rsidP="00AD1066">
            <w:pPr>
              <w:pStyle w:val="TableBodyTextrightalign"/>
            </w:pPr>
            <w:r>
              <w:t>8,907</w:t>
            </w:r>
          </w:p>
        </w:tc>
      </w:tr>
      <w:tr w:rsidR="0058789F" w:rsidRPr="00EA4D8B" w14:paraId="0CBB385A" w14:textId="77777777" w:rsidTr="00AD1066">
        <w:trPr>
          <w:trHeight w:val="255"/>
        </w:trPr>
        <w:tc>
          <w:tcPr>
            <w:tcW w:w="2289" w:type="pct"/>
            <w:tcBorders>
              <w:top w:val="dotted" w:sz="4" w:space="0" w:color="auto"/>
              <w:bottom w:val="single" w:sz="4" w:space="0" w:color="auto"/>
            </w:tcBorders>
            <w:noWrap/>
            <w:hideMark/>
          </w:tcPr>
          <w:p w14:paraId="6BA4D217" w14:textId="77777777" w:rsidR="0058789F" w:rsidRPr="00EA4D8B" w:rsidRDefault="0058789F" w:rsidP="00AD1066">
            <w:pPr>
              <w:pStyle w:val="TableBodyText"/>
              <w:rPr>
                <w:rStyle w:val="Characterbold"/>
              </w:rPr>
            </w:pPr>
            <w:r w:rsidRPr="00EA4D8B">
              <w:rPr>
                <w:rStyle w:val="Characterbold"/>
              </w:rPr>
              <w:t>Total non-current borrowings</w:t>
            </w:r>
          </w:p>
        </w:tc>
        <w:tc>
          <w:tcPr>
            <w:tcW w:w="1356" w:type="pct"/>
            <w:tcBorders>
              <w:top w:val="dotted" w:sz="4" w:space="0" w:color="auto"/>
              <w:bottom w:val="single" w:sz="4" w:space="0" w:color="auto"/>
            </w:tcBorders>
            <w:shd w:val="clear" w:color="auto" w:fill="F2F2F2" w:themeFill="background1" w:themeFillShade="F2"/>
            <w:noWrap/>
          </w:tcPr>
          <w:p w14:paraId="2D1C9B71" w14:textId="77777777" w:rsidR="0058789F" w:rsidRPr="007E78B5" w:rsidRDefault="0058789F" w:rsidP="007E78B5">
            <w:pPr>
              <w:pStyle w:val="TableBodyTextrightalign"/>
              <w:rPr>
                <w:rStyle w:val="Characterbold"/>
              </w:rPr>
            </w:pPr>
            <w:r w:rsidRPr="007E78B5">
              <w:rPr>
                <w:rStyle w:val="Characterbold"/>
              </w:rPr>
              <w:t>6,371</w:t>
            </w:r>
          </w:p>
        </w:tc>
        <w:tc>
          <w:tcPr>
            <w:tcW w:w="1355" w:type="pct"/>
            <w:tcBorders>
              <w:top w:val="dotted" w:sz="4" w:space="0" w:color="auto"/>
              <w:bottom w:val="single" w:sz="4" w:space="0" w:color="auto"/>
            </w:tcBorders>
            <w:noWrap/>
            <w:hideMark/>
          </w:tcPr>
          <w:p w14:paraId="3D8404DC" w14:textId="77777777" w:rsidR="0058789F" w:rsidRPr="00EA4D8B" w:rsidRDefault="0058789F" w:rsidP="00AD1066">
            <w:pPr>
              <w:pStyle w:val="TableBodyTextrightalign"/>
              <w:rPr>
                <w:rStyle w:val="Characterbold"/>
              </w:rPr>
            </w:pPr>
            <w:r>
              <w:rPr>
                <w:rStyle w:val="Characterbold"/>
              </w:rPr>
              <w:t>8,907</w:t>
            </w:r>
          </w:p>
        </w:tc>
      </w:tr>
      <w:tr w:rsidR="0058789F" w:rsidRPr="00E17DC7" w14:paraId="57A03F8D" w14:textId="77777777" w:rsidTr="00AD1066">
        <w:trPr>
          <w:trHeight w:val="270"/>
        </w:trPr>
        <w:tc>
          <w:tcPr>
            <w:tcW w:w="5000" w:type="pct"/>
            <w:gridSpan w:val="3"/>
            <w:tcBorders>
              <w:top w:val="single" w:sz="4" w:space="0" w:color="auto"/>
              <w:bottom w:val="dotted" w:sz="4" w:space="0" w:color="auto"/>
            </w:tcBorders>
            <w:noWrap/>
          </w:tcPr>
          <w:p w14:paraId="056D92AA" w14:textId="77777777" w:rsidR="0058789F" w:rsidRDefault="0058789F" w:rsidP="00AD1066">
            <w:pPr>
              <w:pStyle w:val="TableBodyTextsmall"/>
            </w:pPr>
            <w:r>
              <w:t xml:space="preserve"> </w:t>
            </w:r>
          </w:p>
        </w:tc>
      </w:tr>
      <w:tr w:rsidR="0058789F" w:rsidRPr="00E17DC7" w14:paraId="2597ECA5"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2289" w:type="pct"/>
            <w:tcBorders>
              <w:top w:val="dotted" w:sz="4" w:space="0" w:color="auto"/>
            </w:tcBorders>
            <w:noWrap/>
            <w:hideMark/>
          </w:tcPr>
          <w:p w14:paraId="39B2DC1D" w14:textId="77777777" w:rsidR="0058789F" w:rsidRPr="00E17DC7" w:rsidRDefault="0058789F" w:rsidP="00AD1066">
            <w:pPr>
              <w:pStyle w:val="TableBodyText"/>
            </w:pPr>
            <w:r w:rsidRPr="00E17DC7">
              <w:t>Total borrowings</w:t>
            </w:r>
          </w:p>
        </w:tc>
        <w:tc>
          <w:tcPr>
            <w:tcW w:w="1356" w:type="pct"/>
            <w:tcBorders>
              <w:top w:val="dotted" w:sz="4" w:space="0" w:color="auto"/>
            </w:tcBorders>
            <w:shd w:val="clear" w:color="auto" w:fill="F2F2F2" w:themeFill="background1" w:themeFillShade="F2"/>
            <w:noWrap/>
          </w:tcPr>
          <w:p w14:paraId="1DB320D9" w14:textId="77777777" w:rsidR="0058789F" w:rsidRPr="00E17DC7" w:rsidRDefault="0058789F" w:rsidP="00AD1066">
            <w:pPr>
              <w:pStyle w:val="TableBodyTextrightalign"/>
            </w:pPr>
            <w:r>
              <w:t>9,169</w:t>
            </w:r>
          </w:p>
        </w:tc>
        <w:tc>
          <w:tcPr>
            <w:tcW w:w="1355" w:type="pct"/>
            <w:tcBorders>
              <w:top w:val="dotted" w:sz="4" w:space="0" w:color="auto"/>
            </w:tcBorders>
            <w:noWrap/>
            <w:hideMark/>
          </w:tcPr>
          <w:p w14:paraId="7BFFF647" w14:textId="77777777" w:rsidR="0058789F" w:rsidRPr="00E17DC7" w:rsidRDefault="0058789F" w:rsidP="00AD1066">
            <w:pPr>
              <w:pStyle w:val="TableBodyTextrightalign"/>
            </w:pPr>
            <w:r>
              <w:t>12,235</w:t>
            </w:r>
          </w:p>
        </w:tc>
      </w:tr>
    </w:tbl>
    <w:p w14:paraId="505E2A51" w14:textId="71E30C97" w:rsidR="0058789F" w:rsidRPr="00F01CC0" w:rsidRDefault="00465B9C" w:rsidP="0058789F">
      <w:pPr>
        <w:pStyle w:val="TableNote"/>
      </w:pPr>
      <w:r>
        <w:t>Notes</w:t>
      </w:r>
    </w:p>
    <w:p w14:paraId="478A3DFE" w14:textId="77777777" w:rsidR="0058789F" w:rsidRDefault="0058789F" w:rsidP="0058789F">
      <w:pPr>
        <w:pStyle w:val="TableNote"/>
      </w:pPr>
      <w:r w:rsidRPr="00F01CC0">
        <w:rPr>
          <w:rStyle w:val="Charactersuperscript"/>
        </w:rPr>
        <w:t>(a)</w:t>
      </w:r>
      <w:r w:rsidRPr="00F01CC0">
        <w:t xml:space="preserve"> Secured by assets leased. Lease liabilities are effectively secured, as the rights to the leased assets revert to the lessor in the event of default.</w:t>
      </w:r>
    </w:p>
    <w:p w14:paraId="1D790793" w14:textId="77777777" w:rsidR="0058789F" w:rsidRPr="00F01CC0" w:rsidRDefault="0058789F" w:rsidP="0058789F">
      <w:pPr>
        <w:pStyle w:val="TableNote"/>
      </w:pPr>
    </w:p>
    <w:p w14:paraId="47246520" w14:textId="77777777" w:rsidR="0058789F" w:rsidRDefault="0058789F" w:rsidP="00ED79A2">
      <w:pPr>
        <w:pStyle w:val="BodyText"/>
      </w:pPr>
      <w:r w:rsidRPr="007971CF">
        <w:t>IBAC’s borrowings consist of leases. Borrowings are classified as financial instruments and interest</w:t>
      </w:r>
      <w:r>
        <w:t>-</w:t>
      </w:r>
      <w:r w:rsidRPr="007971CF">
        <w:t xml:space="preserve">bearing liabilities are </w:t>
      </w:r>
      <w:r>
        <w:t>measured</w:t>
      </w:r>
      <w:r w:rsidRPr="007971CF">
        <w:t xml:space="preserve"> at amortised cost.</w:t>
      </w:r>
    </w:p>
    <w:p w14:paraId="5A48447B" w14:textId="77777777" w:rsidR="0058789F" w:rsidRPr="00C173EF" w:rsidRDefault="0058789F" w:rsidP="006F399C">
      <w:pPr>
        <w:pStyle w:val="NotesHeading3"/>
      </w:pPr>
      <w:r w:rsidRPr="007211D6">
        <w:t xml:space="preserve"> </w:t>
      </w:r>
      <w:r w:rsidRPr="00C173EF">
        <w:t>Maturity analysis of borrowings</w:t>
      </w:r>
    </w:p>
    <w:tbl>
      <w:tblPr>
        <w:tblStyle w:val="CustomTabledetailed"/>
        <w:tblW w:w="5000" w:type="pct"/>
        <w:tblLook w:val="0660" w:firstRow="1" w:lastRow="1" w:firstColumn="0" w:lastColumn="0" w:noHBand="1" w:noVBand="1"/>
      </w:tblPr>
      <w:tblGrid>
        <w:gridCol w:w="1742"/>
        <w:gridCol w:w="1264"/>
        <w:gridCol w:w="1275"/>
        <w:gridCol w:w="1163"/>
        <w:gridCol w:w="1210"/>
        <w:gridCol w:w="1210"/>
        <w:gridCol w:w="1163"/>
      </w:tblGrid>
      <w:tr w:rsidR="0058789F" w:rsidRPr="00737568" w14:paraId="0061A05E" w14:textId="77777777" w:rsidTr="00AD1066">
        <w:trPr>
          <w:cnfStyle w:val="100000000000" w:firstRow="1" w:lastRow="0" w:firstColumn="0" w:lastColumn="0" w:oddVBand="0" w:evenVBand="0" w:oddHBand="0" w:evenHBand="0" w:firstRowFirstColumn="0" w:firstRowLastColumn="0" w:lastRowFirstColumn="0" w:lastRowLastColumn="0"/>
          <w:trHeight w:val="300"/>
        </w:trPr>
        <w:tc>
          <w:tcPr>
            <w:tcW w:w="0" w:type="pct"/>
            <w:noWrap/>
            <w:hideMark/>
          </w:tcPr>
          <w:p w14:paraId="217803F1" w14:textId="77777777" w:rsidR="0058789F" w:rsidRPr="00737568" w:rsidRDefault="0058789F" w:rsidP="00AD1066">
            <w:pPr>
              <w:pStyle w:val="TableBodyText"/>
            </w:pPr>
            <w:r w:rsidRPr="00737568">
              <w:t> </w:t>
            </w:r>
          </w:p>
        </w:tc>
        <w:tc>
          <w:tcPr>
            <w:tcW w:w="0" w:type="pct"/>
            <w:vMerge w:val="restart"/>
            <w:vAlign w:val="top"/>
            <w:hideMark/>
          </w:tcPr>
          <w:p w14:paraId="143C058D" w14:textId="77777777" w:rsidR="0058789F" w:rsidRDefault="0058789F" w:rsidP="00AD1066">
            <w:pPr>
              <w:pStyle w:val="TableHeading1"/>
            </w:pPr>
            <w:r w:rsidRPr="00737568">
              <w:t>Carrying amount</w:t>
            </w:r>
          </w:p>
          <w:p w14:paraId="5DADB342" w14:textId="77777777" w:rsidR="0058789F" w:rsidRPr="00737568" w:rsidRDefault="0058789F" w:rsidP="00AD1066">
            <w:pPr>
              <w:pStyle w:val="TableHeading1"/>
            </w:pPr>
            <w:r>
              <w:t>($‘000)</w:t>
            </w:r>
          </w:p>
        </w:tc>
        <w:tc>
          <w:tcPr>
            <w:tcW w:w="0" w:type="pct"/>
            <w:vMerge w:val="restart"/>
            <w:vAlign w:val="top"/>
            <w:hideMark/>
          </w:tcPr>
          <w:p w14:paraId="6BC2DE4A" w14:textId="77777777" w:rsidR="0058789F" w:rsidRDefault="0058789F" w:rsidP="00AD1066">
            <w:pPr>
              <w:pStyle w:val="TableHeading1"/>
            </w:pPr>
            <w:r w:rsidRPr="00737568">
              <w:t>Nominal amount</w:t>
            </w:r>
          </w:p>
          <w:p w14:paraId="2DD6ABA1" w14:textId="77777777" w:rsidR="0058789F" w:rsidRPr="00737568" w:rsidRDefault="0058789F" w:rsidP="00AD1066">
            <w:pPr>
              <w:pStyle w:val="TableHeading1"/>
            </w:pPr>
            <w:r>
              <w:t>($’000)</w:t>
            </w:r>
          </w:p>
        </w:tc>
        <w:tc>
          <w:tcPr>
            <w:tcW w:w="0" w:type="pct"/>
            <w:gridSpan w:val="4"/>
            <w:hideMark/>
          </w:tcPr>
          <w:p w14:paraId="1F8304F3" w14:textId="77777777" w:rsidR="0058789F" w:rsidRPr="002E1E02" w:rsidRDefault="0058789F" w:rsidP="00AD1066">
            <w:pPr>
              <w:pStyle w:val="TableHeading1"/>
            </w:pPr>
            <w:r w:rsidRPr="002E1E02">
              <w:t>Maturity dates</w:t>
            </w:r>
          </w:p>
        </w:tc>
      </w:tr>
      <w:tr w:rsidR="0058789F" w:rsidRPr="00737568" w14:paraId="354CCE7C" w14:textId="77777777" w:rsidTr="00AD1066">
        <w:trPr>
          <w:trHeight w:val="510"/>
        </w:trPr>
        <w:tc>
          <w:tcPr>
            <w:tcW w:w="0" w:type="pct"/>
            <w:shd w:val="clear" w:color="auto" w:fill="E5DFEC" w:themeFill="accent4" w:themeFillTint="33"/>
            <w:noWrap/>
            <w:hideMark/>
          </w:tcPr>
          <w:p w14:paraId="3C51F191" w14:textId="77777777" w:rsidR="0058789F" w:rsidRPr="00737568" w:rsidRDefault="0058789F" w:rsidP="00AD1066">
            <w:pPr>
              <w:pStyle w:val="TableBodyText"/>
            </w:pPr>
            <w:r w:rsidRPr="00737568">
              <w:t> </w:t>
            </w:r>
          </w:p>
        </w:tc>
        <w:tc>
          <w:tcPr>
            <w:tcW w:w="676" w:type="pct"/>
            <w:vMerge/>
            <w:hideMark/>
          </w:tcPr>
          <w:p w14:paraId="2EAD2317" w14:textId="77777777" w:rsidR="0058789F" w:rsidRPr="00737568" w:rsidRDefault="0058789F" w:rsidP="00AD1066">
            <w:pPr>
              <w:pStyle w:val="TableHeading1"/>
            </w:pPr>
          </w:p>
        </w:tc>
        <w:tc>
          <w:tcPr>
            <w:tcW w:w="676" w:type="pct"/>
            <w:vMerge/>
            <w:hideMark/>
          </w:tcPr>
          <w:p w14:paraId="4328024C" w14:textId="77777777" w:rsidR="0058789F" w:rsidRPr="00737568" w:rsidRDefault="0058789F" w:rsidP="00AD1066">
            <w:pPr>
              <w:pStyle w:val="TableHeading1"/>
              <w:jc w:val="right"/>
            </w:pPr>
          </w:p>
        </w:tc>
        <w:tc>
          <w:tcPr>
            <w:tcW w:w="0" w:type="pct"/>
            <w:shd w:val="clear" w:color="auto" w:fill="E5DFEC" w:themeFill="accent4" w:themeFillTint="33"/>
            <w:vAlign w:val="bottom"/>
            <w:hideMark/>
          </w:tcPr>
          <w:p w14:paraId="70ECE863" w14:textId="77777777" w:rsidR="0058789F" w:rsidRDefault="0058789F" w:rsidP="00AD1066">
            <w:pPr>
              <w:pStyle w:val="TableHeading3rightalign"/>
            </w:pPr>
            <w:r w:rsidRPr="00737568">
              <w:t>Less than 1 month</w:t>
            </w:r>
          </w:p>
          <w:p w14:paraId="4B9C0271" w14:textId="77777777" w:rsidR="0058789F" w:rsidRPr="00737568" w:rsidRDefault="0058789F" w:rsidP="00AD1066">
            <w:pPr>
              <w:pStyle w:val="TableHeading3rightalign"/>
            </w:pPr>
            <w:r>
              <w:t>($’000)</w:t>
            </w:r>
          </w:p>
        </w:tc>
        <w:tc>
          <w:tcPr>
            <w:tcW w:w="0" w:type="pct"/>
            <w:shd w:val="clear" w:color="auto" w:fill="E5DFEC" w:themeFill="accent4" w:themeFillTint="33"/>
            <w:vAlign w:val="bottom"/>
            <w:hideMark/>
          </w:tcPr>
          <w:p w14:paraId="3B169938" w14:textId="77777777" w:rsidR="0058789F" w:rsidRDefault="0058789F" w:rsidP="00AD1066">
            <w:pPr>
              <w:pStyle w:val="TableHeading3rightalign"/>
            </w:pPr>
            <w:r w:rsidRPr="00737568">
              <w:t>1–3 months</w:t>
            </w:r>
          </w:p>
          <w:p w14:paraId="6D00CFF5" w14:textId="77777777" w:rsidR="0058789F" w:rsidRPr="00737568" w:rsidRDefault="0058789F" w:rsidP="00AD1066">
            <w:pPr>
              <w:pStyle w:val="TableHeading3rightalign"/>
            </w:pPr>
            <w:r>
              <w:t>($’000)</w:t>
            </w:r>
          </w:p>
        </w:tc>
        <w:tc>
          <w:tcPr>
            <w:tcW w:w="0" w:type="pct"/>
            <w:shd w:val="clear" w:color="auto" w:fill="E5DFEC" w:themeFill="accent4" w:themeFillTint="33"/>
            <w:vAlign w:val="bottom"/>
            <w:hideMark/>
          </w:tcPr>
          <w:p w14:paraId="5336E94E" w14:textId="77777777" w:rsidR="0058789F" w:rsidRDefault="0058789F" w:rsidP="00AD1066">
            <w:pPr>
              <w:pStyle w:val="TableHeading3rightalign"/>
            </w:pPr>
            <w:r w:rsidRPr="00737568">
              <w:t xml:space="preserve">3 months </w:t>
            </w:r>
            <w:r>
              <w:t>to</w:t>
            </w:r>
            <w:r w:rsidRPr="00737568">
              <w:t xml:space="preserve"> 1 year</w:t>
            </w:r>
          </w:p>
          <w:p w14:paraId="7CA1468D" w14:textId="77777777" w:rsidR="0058789F" w:rsidRPr="00737568" w:rsidRDefault="0058789F" w:rsidP="00AD1066">
            <w:pPr>
              <w:pStyle w:val="TableHeading3rightalign"/>
            </w:pPr>
            <w:r>
              <w:t>($’000)</w:t>
            </w:r>
          </w:p>
        </w:tc>
        <w:tc>
          <w:tcPr>
            <w:tcW w:w="0" w:type="pct"/>
            <w:shd w:val="clear" w:color="auto" w:fill="E5DFEC" w:themeFill="accent4" w:themeFillTint="33"/>
            <w:vAlign w:val="bottom"/>
            <w:hideMark/>
          </w:tcPr>
          <w:p w14:paraId="521C7AAB" w14:textId="77777777" w:rsidR="0058789F" w:rsidRDefault="0058789F" w:rsidP="00AD1066">
            <w:pPr>
              <w:pStyle w:val="TableHeading3rightalign"/>
            </w:pPr>
            <w:r w:rsidRPr="00737568">
              <w:t>1–5 years</w:t>
            </w:r>
          </w:p>
          <w:p w14:paraId="299ADE3F" w14:textId="77777777" w:rsidR="0058789F" w:rsidRPr="00737568" w:rsidRDefault="0058789F" w:rsidP="00AD1066">
            <w:pPr>
              <w:pStyle w:val="TableHeading3rightalign"/>
            </w:pPr>
            <w:r>
              <w:t>($’000)</w:t>
            </w:r>
          </w:p>
        </w:tc>
      </w:tr>
      <w:tr w:rsidR="0058789F" w:rsidRPr="00737568" w14:paraId="5E09D8E1" w14:textId="77777777" w:rsidTr="00AD1066">
        <w:trPr>
          <w:trHeight w:val="255"/>
        </w:trPr>
        <w:tc>
          <w:tcPr>
            <w:tcW w:w="0" w:type="pct"/>
            <w:gridSpan w:val="7"/>
            <w:noWrap/>
            <w:hideMark/>
          </w:tcPr>
          <w:p w14:paraId="5E9A3C58" w14:textId="77777777" w:rsidR="0058789F" w:rsidRPr="00737568" w:rsidRDefault="0058789F" w:rsidP="00AD1066">
            <w:pPr>
              <w:pStyle w:val="TableBodyTextsmall"/>
            </w:pPr>
          </w:p>
        </w:tc>
      </w:tr>
      <w:tr w:rsidR="0058789F" w:rsidRPr="00737568" w14:paraId="503DF8F5" w14:textId="77777777" w:rsidTr="00AD1066">
        <w:trPr>
          <w:trHeight w:val="255"/>
        </w:trPr>
        <w:tc>
          <w:tcPr>
            <w:tcW w:w="0" w:type="pct"/>
            <w:gridSpan w:val="7"/>
            <w:noWrap/>
            <w:hideMark/>
          </w:tcPr>
          <w:p w14:paraId="3AD21292" w14:textId="77777777" w:rsidR="0058789F" w:rsidRPr="00737568" w:rsidRDefault="0058789F" w:rsidP="00AD1066">
            <w:pPr>
              <w:pStyle w:val="TableHeading1"/>
            </w:pPr>
            <w:r w:rsidRPr="00737568">
              <w:t>202</w:t>
            </w:r>
            <w:r>
              <w:t>3</w:t>
            </w:r>
          </w:p>
          <w:p w14:paraId="281F34EC" w14:textId="77777777" w:rsidR="0058789F" w:rsidRPr="00737568" w:rsidRDefault="0058789F" w:rsidP="00AD1066">
            <w:pPr>
              <w:pStyle w:val="TableBodyText"/>
            </w:pPr>
          </w:p>
        </w:tc>
      </w:tr>
      <w:tr w:rsidR="0058789F" w:rsidRPr="00737568" w14:paraId="0038B030" w14:textId="77777777" w:rsidTr="00AD1066">
        <w:trPr>
          <w:trHeight w:val="255"/>
        </w:trPr>
        <w:tc>
          <w:tcPr>
            <w:tcW w:w="0" w:type="pct"/>
            <w:tcBorders>
              <w:bottom w:val="dotted" w:sz="4" w:space="0" w:color="auto"/>
            </w:tcBorders>
            <w:noWrap/>
            <w:hideMark/>
          </w:tcPr>
          <w:p w14:paraId="7484A3D2" w14:textId="77777777" w:rsidR="0058789F" w:rsidRPr="00737568" w:rsidRDefault="0058789F" w:rsidP="00AD1066">
            <w:pPr>
              <w:pStyle w:val="TableBodyText"/>
            </w:pPr>
            <w:r w:rsidRPr="00737568">
              <w:t>Lease liabilities</w:t>
            </w:r>
          </w:p>
        </w:tc>
        <w:tc>
          <w:tcPr>
            <w:tcW w:w="0" w:type="pct"/>
            <w:tcBorders>
              <w:bottom w:val="dotted" w:sz="4" w:space="0" w:color="auto"/>
            </w:tcBorders>
            <w:shd w:val="clear" w:color="auto" w:fill="F2F2F2" w:themeFill="background1" w:themeFillShade="F2"/>
            <w:noWrap/>
          </w:tcPr>
          <w:p w14:paraId="1F8DA0CF" w14:textId="77777777" w:rsidR="0058789F" w:rsidRPr="00737568" w:rsidRDefault="0058789F" w:rsidP="00ED79A2">
            <w:pPr>
              <w:pStyle w:val="TableBodyTextrightalign"/>
            </w:pPr>
            <w:r>
              <w:t>9,169</w:t>
            </w:r>
          </w:p>
        </w:tc>
        <w:tc>
          <w:tcPr>
            <w:tcW w:w="0" w:type="pct"/>
            <w:tcBorders>
              <w:bottom w:val="dotted" w:sz="4" w:space="0" w:color="auto"/>
            </w:tcBorders>
            <w:shd w:val="clear" w:color="auto" w:fill="F2F2F2" w:themeFill="background1" w:themeFillShade="F2"/>
            <w:noWrap/>
          </w:tcPr>
          <w:p w14:paraId="175EDFDF" w14:textId="77777777" w:rsidR="0058789F" w:rsidRPr="00737568" w:rsidRDefault="0058789F" w:rsidP="00ED79A2">
            <w:pPr>
              <w:pStyle w:val="TableBodyTextrightalign"/>
            </w:pPr>
            <w:r>
              <w:t>9,631</w:t>
            </w:r>
          </w:p>
        </w:tc>
        <w:tc>
          <w:tcPr>
            <w:tcW w:w="0" w:type="pct"/>
            <w:tcBorders>
              <w:bottom w:val="dotted" w:sz="4" w:space="0" w:color="auto"/>
            </w:tcBorders>
            <w:noWrap/>
          </w:tcPr>
          <w:p w14:paraId="2DBF2A1B" w14:textId="77777777" w:rsidR="0058789F" w:rsidRPr="00737568" w:rsidRDefault="0058789F" w:rsidP="00ED79A2">
            <w:pPr>
              <w:pStyle w:val="TableBodyTextrightalign"/>
            </w:pPr>
            <w:r>
              <w:t>566</w:t>
            </w:r>
          </w:p>
        </w:tc>
        <w:tc>
          <w:tcPr>
            <w:tcW w:w="0" w:type="pct"/>
            <w:tcBorders>
              <w:bottom w:val="dotted" w:sz="4" w:space="0" w:color="auto"/>
            </w:tcBorders>
            <w:noWrap/>
          </w:tcPr>
          <w:p w14:paraId="19BF1B36" w14:textId="77777777" w:rsidR="0058789F" w:rsidRPr="00737568" w:rsidRDefault="0058789F" w:rsidP="00ED79A2">
            <w:pPr>
              <w:pStyle w:val="TableBodyTextrightalign"/>
            </w:pPr>
            <w:r>
              <w:t>618</w:t>
            </w:r>
          </w:p>
        </w:tc>
        <w:tc>
          <w:tcPr>
            <w:tcW w:w="0" w:type="pct"/>
            <w:tcBorders>
              <w:bottom w:val="dotted" w:sz="4" w:space="0" w:color="auto"/>
            </w:tcBorders>
            <w:noWrap/>
          </w:tcPr>
          <w:p w14:paraId="5383B272" w14:textId="77777777" w:rsidR="0058789F" w:rsidRPr="00737568" w:rsidRDefault="0058789F" w:rsidP="00ED79A2">
            <w:pPr>
              <w:pStyle w:val="TableBodyTextrightalign"/>
            </w:pPr>
            <w:r>
              <w:t>2,814</w:t>
            </w:r>
          </w:p>
        </w:tc>
        <w:tc>
          <w:tcPr>
            <w:tcW w:w="0" w:type="pct"/>
            <w:tcBorders>
              <w:bottom w:val="dotted" w:sz="4" w:space="0" w:color="auto"/>
            </w:tcBorders>
            <w:noWrap/>
          </w:tcPr>
          <w:p w14:paraId="7E61925B" w14:textId="77777777" w:rsidR="0058789F" w:rsidRPr="00737568" w:rsidRDefault="0058789F" w:rsidP="00ED79A2">
            <w:pPr>
              <w:pStyle w:val="TableBodyTextrightalign"/>
            </w:pPr>
            <w:r>
              <w:t>5,633</w:t>
            </w:r>
          </w:p>
        </w:tc>
      </w:tr>
      <w:tr w:rsidR="0058789F" w:rsidRPr="00737568" w14:paraId="48FEC2F4" w14:textId="77777777" w:rsidTr="00AD1066">
        <w:trPr>
          <w:trHeight w:val="315"/>
        </w:trPr>
        <w:tc>
          <w:tcPr>
            <w:tcW w:w="0" w:type="pct"/>
            <w:tcBorders>
              <w:top w:val="dotted" w:sz="4" w:space="0" w:color="auto"/>
              <w:bottom w:val="single" w:sz="4" w:space="0" w:color="auto"/>
            </w:tcBorders>
            <w:noWrap/>
            <w:hideMark/>
          </w:tcPr>
          <w:p w14:paraId="19CBD01F" w14:textId="77777777" w:rsidR="0058789F" w:rsidRPr="008B60DE" w:rsidRDefault="0058789F" w:rsidP="00AD1066">
            <w:pPr>
              <w:pStyle w:val="TableBodyText"/>
              <w:rPr>
                <w:rStyle w:val="Characterbold"/>
              </w:rPr>
            </w:pPr>
            <w:r w:rsidRPr="008B60DE">
              <w:rPr>
                <w:rStyle w:val="Characterbold"/>
              </w:rPr>
              <w:t>Total</w:t>
            </w:r>
          </w:p>
        </w:tc>
        <w:tc>
          <w:tcPr>
            <w:tcW w:w="0" w:type="pct"/>
            <w:tcBorders>
              <w:top w:val="dotted" w:sz="4" w:space="0" w:color="auto"/>
              <w:bottom w:val="single" w:sz="4" w:space="0" w:color="auto"/>
            </w:tcBorders>
            <w:shd w:val="clear" w:color="auto" w:fill="F2F2F2" w:themeFill="background1" w:themeFillShade="F2"/>
            <w:noWrap/>
          </w:tcPr>
          <w:p w14:paraId="3AFBEEF5" w14:textId="77777777" w:rsidR="0058789F" w:rsidRPr="007E78B5" w:rsidRDefault="0058789F" w:rsidP="007E78B5">
            <w:pPr>
              <w:pStyle w:val="TableBodyTextrightalign"/>
              <w:rPr>
                <w:rStyle w:val="Characterbold"/>
              </w:rPr>
            </w:pPr>
            <w:r w:rsidRPr="007E78B5">
              <w:rPr>
                <w:rStyle w:val="Characterbold"/>
              </w:rPr>
              <w:t>9,169</w:t>
            </w:r>
          </w:p>
        </w:tc>
        <w:tc>
          <w:tcPr>
            <w:tcW w:w="0" w:type="pct"/>
            <w:tcBorders>
              <w:top w:val="dotted" w:sz="4" w:space="0" w:color="auto"/>
              <w:bottom w:val="single" w:sz="4" w:space="0" w:color="auto"/>
            </w:tcBorders>
            <w:shd w:val="clear" w:color="auto" w:fill="F2F2F2" w:themeFill="background1" w:themeFillShade="F2"/>
            <w:noWrap/>
          </w:tcPr>
          <w:p w14:paraId="6E0B0FF7" w14:textId="77777777" w:rsidR="0058789F" w:rsidRPr="007E78B5" w:rsidRDefault="0058789F" w:rsidP="007E78B5">
            <w:pPr>
              <w:pStyle w:val="TableBodyTextrightalign"/>
              <w:rPr>
                <w:rStyle w:val="Characterbold"/>
              </w:rPr>
            </w:pPr>
            <w:r w:rsidRPr="007E78B5">
              <w:rPr>
                <w:rStyle w:val="Characterbold"/>
              </w:rPr>
              <w:t>9,631</w:t>
            </w:r>
          </w:p>
        </w:tc>
        <w:tc>
          <w:tcPr>
            <w:tcW w:w="0" w:type="pct"/>
            <w:tcBorders>
              <w:top w:val="dotted" w:sz="4" w:space="0" w:color="auto"/>
              <w:bottom w:val="single" w:sz="4" w:space="0" w:color="auto"/>
            </w:tcBorders>
            <w:noWrap/>
          </w:tcPr>
          <w:p w14:paraId="3970566A" w14:textId="77777777" w:rsidR="0058789F" w:rsidRPr="007E78B5" w:rsidRDefault="0058789F" w:rsidP="007E78B5">
            <w:pPr>
              <w:pStyle w:val="TableBodyTextrightalign"/>
              <w:rPr>
                <w:rStyle w:val="Characterbold"/>
              </w:rPr>
            </w:pPr>
            <w:r w:rsidRPr="007E78B5">
              <w:rPr>
                <w:rStyle w:val="Characterbold"/>
              </w:rPr>
              <w:t>566</w:t>
            </w:r>
          </w:p>
        </w:tc>
        <w:tc>
          <w:tcPr>
            <w:tcW w:w="0" w:type="pct"/>
            <w:tcBorders>
              <w:top w:val="dotted" w:sz="4" w:space="0" w:color="auto"/>
              <w:bottom w:val="single" w:sz="4" w:space="0" w:color="auto"/>
            </w:tcBorders>
            <w:noWrap/>
          </w:tcPr>
          <w:p w14:paraId="25AFF8B3" w14:textId="77777777" w:rsidR="0058789F" w:rsidRPr="007E78B5" w:rsidRDefault="0058789F" w:rsidP="007E78B5">
            <w:pPr>
              <w:pStyle w:val="TableBodyTextrightalign"/>
              <w:rPr>
                <w:rStyle w:val="Characterbold"/>
              </w:rPr>
            </w:pPr>
            <w:r w:rsidRPr="007E78B5">
              <w:rPr>
                <w:rStyle w:val="Characterbold"/>
              </w:rPr>
              <w:t>618</w:t>
            </w:r>
          </w:p>
        </w:tc>
        <w:tc>
          <w:tcPr>
            <w:tcW w:w="0" w:type="pct"/>
            <w:tcBorders>
              <w:top w:val="dotted" w:sz="4" w:space="0" w:color="auto"/>
              <w:bottom w:val="single" w:sz="4" w:space="0" w:color="auto"/>
            </w:tcBorders>
            <w:noWrap/>
          </w:tcPr>
          <w:p w14:paraId="6AE4BCD9" w14:textId="77777777" w:rsidR="0058789F" w:rsidRPr="007E78B5" w:rsidRDefault="0058789F" w:rsidP="007E78B5">
            <w:pPr>
              <w:pStyle w:val="TableBodyTextrightalign"/>
              <w:rPr>
                <w:rStyle w:val="Characterbold"/>
              </w:rPr>
            </w:pPr>
            <w:r w:rsidRPr="007E78B5">
              <w:rPr>
                <w:rStyle w:val="Characterbold"/>
              </w:rPr>
              <w:t>2,814</w:t>
            </w:r>
          </w:p>
        </w:tc>
        <w:tc>
          <w:tcPr>
            <w:tcW w:w="0" w:type="pct"/>
            <w:tcBorders>
              <w:top w:val="dotted" w:sz="4" w:space="0" w:color="auto"/>
              <w:bottom w:val="single" w:sz="4" w:space="0" w:color="auto"/>
            </w:tcBorders>
            <w:noWrap/>
          </w:tcPr>
          <w:p w14:paraId="642DB828" w14:textId="77777777" w:rsidR="0058789F" w:rsidRPr="007E78B5" w:rsidRDefault="0058789F" w:rsidP="007E78B5">
            <w:pPr>
              <w:pStyle w:val="TableBodyTextrightalign"/>
              <w:rPr>
                <w:rStyle w:val="Characterbold"/>
              </w:rPr>
            </w:pPr>
            <w:r w:rsidRPr="007E78B5">
              <w:rPr>
                <w:rStyle w:val="Characterbold"/>
              </w:rPr>
              <w:t>5,633</w:t>
            </w:r>
          </w:p>
        </w:tc>
      </w:tr>
      <w:tr w:rsidR="0058789F" w:rsidRPr="00737568" w14:paraId="741ABF58" w14:textId="77777777" w:rsidTr="00AD1066">
        <w:trPr>
          <w:trHeight w:val="255"/>
        </w:trPr>
        <w:tc>
          <w:tcPr>
            <w:tcW w:w="0" w:type="pct"/>
            <w:gridSpan w:val="7"/>
            <w:tcBorders>
              <w:top w:val="single" w:sz="4" w:space="0" w:color="auto"/>
            </w:tcBorders>
            <w:noWrap/>
          </w:tcPr>
          <w:p w14:paraId="7089DE1C" w14:textId="77777777" w:rsidR="0058789F" w:rsidRPr="00737568" w:rsidRDefault="0058789F" w:rsidP="00AD1066">
            <w:pPr>
              <w:pStyle w:val="TableBodyTextsmall"/>
            </w:pPr>
          </w:p>
        </w:tc>
      </w:tr>
      <w:tr w:rsidR="0058789F" w:rsidRPr="00737568" w14:paraId="406C08B7" w14:textId="77777777" w:rsidTr="00AD1066">
        <w:trPr>
          <w:trHeight w:val="255"/>
        </w:trPr>
        <w:tc>
          <w:tcPr>
            <w:tcW w:w="0" w:type="pct"/>
            <w:gridSpan w:val="7"/>
            <w:tcBorders>
              <w:top w:val="nil"/>
            </w:tcBorders>
            <w:noWrap/>
            <w:hideMark/>
          </w:tcPr>
          <w:p w14:paraId="412B97D1" w14:textId="77777777" w:rsidR="0058789F" w:rsidRPr="00737568" w:rsidRDefault="0058789F" w:rsidP="00AD1066">
            <w:pPr>
              <w:pStyle w:val="TableHeading1"/>
            </w:pPr>
            <w:r w:rsidRPr="00737568">
              <w:t>202</w:t>
            </w:r>
            <w:r>
              <w:t>2</w:t>
            </w:r>
            <w:r w:rsidRPr="00737568">
              <w:t> </w:t>
            </w:r>
          </w:p>
        </w:tc>
      </w:tr>
      <w:tr w:rsidR="0058789F" w:rsidRPr="00737568" w14:paraId="2743BC96" w14:textId="77777777" w:rsidTr="00AD1066">
        <w:trPr>
          <w:trHeight w:val="330"/>
        </w:trPr>
        <w:tc>
          <w:tcPr>
            <w:tcW w:w="0" w:type="pct"/>
            <w:noWrap/>
            <w:hideMark/>
          </w:tcPr>
          <w:p w14:paraId="0B971B84" w14:textId="77777777" w:rsidR="0058789F" w:rsidRPr="00737568" w:rsidRDefault="0058789F" w:rsidP="00AD1066">
            <w:pPr>
              <w:pStyle w:val="TableBodyText"/>
            </w:pPr>
            <w:r w:rsidRPr="00737568">
              <w:t>Lease liabilities</w:t>
            </w:r>
          </w:p>
        </w:tc>
        <w:tc>
          <w:tcPr>
            <w:tcW w:w="0" w:type="pct"/>
            <w:noWrap/>
            <w:hideMark/>
          </w:tcPr>
          <w:p w14:paraId="3F0751EC" w14:textId="77777777" w:rsidR="0058789F" w:rsidRPr="00737568" w:rsidRDefault="0058789F" w:rsidP="00ED79A2">
            <w:pPr>
              <w:pStyle w:val="TableBodyTextrightalign"/>
            </w:pPr>
            <w:r>
              <w:t>12,235</w:t>
            </w:r>
          </w:p>
        </w:tc>
        <w:tc>
          <w:tcPr>
            <w:tcW w:w="0" w:type="pct"/>
            <w:noWrap/>
            <w:hideMark/>
          </w:tcPr>
          <w:p w14:paraId="16DEA2B4" w14:textId="77777777" w:rsidR="0058789F" w:rsidRPr="00737568" w:rsidRDefault="0058789F" w:rsidP="00ED79A2">
            <w:pPr>
              <w:pStyle w:val="TableBodyTextrightalign"/>
            </w:pPr>
            <w:r>
              <w:t>13,033</w:t>
            </w:r>
          </w:p>
        </w:tc>
        <w:tc>
          <w:tcPr>
            <w:tcW w:w="0" w:type="pct"/>
            <w:noWrap/>
            <w:hideMark/>
          </w:tcPr>
          <w:p w14:paraId="7614904E" w14:textId="77777777" w:rsidR="0058789F" w:rsidRPr="00737568" w:rsidRDefault="0058789F" w:rsidP="00ED79A2">
            <w:pPr>
              <w:pStyle w:val="TableBodyTextrightalign"/>
            </w:pPr>
            <w:r>
              <w:t>487</w:t>
            </w:r>
          </w:p>
        </w:tc>
        <w:tc>
          <w:tcPr>
            <w:tcW w:w="0" w:type="pct"/>
            <w:noWrap/>
            <w:hideMark/>
          </w:tcPr>
          <w:p w14:paraId="0DF0F407" w14:textId="77777777" w:rsidR="0058789F" w:rsidRPr="00737568" w:rsidRDefault="0058789F" w:rsidP="00ED79A2">
            <w:pPr>
              <w:pStyle w:val="TableBodyTextrightalign"/>
            </w:pPr>
            <w:r>
              <w:t>604</w:t>
            </w:r>
          </w:p>
        </w:tc>
        <w:tc>
          <w:tcPr>
            <w:tcW w:w="0" w:type="pct"/>
            <w:noWrap/>
            <w:hideMark/>
          </w:tcPr>
          <w:p w14:paraId="6FCE7566" w14:textId="77777777" w:rsidR="0058789F" w:rsidRPr="00737568" w:rsidRDefault="0058789F" w:rsidP="00ED79A2">
            <w:pPr>
              <w:pStyle w:val="TableBodyTextrightalign"/>
            </w:pPr>
            <w:r>
              <w:t>3,108</w:t>
            </w:r>
          </w:p>
        </w:tc>
        <w:tc>
          <w:tcPr>
            <w:tcW w:w="0" w:type="pct"/>
            <w:noWrap/>
            <w:hideMark/>
          </w:tcPr>
          <w:p w14:paraId="5E7AC77C" w14:textId="77777777" w:rsidR="0058789F" w:rsidRPr="00737568" w:rsidRDefault="0058789F" w:rsidP="00ED79A2">
            <w:pPr>
              <w:pStyle w:val="TableBodyTextrightalign"/>
            </w:pPr>
            <w:r>
              <w:t>8,834</w:t>
            </w:r>
          </w:p>
        </w:tc>
      </w:tr>
      <w:tr w:rsidR="0058789F" w:rsidRPr="00737568" w14:paraId="16DBC7D1" w14:textId="77777777" w:rsidTr="00AD1066">
        <w:trPr>
          <w:cnfStyle w:val="010000000000" w:firstRow="0" w:lastRow="1" w:firstColumn="0" w:lastColumn="0" w:oddVBand="0" w:evenVBand="0" w:oddHBand="0" w:evenHBand="0" w:firstRowFirstColumn="0" w:firstRowLastColumn="0" w:lastRowFirstColumn="0" w:lastRowLastColumn="0"/>
          <w:trHeight w:val="152"/>
        </w:trPr>
        <w:tc>
          <w:tcPr>
            <w:tcW w:w="0" w:type="pct"/>
            <w:noWrap/>
            <w:hideMark/>
          </w:tcPr>
          <w:p w14:paraId="6CA6867B" w14:textId="77777777" w:rsidR="0058789F" w:rsidRPr="00737568" w:rsidRDefault="0058789F" w:rsidP="00AD1066">
            <w:pPr>
              <w:pStyle w:val="TableBodyText"/>
            </w:pPr>
            <w:r w:rsidRPr="00737568">
              <w:t>Total</w:t>
            </w:r>
          </w:p>
        </w:tc>
        <w:tc>
          <w:tcPr>
            <w:tcW w:w="0" w:type="pct"/>
            <w:noWrap/>
            <w:hideMark/>
          </w:tcPr>
          <w:p w14:paraId="4B81FB2B" w14:textId="77777777" w:rsidR="0058789F" w:rsidRPr="00C072F5" w:rsidRDefault="0058789F" w:rsidP="00AD1066">
            <w:pPr>
              <w:pStyle w:val="TableBodyTextrightalign"/>
            </w:pPr>
            <w:r w:rsidRPr="00C072F5">
              <w:t>12,235</w:t>
            </w:r>
          </w:p>
        </w:tc>
        <w:tc>
          <w:tcPr>
            <w:tcW w:w="0" w:type="pct"/>
            <w:noWrap/>
            <w:hideMark/>
          </w:tcPr>
          <w:p w14:paraId="548D7C68" w14:textId="77777777" w:rsidR="0058789F" w:rsidRPr="00C072F5" w:rsidRDefault="0058789F" w:rsidP="00AD1066">
            <w:pPr>
              <w:pStyle w:val="TableBodyTextrightalign"/>
            </w:pPr>
            <w:r w:rsidRPr="00C072F5">
              <w:t>13,033</w:t>
            </w:r>
          </w:p>
        </w:tc>
        <w:tc>
          <w:tcPr>
            <w:tcW w:w="0" w:type="pct"/>
            <w:noWrap/>
            <w:hideMark/>
          </w:tcPr>
          <w:p w14:paraId="52EA8F2D" w14:textId="77777777" w:rsidR="0058789F" w:rsidRPr="00C072F5" w:rsidRDefault="0058789F" w:rsidP="00AD1066">
            <w:pPr>
              <w:pStyle w:val="TableBodyTextrightalign"/>
            </w:pPr>
            <w:r w:rsidRPr="00C072F5">
              <w:t>487</w:t>
            </w:r>
          </w:p>
        </w:tc>
        <w:tc>
          <w:tcPr>
            <w:tcW w:w="0" w:type="pct"/>
            <w:noWrap/>
            <w:hideMark/>
          </w:tcPr>
          <w:p w14:paraId="0B8392AF" w14:textId="77777777" w:rsidR="0058789F" w:rsidRPr="00C072F5" w:rsidRDefault="0058789F" w:rsidP="00AD1066">
            <w:pPr>
              <w:pStyle w:val="TableBodyTextrightalign"/>
            </w:pPr>
            <w:r w:rsidRPr="00C072F5">
              <w:t>604</w:t>
            </w:r>
          </w:p>
        </w:tc>
        <w:tc>
          <w:tcPr>
            <w:tcW w:w="0" w:type="pct"/>
            <w:noWrap/>
            <w:hideMark/>
          </w:tcPr>
          <w:p w14:paraId="519EF52D" w14:textId="77777777" w:rsidR="0058789F" w:rsidRPr="00C072F5" w:rsidRDefault="0058789F" w:rsidP="00AD1066">
            <w:pPr>
              <w:pStyle w:val="TableBodyTextrightalign"/>
            </w:pPr>
            <w:r w:rsidRPr="00C072F5">
              <w:t>3,108</w:t>
            </w:r>
          </w:p>
        </w:tc>
        <w:tc>
          <w:tcPr>
            <w:tcW w:w="0" w:type="pct"/>
            <w:noWrap/>
            <w:hideMark/>
          </w:tcPr>
          <w:p w14:paraId="5A30A2A0" w14:textId="77777777" w:rsidR="0058789F" w:rsidRPr="00C072F5" w:rsidRDefault="0058789F" w:rsidP="00AD1066">
            <w:pPr>
              <w:pStyle w:val="TableBodyTextrightalign"/>
            </w:pPr>
            <w:r w:rsidRPr="00C072F5">
              <w:t>8,834</w:t>
            </w:r>
          </w:p>
        </w:tc>
      </w:tr>
    </w:tbl>
    <w:p w14:paraId="088D61CA" w14:textId="77777777" w:rsidR="0058789F" w:rsidRDefault="0058789F" w:rsidP="0058789F">
      <w:pPr>
        <w:pStyle w:val="TableNote"/>
      </w:pPr>
    </w:p>
    <w:p w14:paraId="32ED3316" w14:textId="77777777" w:rsidR="0058789F" w:rsidRPr="004E1621" w:rsidRDefault="0058789F" w:rsidP="0058789F">
      <w:pPr>
        <w:pStyle w:val="Heading5"/>
      </w:pPr>
      <w:r w:rsidRPr="004E1621">
        <w:t xml:space="preserve">Leases </w:t>
      </w:r>
    </w:p>
    <w:p w14:paraId="50CDAF61" w14:textId="77777777" w:rsidR="0058789F" w:rsidRPr="004E1621" w:rsidRDefault="0058789F" w:rsidP="0058789F">
      <w:pPr>
        <w:pStyle w:val="BodyText"/>
      </w:pPr>
      <w:r w:rsidRPr="004E1621">
        <w:t>Information about leases for which IBAC is a lessee is presented below.</w:t>
      </w:r>
    </w:p>
    <w:p w14:paraId="7DCDF4A6" w14:textId="77777777" w:rsidR="0058789F" w:rsidRPr="008743B0" w:rsidRDefault="0058789F" w:rsidP="0058789F">
      <w:pPr>
        <w:pStyle w:val="Heading6"/>
      </w:pPr>
      <w:r w:rsidRPr="008743B0">
        <w:t>IBAC’s leasing activities</w:t>
      </w:r>
    </w:p>
    <w:p w14:paraId="612F9165" w14:textId="27073C37" w:rsidR="0058789F" w:rsidRDefault="0058789F" w:rsidP="0058789F">
      <w:pPr>
        <w:pStyle w:val="BodyText"/>
      </w:pPr>
      <w:r w:rsidRPr="004E1621">
        <w:t xml:space="preserve">IBAC leases its office premises and motor vehicles. The lease contracts are typically made for fixed periods of </w:t>
      </w:r>
      <w:r w:rsidRPr="00DF26ED">
        <w:t xml:space="preserve">two to </w:t>
      </w:r>
      <w:r w:rsidR="008655D9">
        <w:t>13</w:t>
      </w:r>
      <w:r w:rsidRPr="00DF26ED">
        <w:t xml:space="preserve"> years</w:t>
      </w:r>
      <w:r w:rsidRPr="004E1621">
        <w:t xml:space="preserve"> with an option to renew the lease after that date.</w:t>
      </w:r>
    </w:p>
    <w:p w14:paraId="78E9AABA" w14:textId="77777777" w:rsidR="0058789F" w:rsidRPr="009E4971" w:rsidRDefault="0058789F" w:rsidP="006F399C">
      <w:pPr>
        <w:pStyle w:val="NotesHeading3"/>
      </w:pPr>
      <w:r w:rsidRPr="007211D6">
        <w:t xml:space="preserve"> </w:t>
      </w:r>
      <w:r w:rsidRPr="009E4971">
        <w:t>Right-of-use assets</w:t>
      </w:r>
    </w:p>
    <w:p w14:paraId="37479602" w14:textId="77777777" w:rsidR="0058789F" w:rsidRDefault="0058789F" w:rsidP="0058789F">
      <w:pPr>
        <w:pStyle w:val="BodyText"/>
      </w:pPr>
      <w:r w:rsidRPr="004E1621">
        <w:t xml:space="preserve">Right-of-use assets are presented in </w:t>
      </w:r>
      <w:r w:rsidRPr="00520EA3">
        <w:t xml:space="preserve">Note </w:t>
      </w:r>
      <w:r>
        <w:fldChar w:fldCharType="begin"/>
      </w:r>
      <w:r>
        <w:instrText xml:space="preserve"> REF _Ref145073844 \n \h </w:instrText>
      </w:r>
      <w:r>
        <w:fldChar w:fldCharType="separate"/>
      </w:r>
      <w:r>
        <w:t>4.1.1</w:t>
      </w:r>
      <w:r>
        <w:fldChar w:fldCharType="end"/>
      </w:r>
      <w:r>
        <w:t>.</w:t>
      </w:r>
    </w:p>
    <w:p w14:paraId="5052AF0E" w14:textId="77777777" w:rsidR="0058789F" w:rsidRPr="009E4971" w:rsidRDefault="0058789F" w:rsidP="006F399C">
      <w:pPr>
        <w:pStyle w:val="NotesHeading3"/>
      </w:pPr>
      <w:bookmarkStart w:id="188" w:name="_Ref82070639"/>
      <w:r w:rsidRPr="007211D6">
        <w:t xml:space="preserve"> </w:t>
      </w:r>
      <w:r w:rsidRPr="009E4971">
        <w:t>Amounts recognised in the comprehensive operating statement</w:t>
      </w:r>
      <w:bookmarkEnd w:id="188"/>
    </w:p>
    <w:p w14:paraId="0F128E3F" w14:textId="77777777" w:rsidR="0058789F" w:rsidRDefault="0058789F" w:rsidP="0058789F">
      <w:pPr>
        <w:pStyle w:val="BodyText"/>
      </w:pPr>
      <w:r>
        <w:t>The following table</w:t>
      </w:r>
      <w:r>
        <w:fldChar w:fldCharType="begin"/>
      </w:r>
      <w:r>
        <w:instrText xml:space="preserve"> REF _Ref120719794 \h </w:instrText>
      </w:r>
      <w:r w:rsidR="00F31239">
        <w:fldChar w:fldCharType="separate"/>
      </w:r>
      <w:r>
        <w:fldChar w:fldCharType="end"/>
      </w:r>
      <w:r>
        <w:t xml:space="preserve"> shows the amounts that </w:t>
      </w:r>
      <w:r w:rsidRPr="004E1621">
        <w:t xml:space="preserve">are recognised in the </w:t>
      </w:r>
      <w:r>
        <w:t>c</w:t>
      </w:r>
      <w:r w:rsidRPr="004E1621">
        <w:t xml:space="preserve">omprehensive </w:t>
      </w:r>
      <w:r>
        <w:t>o</w:t>
      </w:r>
      <w:r w:rsidRPr="004E1621">
        <w:t xml:space="preserve">perating </w:t>
      </w:r>
      <w:r>
        <w:t>s</w:t>
      </w:r>
      <w:r w:rsidRPr="004E1621">
        <w:t xml:space="preserve">tatement </w:t>
      </w:r>
      <w:r>
        <w:t xml:space="preserve">as </w:t>
      </w:r>
      <w:r w:rsidRPr="004E1621">
        <w:t>relating to leases</w:t>
      </w:r>
      <w:r>
        <w:t>.</w:t>
      </w:r>
    </w:p>
    <w:tbl>
      <w:tblPr>
        <w:tblStyle w:val="CustomTabledetailed"/>
        <w:tblW w:w="8940" w:type="dxa"/>
        <w:tblLook w:val="0660" w:firstRow="1" w:lastRow="1" w:firstColumn="0" w:lastColumn="0" w:noHBand="1" w:noVBand="1"/>
      </w:tblPr>
      <w:tblGrid>
        <w:gridCol w:w="4284"/>
        <w:gridCol w:w="2328"/>
        <w:gridCol w:w="2328"/>
      </w:tblGrid>
      <w:tr w:rsidR="0058789F" w:rsidRPr="00D64A9B" w14:paraId="45154750" w14:textId="77777777" w:rsidTr="00AD1066">
        <w:trPr>
          <w:cnfStyle w:val="100000000000" w:firstRow="1" w:lastRow="0" w:firstColumn="0" w:lastColumn="0" w:oddVBand="0" w:evenVBand="0" w:oddHBand="0" w:evenHBand="0" w:firstRowFirstColumn="0" w:firstRowLastColumn="0" w:lastRowFirstColumn="0" w:lastRowLastColumn="0"/>
          <w:trHeight w:val="315"/>
        </w:trPr>
        <w:tc>
          <w:tcPr>
            <w:tcW w:w="0" w:type="dxa"/>
            <w:noWrap/>
            <w:hideMark/>
          </w:tcPr>
          <w:p w14:paraId="55E7B86A" w14:textId="77777777" w:rsidR="0058789F" w:rsidRPr="00D64A9B" w:rsidRDefault="0058789F" w:rsidP="00AD1066">
            <w:pPr>
              <w:pStyle w:val="TableBodyText"/>
            </w:pPr>
            <w:r w:rsidRPr="00D64A9B">
              <w:t> </w:t>
            </w:r>
          </w:p>
          <w:p w14:paraId="359A96D2" w14:textId="77777777" w:rsidR="0058789F" w:rsidRPr="00D64A9B" w:rsidRDefault="0058789F" w:rsidP="00AD1066">
            <w:pPr>
              <w:pStyle w:val="TableBodyText"/>
            </w:pPr>
            <w:r w:rsidRPr="00D64A9B">
              <w:t> </w:t>
            </w:r>
          </w:p>
        </w:tc>
        <w:tc>
          <w:tcPr>
            <w:tcW w:w="0" w:type="dxa"/>
            <w:noWrap/>
            <w:hideMark/>
          </w:tcPr>
          <w:p w14:paraId="0698C7BD" w14:textId="77777777" w:rsidR="0058789F" w:rsidRDefault="0058789F" w:rsidP="00AD1066">
            <w:pPr>
              <w:pStyle w:val="TableHeading3rightalign"/>
            </w:pPr>
            <w:r>
              <w:t>2023</w:t>
            </w:r>
          </w:p>
          <w:p w14:paraId="2E336225" w14:textId="77777777" w:rsidR="0058789F" w:rsidRPr="00D64A9B" w:rsidRDefault="0058789F" w:rsidP="00AD1066">
            <w:pPr>
              <w:pStyle w:val="TableHeading3rightalign"/>
            </w:pPr>
            <w:r>
              <w:t>($’000)</w:t>
            </w:r>
          </w:p>
        </w:tc>
        <w:tc>
          <w:tcPr>
            <w:tcW w:w="0" w:type="dxa"/>
          </w:tcPr>
          <w:p w14:paraId="04490009" w14:textId="77777777" w:rsidR="0058789F" w:rsidRDefault="0058789F" w:rsidP="00AD1066">
            <w:pPr>
              <w:pStyle w:val="TableHeading3rightalign"/>
            </w:pPr>
            <w:r>
              <w:t>2022</w:t>
            </w:r>
          </w:p>
          <w:p w14:paraId="7F92FD88" w14:textId="77777777" w:rsidR="0058789F" w:rsidRPr="00D64A9B" w:rsidRDefault="0058789F" w:rsidP="00AD1066">
            <w:pPr>
              <w:pStyle w:val="TableHeading3rightalign"/>
            </w:pPr>
            <w:r>
              <w:t>($’000)</w:t>
            </w:r>
          </w:p>
        </w:tc>
      </w:tr>
      <w:tr w:rsidR="0058789F" w:rsidRPr="00D64A9B" w14:paraId="0DEDFA0B" w14:textId="77777777" w:rsidTr="00AD1066">
        <w:trPr>
          <w:trHeight w:val="300"/>
        </w:trPr>
        <w:tc>
          <w:tcPr>
            <w:tcW w:w="0" w:type="dxa"/>
            <w:gridSpan w:val="3"/>
            <w:noWrap/>
            <w:hideMark/>
          </w:tcPr>
          <w:p w14:paraId="5C5D9A1C" w14:textId="77777777" w:rsidR="0058789F" w:rsidRPr="00D64A9B" w:rsidRDefault="0058789F" w:rsidP="00AD1066">
            <w:pPr>
              <w:pStyle w:val="TableBodyTextsmall"/>
            </w:pPr>
          </w:p>
        </w:tc>
      </w:tr>
      <w:tr w:rsidR="0058789F" w:rsidRPr="00D64A9B" w14:paraId="6B674D97" w14:textId="77777777" w:rsidTr="00AD1066">
        <w:trPr>
          <w:trHeight w:val="315"/>
        </w:trPr>
        <w:tc>
          <w:tcPr>
            <w:tcW w:w="0" w:type="dxa"/>
            <w:noWrap/>
            <w:hideMark/>
          </w:tcPr>
          <w:p w14:paraId="7D9E319D" w14:textId="77777777" w:rsidR="0058789F" w:rsidRPr="00D64A9B" w:rsidRDefault="0058789F" w:rsidP="00AD1066">
            <w:pPr>
              <w:pStyle w:val="TableBodyText"/>
            </w:pPr>
            <w:r w:rsidRPr="00D64A9B">
              <w:t>Interest expense on lease liabilities</w:t>
            </w:r>
          </w:p>
        </w:tc>
        <w:tc>
          <w:tcPr>
            <w:tcW w:w="0" w:type="dxa"/>
            <w:shd w:val="clear" w:color="auto" w:fill="F2F2F2" w:themeFill="background1" w:themeFillShade="F2"/>
            <w:noWrap/>
          </w:tcPr>
          <w:p w14:paraId="38E24806" w14:textId="77777777" w:rsidR="0058789F" w:rsidRPr="00C8384F" w:rsidRDefault="0058789F" w:rsidP="00AD1066">
            <w:pPr>
              <w:pStyle w:val="TableBodyTextrightalign"/>
            </w:pPr>
            <w:r w:rsidRPr="00C8384F">
              <w:t>349</w:t>
            </w:r>
          </w:p>
        </w:tc>
        <w:tc>
          <w:tcPr>
            <w:tcW w:w="0" w:type="dxa"/>
          </w:tcPr>
          <w:p w14:paraId="5BF1EEE9" w14:textId="77777777" w:rsidR="0058789F" w:rsidRPr="00D64A9B" w:rsidRDefault="0058789F" w:rsidP="00AD1066">
            <w:pPr>
              <w:pStyle w:val="TableBodyTextrightalign"/>
            </w:pPr>
            <w:r>
              <w:t>537</w:t>
            </w:r>
          </w:p>
        </w:tc>
      </w:tr>
      <w:tr w:rsidR="0058789F" w:rsidRPr="00D64A9B" w14:paraId="0E22C2CA"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0" w:type="dxa"/>
            <w:noWrap/>
            <w:hideMark/>
          </w:tcPr>
          <w:p w14:paraId="751877BD" w14:textId="77777777" w:rsidR="0058789F" w:rsidRPr="00D64A9B" w:rsidRDefault="0058789F" w:rsidP="00AD1066">
            <w:pPr>
              <w:pStyle w:val="TableBodyText"/>
            </w:pPr>
            <w:r>
              <w:t>Total a</w:t>
            </w:r>
            <w:r w:rsidRPr="00D64A9B">
              <w:t>mount recognised in the comprehensive statement</w:t>
            </w:r>
          </w:p>
        </w:tc>
        <w:tc>
          <w:tcPr>
            <w:tcW w:w="0" w:type="dxa"/>
            <w:shd w:val="clear" w:color="auto" w:fill="F2F2F2" w:themeFill="background1" w:themeFillShade="F2"/>
            <w:noWrap/>
          </w:tcPr>
          <w:p w14:paraId="46B67E6D" w14:textId="77777777" w:rsidR="0058789F" w:rsidRPr="00C8384F" w:rsidRDefault="0058789F" w:rsidP="00AD1066">
            <w:pPr>
              <w:pStyle w:val="TableBodyTextrightalign"/>
            </w:pPr>
            <w:r w:rsidRPr="00C8384F">
              <w:t>349</w:t>
            </w:r>
          </w:p>
        </w:tc>
        <w:tc>
          <w:tcPr>
            <w:tcW w:w="0" w:type="dxa"/>
          </w:tcPr>
          <w:p w14:paraId="621D03AC" w14:textId="77777777" w:rsidR="0058789F" w:rsidRPr="00D64A9B" w:rsidRDefault="0058789F" w:rsidP="00AD1066">
            <w:pPr>
              <w:pStyle w:val="TableBodyTextrightalign"/>
            </w:pPr>
            <w:r>
              <w:t>537</w:t>
            </w:r>
          </w:p>
        </w:tc>
      </w:tr>
    </w:tbl>
    <w:p w14:paraId="66978909" w14:textId="77777777" w:rsidR="0058789F" w:rsidRDefault="0058789F" w:rsidP="0058789F">
      <w:pPr>
        <w:pStyle w:val="TableNote"/>
      </w:pPr>
    </w:p>
    <w:p w14:paraId="5E710D50" w14:textId="77777777" w:rsidR="0058789F" w:rsidRPr="0028307D" w:rsidRDefault="0058789F" w:rsidP="006F399C">
      <w:pPr>
        <w:pStyle w:val="NotesHeading3"/>
      </w:pPr>
      <w:r>
        <w:t xml:space="preserve"> </w:t>
      </w:r>
      <w:r w:rsidRPr="0028307D">
        <w:t>Amounts recognised in the statement of cash flows</w:t>
      </w:r>
    </w:p>
    <w:p w14:paraId="746F15EA" w14:textId="6C4AE8A7" w:rsidR="0058789F" w:rsidRDefault="0058789F" w:rsidP="006F399C">
      <w:pPr>
        <w:pStyle w:val="BodyText"/>
      </w:pPr>
      <w:r>
        <w:t>The following table shows t</w:t>
      </w:r>
      <w:r w:rsidRPr="00E130AC">
        <w:t xml:space="preserve">he amounts </w:t>
      </w:r>
      <w:r>
        <w:t xml:space="preserve">that </w:t>
      </w:r>
      <w:r w:rsidRPr="00E130AC">
        <w:t xml:space="preserve">are recognised in the </w:t>
      </w:r>
      <w:r>
        <w:t>s</w:t>
      </w:r>
      <w:r w:rsidRPr="00E130AC">
        <w:t xml:space="preserve">tatement of </w:t>
      </w:r>
      <w:r>
        <w:t>c</w:t>
      </w:r>
      <w:r w:rsidRPr="00E130AC">
        <w:t>ash</w:t>
      </w:r>
      <w:r>
        <w:t xml:space="preserve"> f</w:t>
      </w:r>
      <w:r w:rsidRPr="00E130AC">
        <w:t>lows for the year ending 30 June 202</w:t>
      </w:r>
      <w:r>
        <w:t>3</w:t>
      </w:r>
      <w:r w:rsidRPr="00E130AC">
        <w:t xml:space="preserve"> relating to leases</w:t>
      </w:r>
      <w:r>
        <w:t>.</w:t>
      </w:r>
    </w:p>
    <w:tbl>
      <w:tblPr>
        <w:tblStyle w:val="CustomTabledetailed"/>
        <w:tblW w:w="8940" w:type="dxa"/>
        <w:tblLook w:val="0660" w:firstRow="1" w:lastRow="1" w:firstColumn="0" w:lastColumn="0" w:noHBand="1" w:noVBand="1"/>
      </w:tblPr>
      <w:tblGrid>
        <w:gridCol w:w="4253"/>
        <w:gridCol w:w="2343"/>
        <w:gridCol w:w="2344"/>
      </w:tblGrid>
      <w:tr w:rsidR="0058789F" w:rsidRPr="009E5D69" w14:paraId="3F7D4E30" w14:textId="77777777" w:rsidTr="00AD1066">
        <w:trPr>
          <w:cnfStyle w:val="100000000000" w:firstRow="1" w:lastRow="0" w:firstColumn="0" w:lastColumn="0" w:oddVBand="0" w:evenVBand="0" w:oddHBand="0" w:evenHBand="0" w:firstRowFirstColumn="0" w:firstRowLastColumn="0" w:lastRowFirstColumn="0" w:lastRowLastColumn="0"/>
          <w:trHeight w:val="270"/>
        </w:trPr>
        <w:tc>
          <w:tcPr>
            <w:tcW w:w="4253" w:type="dxa"/>
            <w:noWrap/>
            <w:hideMark/>
          </w:tcPr>
          <w:p w14:paraId="64A89D87" w14:textId="77777777" w:rsidR="0058789F" w:rsidRPr="009E5D69" w:rsidRDefault="0058789F" w:rsidP="00AD1066">
            <w:pPr>
              <w:pStyle w:val="TableBodyText"/>
            </w:pPr>
            <w:r w:rsidRPr="009E5D69">
              <w:t> </w:t>
            </w:r>
          </w:p>
        </w:tc>
        <w:tc>
          <w:tcPr>
            <w:tcW w:w="2343" w:type="dxa"/>
            <w:noWrap/>
            <w:hideMark/>
          </w:tcPr>
          <w:p w14:paraId="33B0370F" w14:textId="77777777" w:rsidR="0058789F" w:rsidRDefault="0058789F" w:rsidP="00AD1066">
            <w:pPr>
              <w:pStyle w:val="TableHeading3rightalign"/>
            </w:pPr>
            <w:r>
              <w:t>2023</w:t>
            </w:r>
          </w:p>
          <w:p w14:paraId="0A3D0D53" w14:textId="77777777" w:rsidR="0058789F" w:rsidRPr="009E5D69" w:rsidRDefault="0058789F" w:rsidP="00AD1066">
            <w:pPr>
              <w:pStyle w:val="TableHeading3rightalign"/>
            </w:pPr>
            <w:r>
              <w:t>($’000)</w:t>
            </w:r>
          </w:p>
        </w:tc>
        <w:tc>
          <w:tcPr>
            <w:tcW w:w="2344" w:type="dxa"/>
          </w:tcPr>
          <w:p w14:paraId="6334D895" w14:textId="77777777" w:rsidR="0058789F" w:rsidRDefault="0058789F" w:rsidP="00AD1066">
            <w:pPr>
              <w:pStyle w:val="TableHeading3rightalign"/>
            </w:pPr>
            <w:r>
              <w:t>2022</w:t>
            </w:r>
          </w:p>
          <w:p w14:paraId="7D65A524" w14:textId="77777777" w:rsidR="0058789F" w:rsidRPr="009E5D69" w:rsidRDefault="0058789F" w:rsidP="00AD1066">
            <w:pPr>
              <w:pStyle w:val="TableHeading3rightalign"/>
            </w:pPr>
            <w:r>
              <w:t>($’000)</w:t>
            </w:r>
          </w:p>
        </w:tc>
      </w:tr>
      <w:tr w:rsidR="0058789F" w:rsidRPr="009E5D69" w14:paraId="79F6A715" w14:textId="77777777" w:rsidTr="00AD1066">
        <w:trPr>
          <w:trHeight w:val="300"/>
        </w:trPr>
        <w:tc>
          <w:tcPr>
            <w:tcW w:w="8940" w:type="dxa"/>
            <w:gridSpan w:val="3"/>
            <w:noWrap/>
            <w:hideMark/>
          </w:tcPr>
          <w:p w14:paraId="452D67DF" w14:textId="77777777" w:rsidR="0058789F" w:rsidRPr="009E5D69" w:rsidRDefault="0058789F" w:rsidP="00AD1066">
            <w:pPr>
              <w:pStyle w:val="TableBodyTextsmall"/>
            </w:pPr>
          </w:p>
        </w:tc>
      </w:tr>
      <w:tr w:rsidR="0058789F" w:rsidRPr="009E5D69" w14:paraId="327E9165" w14:textId="77777777" w:rsidTr="00AD1066">
        <w:trPr>
          <w:trHeight w:val="315"/>
        </w:trPr>
        <w:tc>
          <w:tcPr>
            <w:tcW w:w="4253" w:type="dxa"/>
            <w:noWrap/>
          </w:tcPr>
          <w:p w14:paraId="0674BF01" w14:textId="77777777" w:rsidR="0058789F" w:rsidRPr="00987EE1" w:rsidRDefault="0058789F" w:rsidP="00AD1066">
            <w:pPr>
              <w:pStyle w:val="TableBodyText"/>
            </w:pPr>
            <w:r w:rsidRPr="00D64A9B">
              <w:t>Interest expense on lease liabilities</w:t>
            </w:r>
          </w:p>
        </w:tc>
        <w:tc>
          <w:tcPr>
            <w:tcW w:w="2343" w:type="dxa"/>
            <w:shd w:val="clear" w:color="auto" w:fill="F2F2F2" w:themeFill="background1" w:themeFillShade="F2"/>
            <w:noWrap/>
          </w:tcPr>
          <w:p w14:paraId="47D02BE8" w14:textId="77777777" w:rsidR="0058789F" w:rsidRDefault="0058789F" w:rsidP="00AD1066">
            <w:pPr>
              <w:pStyle w:val="TableBodyTextrightalign"/>
            </w:pPr>
            <w:r w:rsidRPr="00C8384F">
              <w:t>349</w:t>
            </w:r>
          </w:p>
        </w:tc>
        <w:tc>
          <w:tcPr>
            <w:tcW w:w="2344" w:type="dxa"/>
          </w:tcPr>
          <w:p w14:paraId="18313302" w14:textId="77777777" w:rsidR="0058789F" w:rsidRDefault="0058789F" w:rsidP="00AD1066">
            <w:pPr>
              <w:pStyle w:val="TableBodyTextrightalign"/>
            </w:pPr>
            <w:r>
              <w:t>537</w:t>
            </w:r>
          </w:p>
        </w:tc>
      </w:tr>
      <w:tr w:rsidR="0058789F" w:rsidRPr="009E5D69" w14:paraId="27F90656" w14:textId="77777777" w:rsidTr="00AD1066">
        <w:trPr>
          <w:trHeight w:val="315"/>
        </w:trPr>
        <w:tc>
          <w:tcPr>
            <w:tcW w:w="4253" w:type="dxa"/>
            <w:noWrap/>
          </w:tcPr>
          <w:p w14:paraId="3C9C95FA" w14:textId="77777777" w:rsidR="0058789F" w:rsidRPr="009E5D69" w:rsidRDefault="0058789F" w:rsidP="00AD1066">
            <w:pPr>
              <w:pStyle w:val="TableBodyText"/>
            </w:pPr>
            <w:r w:rsidRPr="00987EE1">
              <w:t>Repayment of principal portion of lease liabilities</w:t>
            </w:r>
          </w:p>
        </w:tc>
        <w:tc>
          <w:tcPr>
            <w:tcW w:w="2343" w:type="dxa"/>
            <w:shd w:val="clear" w:color="auto" w:fill="F2F2F2" w:themeFill="background1" w:themeFillShade="F2"/>
            <w:noWrap/>
          </w:tcPr>
          <w:p w14:paraId="5E3259D5" w14:textId="77777777" w:rsidR="0058789F" w:rsidRDefault="0058789F" w:rsidP="00AD1066">
            <w:pPr>
              <w:pStyle w:val="TableBodyTextrightalign"/>
            </w:pPr>
            <w:r>
              <w:t>3,360</w:t>
            </w:r>
          </w:p>
        </w:tc>
        <w:tc>
          <w:tcPr>
            <w:tcW w:w="2344" w:type="dxa"/>
          </w:tcPr>
          <w:p w14:paraId="4CAD1B31" w14:textId="77777777" w:rsidR="0058789F" w:rsidRPr="003D1237" w:rsidRDefault="0058789F" w:rsidP="00AD1066">
            <w:pPr>
              <w:pStyle w:val="TableBodyTextrightalign"/>
            </w:pPr>
            <w:r>
              <w:t>3,231</w:t>
            </w:r>
          </w:p>
        </w:tc>
      </w:tr>
      <w:tr w:rsidR="0058789F" w:rsidRPr="009E5D69" w14:paraId="301FC0A2" w14:textId="77777777" w:rsidTr="00AD1066">
        <w:trPr>
          <w:cnfStyle w:val="010000000000" w:firstRow="0" w:lastRow="1" w:firstColumn="0" w:lastColumn="0" w:oddVBand="0" w:evenVBand="0" w:oddHBand="0" w:evenHBand="0" w:firstRowFirstColumn="0" w:firstRowLastColumn="0" w:lastRowFirstColumn="0" w:lastRowLastColumn="0"/>
          <w:trHeight w:val="315"/>
        </w:trPr>
        <w:tc>
          <w:tcPr>
            <w:tcW w:w="4253" w:type="dxa"/>
            <w:noWrap/>
            <w:hideMark/>
          </w:tcPr>
          <w:p w14:paraId="1774DB6D" w14:textId="77777777" w:rsidR="0058789F" w:rsidRPr="009E5D69" w:rsidRDefault="0058789F" w:rsidP="00AD1066">
            <w:pPr>
              <w:pStyle w:val="TableBodyText"/>
              <w:rPr>
                <w:b w:val="0"/>
                <w:bCs w:val="0"/>
              </w:rPr>
            </w:pPr>
            <w:r w:rsidRPr="009E5D69">
              <w:t xml:space="preserve">Total </w:t>
            </w:r>
            <w:r>
              <w:t xml:space="preserve">amount recognised in the </w:t>
            </w:r>
            <w:r w:rsidRPr="009E5D69">
              <w:t>cash outflow</w:t>
            </w:r>
            <w:r>
              <w:t xml:space="preserve"> statement</w:t>
            </w:r>
            <w:r w:rsidRPr="009E5D69">
              <w:t xml:space="preserve"> for leases</w:t>
            </w:r>
          </w:p>
        </w:tc>
        <w:tc>
          <w:tcPr>
            <w:tcW w:w="2343" w:type="dxa"/>
            <w:shd w:val="clear" w:color="auto" w:fill="F2F2F2" w:themeFill="background1" w:themeFillShade="F2"/>
            <w:noWrap/>
            <w:hideMark/>
          </w:tcPr>
          <w:p w14:paraId="79129154" w14:textId="77777777" w:rsidR="0058789F" w:rsidRPr="009E5D69" w:rsidRDefault="0058789F" w:rsidP="00AD1066">
            <w:pPr>
              <w:pStyle w:val="TableBodyTextrightalign"/>
            </w:pPr>
            <w:r>
              <w:t>3,709</w:t>
            </w:r>
          </w:p>
        </w:tc>
        <w:tc>
          <w:tcPr>
            <w:tcW w:w="2344" w:type="dxa"/>
          </w:tcPr>
          <w:p w14:paraId="585E2E36" w14:textId="77777777" w:rsidR="0058789F" w:rsidRPr="009E5D69" w:rsidRDefault="0058789F" w:rsidP="00AD1066">
            <w:pPr>
              <w:pStyle w:val="TableBodyTextrightalign"/>
            </w:pPr>
            <w:r w:rsidRPr="003D1237">
              <w:t>3,</w:t>
            </w:r>
            <w:r>
              <w:t>768</w:t>
            </w:r>
          </w:p>
        </w:tc>
      </w:tr>
    </w:tbl>
    <w:p w14:paraId="4D2DD9B9" w14:textId="77777777" w:rsidR="0058789F" w:rsidRDefault="0058789F" w:rsidP="0058789F">
      <w:pPr>
        <w:pStyle w:val="TableNote"/>
      </w:pPr>
    </w:p>
    <w:p w14:paraId="730663FF" w14:textId="77777777" w:rsidR="0058789F" w:rsidRPr="005A53F0" w:rsidRDefault="0058789F" w:rsidP="0058789F">
      <w:pPr>
        <w:pStyle w:val="BodyText"/>
      </w:pPr>
      <w:r w:rsidRPr="005A53F0">
        <w:t>For any new contracts entered into, IBAC considers whether a contract is, or contains</w:t>
      </w:r>
      <w:r>
        <w:t>,</w:t>
      </w:r>
      <w:r w:rsidRPr="005A53F0">
        <w:t xml:space="preserve"> a lease. A lease is defined as ‘a contract, or part of a contract, that conveys the right to use an asset (the underlying asset) for a period of time in exchange for consideration’. To apply this definition</w:t>
      </w:r>
      <w:r>
        <w:t>,</w:t>
      </w:r>
      <w:r w:rsidRPr="005A53F0">
        <w:t xml:space="preserve"> IBAC assesses whether the contract meets three key evaluations:</w:t>
      </w:r>
    </w:p>
    <w:p w14:paraId="57372D04" w14:textId="77777777" w:rsidR="0058789F" w:rsidRPr="005A53F0" w:rsidRDefault="0058789F" w:rsidP="0058789F">
      <w:pPr>
        <w:pStyle w:val="ListBullet"/>
        <w:ind w:left="357" w:hanging="357"/>
      </w:pPr>
      <w:r>
        <w:t>w</w:t>
      </w:r>
      <w:r w:rsidRPr="005A53F0">
        <w:t>hether the contract contains an identified asset, which is either explicitly identified in the contract or implicitly specified by being identified at the time the asset is made available to IBAC</w:t>
      </w:r>
      <w:r>
        <w:t>,</w:t>
      </w:r>
      <w:r w:rsidRPr="005A53F0">
        <w:t xml:space="preserve"> and for which the supplier does not have substantive substitution rights</w:t>
      </w:r>
    </w:p>
    <w:p w14:paraId="7AC6C432" w14:textId="77777777" w:rsidR="0058789F" w:rsidRPr="005A53F0" w:rsidRDefault="0058789F" w:rsidP="0058789F">
      <w:pPr>
        <w:pStyle w:val="ListBullet"/>
        <w:ind w:left="357" w:hanging="357"/>
      </w:pPr>
      <w:r>
        <w:t>w</w:t>
      </w:r>
      <w:r w:rsidRPr="005A53F0">
        <w:t>hether IBAC has the right to obtain substantially all of the economic benefits from use of the identified asset throughout the period of use, considering its rights within the defined scope of the contract</w:t>
      </w:r>
      <w:r>
        <w:t>,</w:t>
      </w:r>
      <w:r w:rsidRPr="005A53F0">
        <w:t xml:space="preserve"> and IBAC has the right to direct the use of the identified asset throughout the period of use</w:t>
      </w:r>
    </w:p>
    <w:p w14:paraId="3661B8E3" w14:textId="77777777" w:rsidR="0058789F" w:rsidRPr="005A53F0" w:rsidRDefault="0058789F" w:rsidP="0058789F">
      <w:pPr>
        <w:pStyle w:val="ListBullet"/>
        <w:ind w:left="357" w:hanging="357"/>
      </w:pPr>
      <w:r>
        <w:t>w</w:t>
      </w:r>
      <w:r w:rsidRPr="005A53F0">
        <w:t>hether IBAC has the right to take decisions in respect of ‘how and for what purpose’ the asset is used throughout the period of use.</w:t>
      </w:r>
    </w:p>
    <w:p w14:paraId="5DFEA6B8" w14:textId="77777777" w:rsidR="0058789F" w:rsidRPr="00DA025F" w:rsidRDefault="0058789F" w:rsidP="0058789F">
      <w:pPr>
        <w:pStyle w:val="BodyText"/>
      </w:pPr>
      <w:r w:rsidRPr="00DA025F">
        <w:t>This policy is applied to contracts entered into, or changed, on or after 1 July 2019.</w:t>
      </w:r>
      <w:r>
        <w:t xml:space="preserve"> IBAC operating leases prior to 1 July 2019, were recognised as an operating expenditure and were not recognised in the balance sheet. From 1 July 2019, all leases except short-term and low-value leases are recognised in the balance sheet.</w:t>
      </w:r>
    </w:p>
    <w:p w14:paraId="0D4EBAE9" w14:textId="77777777" w:rsidR="0058789F" w:rsidRPr="005A53F0" w:rsidRDefault="0058789F" w:rsidP="0058789F">
      <w:pPr>
        <w:pStyle w:val="Heading5"/>
      </w:pPr>
      <w:r w:rsidRPr="005A53F0">
        <w:t>Separation of lease and non-lease components</w:t>
      </w:r>
    </w:p>
    <w:p w14:paraId="20653CDC" w14:textId="77777777" w:rsidR="0058789F" w:rsidRPr="00DA025F" w:rsidRDefault="0058789F" w:rsidP="0058789F">
      <w:pPr>
        <w:pStyle w:val="BodyText"/>
      </w:pPr>
      <w:bookmarkStart w:id="189" w:name="_Hlk120024920"/>
      <w:r w:rsidRPr="00DA025F">
        <w:t xml:space="preserve">At inception or on reassessment of a contract that contains a lease component, the lessee is required </w:t>
      </w:r>
      <w:r>
        <w:t xml:space="preserve">to </w:t>
      </w:r>
      <w:r w:rsidRPr="00DA025F">
        <w:t xml:space="preserve">account separately for non-lease components </w:t>
      </w:r>
      <w:bookmarkEnd w:id="189"/>
      <w:r w:rsidRPr="00DA025F">
        <w:t>within a lease contract and exclude these amounts when determining the lease liability and right-of-use asset amount.</w:t>
      </w:r>
    </w:p>
    <w:p w14:paraId="66DC90F2" w14:textId="77777777" w:rsidR="0058789F" w:rsidRPr="00DA025F" w:rsidRDefault="0058789F" w:rsidP="0058789F">
      <w:pPr>
        <w:pStyle w:val="Heading5"/>
      </w:pPr>
      <w:r w:rsidRPr="00DA025F">
        <w:t>Recognition and measurement of lease</w:t>
      </w:r>
      <w:r>
        <w:t xml:space="preserve"> Liability</w:t>
      </w:r>
      <w:r w:rsidRPr="00DA025F">
        <w:t xml:space="preserve"> as a lessee</w:t>
      </w:r>
    </w:p>
    <w:p w14:paraId="36B189A1" w14:textId="77777777" w:rsidR="0058789F" w:rsidRPr="00C742B1" w:rsidRDefault="0058789F" w:rsidP="0058789F">
      <w:pPr>
        <w:pStyle w:val="Heading6"/>
      </w:pPr>
      <w:r w:rsidRPr="00C742B1">
        <w:t>Lease liability – initial measurement</w:t>
      </w:r>
    </w:p>
    <w:p w14:paraId="53F9A6AD" w14:textId="77777777" w:rsidR="0058789F" w:rsidRPr="00DA025F" w:rsidRDefault="0058789F" w:rsidP="0058789F">
      <w:pPr>
        <w:pStyle w:val="BodyText"/>
      </w:pPr>
      <w:r w:rsidRPr="00DA025F">
        <w:t>The lease liability is initially measured at the present value of the lease payments unpaid at the commencement date, discounted using the interest rate implicit in the lease if that rate is readily determinable or IBAC’s incremental borrowing rate.</w:t>
      </w:r>
    </w:p>
    <w:p w14:paraId="2B7C15BD" w14:textId="77777777" w:rsidR="0058789F" w:rsidRPr="00DA025F" w:rsidRDefault="0058789F" w:rsidP="007211D6">
      <w:pPr>
        <w:pStyle w:val="BodyText"/>
      </w:pPr>
      <w:r w:rsidRPr="00DA025F">
        <w:t>Lease payments included in the measurement of the lease liability comprise:</w:t>
      </w:r>
    </w:p>
    <w:p w14:paraId="525AB3CC" w14:textId="77777777" w:rsidR="0058789F" w:rsidRPr="00DA025F" w:rsidRDefault="0058789F" w:rsidP="0058789F">
      <w:pPr>
        <w:pStyle w:val="ListBullet"/>
        <w:ind w:left="357" w:hanging="357"/>
      </w:pPr>
      <w:r w:rsidRPr="00DA025F">
        <w:t>fixed payments (including in-substance fixed payments) less any lease incentive receivable</w:t>
      </w:r>
    </w:p>
    <w:p w14:paraId="7CB08587" w14:textId="5B7AAC01" w:rsidR="0058789F" w:rsidRPr="00DA025F" w:rsidRDefault="0058789F" w:rsidP="0058789F">
      <w:pPr>
        <w:pStyle w:val="ListBullet"/>
        <w:ind w:left="357" w:hanging="357"/>
      </w:pPr>
      <w:r w:rsidRPr="00DA025F">
        <w:t>variable payments based on an index or rate, initially measured using the index or rate at the commencement date</w:t>
      </w:r>
    </w:p>
    <w:p w14:paraId="1AFF85E1" w14:textId="77777777" w:rsidR="0058789F" w:rsidRPr="00DA025F" w:rsidRDefault="0058789F" w:rsidP="0058789F">
      <w:pPr>
        <w:pStyle w:val="ListBullet"/>
        <w:ind w:left="357" w:hanging="357"/>
      </w:pPr>
      <w:r w:rsidRPr="00DA025F">
        <w:t>amounts expected to be payable under a residual value guarantee</w:t>
      </w:r>
    </w:p>
    <w:p w14:paraId="57BFC9B3" w14:textId="77777777" w:rsidR="0058789F" w:rsidRPr="00DA025F" w:rsidRDefault="0058789F" w:rsidP="0058789F">
      <w:pPr>
        <w:pStyle w:val="ListBullet"/>
        <w:ind w:left="357" w:hanging="357"/>
      </w:pPr>
      <w:r w:rsidRPr="00DA025F">
        <w:t>payments arising from purchase and termination options reasonably certain to be exercised.</w:t>
      </w:r>
    </w:p>
    <w:p w14:paraId="73A9C45F" w14:textId="77777777" w:rsidR="0058789F" w:rsidRPr="00C742B1" w:rsidRDefault="0058789F" w:rsidP="0058789F">
      <w:pPr>
        <w:pStyle w:val="Heading6"/>
      </w:pPr>
      <w:r w:rsidRPr="00C742B1">
        <w:t>Lease liability – subsequent measurement</w:t>
      </w:r>
    </w:p>
    <w:p w14:paraId="52DF6360" w14:textId="77777777" w:rsidR="0058789F" w:rsidRPr="005A53F0" w:rsidRDefault="0058789F" w:rsidP="0058789F">
      <w:pPr>
        <w:pStyle w:val="BodyText"/>
      </w:pPr>
      <w:r w:rsidRPr="005A53F0">
        <w:t>Subsequent to initial measurement, the liability will be reduced for payments made and increased for interest. It is remeasured to reflect any reassessment or modification, or if there are changes</w:t>
      </w:r>
      <w:r>
        <w:t xml:space="preserve"> to</w:t>
      </w:r>
      <w:r w:rsidRPr="005A53F0">
        <w:t xml:space="preserve"> in-substance fixed payments.</w:t>
      </w:r>
    </w:p>
    <w:p w14:paraId="5EF4453F" w14:textId="77777777" w:rsidR="0058789F" w:rsidRPr="005A53F0" w:rsidRDefault="0058789F" w:rsidP="0058789F">
      <w:pPr>
        <w:pStyle w:val="BodyText"/>
      </w:pPr>
      <w:r w:rsidRPr="005A53F0">
        <w:t>When the lease liability is remeasured, the corresponding adjustment is reflected in the right-of-use asset, or profit and loss if the right-of-use is reduced to zero.</w:t>
      </w:r>
    </w:p>
    <w:p w14:paraId="5C1166E3" w14:textId="77777777" w:rsidR="0058789F" w:rsidRPr="00C742B1" w:rsidRDefault="0058789F" w:rsidP="0058789F">
      <w:pPr>
        <w:pStyle w:val="Heading6"/>
      </w:pPr>
      <w:r w:rsidRPr="00C742B1">
        <w:t>Presentation of right-of-use assets and lease liabilities</w:t>
      </w:r>
    </w:p>
    <w:p w14:paraId="22A50CFA" w14:textId="77777777" w:rsidR="0058789F" w:rsidRDefault="0058789F" w:rsidP="0058789F">
      <w:pPr>
        <w:pStyle w:val="BodyText"/>
      </w:pPr>
      <w:r w:rsidRPr="005A53F0">
        <w:t xml:space="preserve">IBAC presents right-of-use assets as ‘property plant </w:t>
      </w:r>
      <w:r>
        <w:t xml:space="preserve">and </w:t>
      </w:r>
      <w:r w:rsidRPr="005A53F0">
        <w:t>equipment’ unless they meet the definition of investment property, in which case they are disclosed as ‘investment property’ in the balance sheet. Lease liabilities are presented as ‘borrowings’ in the balance sheet.</w:t>
      </w:r>
    </w:p>
    <w:p w14:paraId="30EF859F" w14:textId="77777777" w:rsidR="0058789F" w:rsidRDefault="0058789F" w:rsidP="006F399C">
      <w:pPr>
        <w:pStyle w:val="NotesHeading2"/>
      </w:pPr>
      <w:bookmarkStart w:id="190" w:name="_Ref82072460"/>
      <w:r>
        <w:t xml:space="preserve">Cash flow </w:t>
      </w:r>
      <w:r w:rsidRPr="006F399C">
        <w:t>information</w:t>
      </w:r>
      <w:r>
        <w:t xml:space="preserve"> and balances</w:t>
      </w:r>
      <w:bookmarkEnd w:id="190"/>
    </w:p>
    <w:p w14:paraId="6FE60471" w14:textId="77777777" w:rsidR="0058789F" w:rsidRPr="001541AB" w:rsidRDefault="0058789F" w:rsidP="001541AB">
      <w:pPr>
        <w:pStyle w:val="BodyText"/>
      </w:pPr>
      <w:r w:rsidRPr="001541AB">
        <w:t xml:space="preserve">Cash and cash equivalents comprise cash on hand and cash at bank.  </w:t>
      </w:r>
    </w:p>
    <w:tbl>
      <w:tblPr>
        <w:tblStyle w:val="CustomTabledetailed"/>
        <w:tblW w:w="5000" w:type="pct"/>
        <w:tblLook w:val="0660" w:firstRow="1" w:lastRow="1" w:firstColumn="0" w:lastColumn="0" w:noHBand="1" w:noVBand="1"/>
      </w:tblPr>
      <w:tblGrid>
        <w:gridCol w:w="4419"/>
        <w:gridCol w:w="2304"/>
        <w:gridCol w:w="2304"/>
      </w:tblGrid>
      <w:tr w:rsidR="0058789F" w:rsidRPr="0013040F" w14:paraId="767A9154"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448" w:type="pct"/>
            <w:noWrap/>
            <w:hideMark/>
          </w:tcPr>
          <w:p w14:paraId="66456187" w14:textId="77777777" w:rsidR="0058789F" w:rsidRPr="0013040F" w:rsidRDefault="0058789F" w:rsidP="00AD1066">
            <w:pPr>
              <w:pStyle w:val="TableBodyText"/>
            </w:pPr>
            <w:r>
              <w:t xml:space="preserve">  </w:t>
            </w:r>
          </w:p>
        </w:tc>
        <w:tc>
          <w:tcPr>
            <w:tcW w:w="1276" w:type="pct"/>
            <w:noWrap/>
            <w:hideMark/>
          </w:tcPr>
          <w:p w14:paraId="0EBB6943" w14:textId="77777777" w:rsidR="0058789F" w:rsidRDefault="0058789F" w:rsidP="00AD1066">
            <w:pPr>
              <w:pStyle w:val="TableHeading3rightalign"/>
            </w:pPr>
            <w:r>
              <w:t>2023</w:t>
            </w:r>
          </w:p>
          <w:p w14:paraId="46C1F46C" w14:textId="77777777" w:rsidR="0058789F" w:rsidRPr="0013040F" w:rsidRDefault="0058789F" w:rsidP="00AD1066">
            <w:pPr>
              <w:pStyle w:val="TableHeading3rightalign"/>
            </w:pPr>
            <w:r>
              <w:t>($’000)</w:t>
            </w:r>
          </w:p>
        </w:tc>
        <w:tc>
          <w:tcPr>
            <w:tcW w:w="1276" w:type="pct"/>
            <w:noWrap/>
            <w:hideMark/>
          </w:tcPr>
          <w:p w14:paraId="19CABF35" w14:textId="77777777" w:rsidR="0058789F" w:rsidRDefault="0058789F" w:rsidP="00AD1066">
            <w:pPr>
              <w:pStyle w:val="TableHeading3rightalign"/>
            </w:pPr>
            <w:r>
              <w:t>2022</w:t>
            </w:r>
          </w:p>
          <w:p w14:paraId="12162448" w14:textId="77777777" w:rsidR="0058789F" w:rsidRPr="0013040F" w:rsidRDefault="0058789F" w:rsidP="00AD1066">
            <w:pPr>
              <w:pStyle w:val="TableHeading3rightalign"/>
            </w:pPr>
            <w:r>
              <w:t>($’000)</w:t>
            </w:r>
          </w:p>
        </w:tc>
      </w:tr>
      <w:tr w:rsidR="0058789F" w:rsidRPr="0013040F" w14:paraId="7259D7A7" w14:textId="77777777" w:rsidTr="00AD1066">
        <w:trPr>
          <w:trHeight w:val="255"/>
        </w:trPr>
        <w:tc>
          <w:tcPr>
            <w:tcW w:w="5000" w:type="pct"/>
            <w:gridSpan w:val="3"/>
            <w:noWrap/>
            <w:hideMark/>
          </w:tcPr>
          <w:p w14:paraId="5726460A" w14:textId="77777777" w:rsidR="0058789F" w:rsidRPr="0013040F" w:rsidRDefault="0058789F" w:rsidP="00AD1066">
            <w:pPr>
              <w:pStyle w:val="TableBodyTextsmall"/>
            </w:pPr>
          </w:p>
        </w:tc>
      </w:tr>
      <w:tr w:rsidR="0058789F" w:rsidRPr="0013040F" w14:paraId="12C742D7" w14:textId="77777777" w:rsidTr="00AD1066">
        <w:trPr>
          <w:trHeight w:val="255"/>
        </w:trPr>
        <w:tc>
          <w:tcPr>
            <w:tcW w:w="2448" w:type="pct"/>
            <w:noWrap/>
            <w:hideMark/>
          </w:tcPr>
          <w:p w14:paraId="7BB322B1" w14:textId="77777777" w:rsidR="0058789F" w:rsidRPr="0013040F" w:rsidRDefault="0058789F" w:rsidP="00AD1066">
            <w:pPr>
              <w:pStyle w:val="TableBodyText"/>
            </w:pPr>
            <w:r w:rsidRPr="009A37E5">
              <w:t>Cash and cash equivalents</w:t>
            </w:r>
          </w:p>
        </w:tc>
        <w:tc>
          <w:tcPr>
            <w:tcW w:w="1276" w:type="pct"/>
            <w:shd w:val="clear" w:color="auto" w:fill="F2F2F2" w:themeFill="background1" w:themeFillShade="F2"/>
            <w:noWrap/>
          </w:tcPr>
          <w:p w14:paraId="2246D86A" w14:textId="77777777" w:rsidR="0058789F" w:rsidRPr="0013040F" w:rsidRDefault="0058789F" w:rsidP="00AD1066">
            <w:pPr>
              <w:pStyle w:val="TableBodyTextrightalign"/>
            </w:pPr>
            <w:r>
              <w:t>316</w:t>
            </w:r>
          </w:p>
        </w:tc>
        <w:tc>
          <w:tcPr>
            <w:tcW w:w="1276" w:type="pct"/>
            <w:noWrap/>
            <w:hideMark/>
          </w:tcPr>
          <w:p w14:paraId="12E91495" w14:textId="77777777" w:rsidR="0058789F" w:rsidRPr="0013040F" w:rsidRDefault="0058789F" w:rsidP="00AD1066">
            <w:pPr>
              <w:pStyle w:val="TableBodyTextrightalign"/>
            </w:pPr>
            <w:r>
              <w:t>48</w:t>
            </w:r>
          </w:p>
        </w:tc>
      </w:tr>
      <w:tr w:rsidR="0058789F" w:rsidRPr="0013040F" w14:paraId="65D20288"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2448" w:type="pct"/>
            <w:noWrap/>
            <w:hideMark/>
          </w:tcPr>
          <w:p w14:paraId="015BFA1E" w14:textId="77777777" w:rsidR="0058789F" w:rsidRPr="0013040F" w:rsidRDefault="0058789F" w:rsidP="00AD1066">
            <w:pPr>
              <w:pStyle w:val="TableBodyText"/>
            </w:pPr>
            <w:r w:rsidRPr="0013040F">
              <w:t>Balance as per cash flow statement</w:t>
            </w:r>
          </w:p>
        </w:tc>
        <w:tc>
          <w:tcPr>
            <w:tcW w:w="1276" w:type="pct"/>
            <w:shd w:val="clear" w:color="auto" w:fill="F2F2F2" w:themeFill="background1" w:themeFillShade="F2"/>
            <w:noWrap/>
          </w:tcPr>
          <w:p w14:paraId="4096F35E" w14:textId="77777777" w:rsidR="0058789F" w:rsidRPr="0013040F" w:rsidRDefault="0058789F" w:rsidP="00AD1066">
            <w:pPr>
              <w:pStyle w:val="TableBodyTextrightalign"/>
            </w:pPr>
            <w:r>
              <w:t>316</w:t>
            </w:r>
          </w:p>
        </w:tc>
        <w:tc>
          <w:tcPr>
            <w:tcW w:w="1276" w:type="pct"/>
            <w:noWrap/>
            <w:hideMark/>
          </w:tcPr>
          <w:p w14:paraId="7A0325E7" w14:textId="77777777" w:rsidR="0058789F" w:rsidRPr="0013040F" w:rsidRDefault="0058789F" w:rsidP="00AD1066">
            <w:pPr>
              <w:pStyle w:val="TableBodyTextrightalign"/>
            </w:pPr>
            <w:r>
              <w:t>48</w:t>
            </w:r>
          </w:p>
        </w:tc>
      </w:tr>
    </w:tbl>
    <w:p w14:paraId="44B7FFBC" w14:textId="77777777" w:rsidR="0058789F" w:rsidRDefault="0058789F" w:rsidP="0058789F">
      <w:pPr>
        <w:pStyle w:val="TableNote"/>
      </w:pPr>
    </w:p>
    <w:p w14:paraId="2BFFFAA3" w14:textId="77777777" w:rsidR="00823D3C" w:rsidRPr="007211D6" w:rsidRDefault="00823D3C" w:rsidP="007211D6">
      <w:bookmarkStart w:id="191" w:name="_Ref83996354"/>
      <w:r>
        <w:br w:type="page"/>
      </w:r>
    </w:p>
    <w:p w14:paraId="61DAB174" w14:textId="134A7F3D" w:rsidR="0058789F" w:rsidRDefault="0058789F" w:rsidP="006F399C">
      <w:pPr>
        <w:pStyle w:val="Caption"/>
      </w:pPr>
      <w:r w:rsidRPr="00C742B1">
        <w:t xml:space="preserve">Reconciliation of </w:t>
      </w:r>
      <w:r w:rsidRPr="006F399C">
        <w:t>net</w:t>
      </w:r>
      <w:r w:rsidRPr="00C742B1">
        <w:t xml:space="preserve"> results for the period to cash flow from operating activities</w:t>
      </w:r>
      <w:bookmarkEnd w:id="191"/>
    </w:p>
    <w:tbl>
      <w:tblPr>
        <w:tblStyle w:val="CustomTabledetailed"/>
        <w:tblW w:w="5000" w:type="pct"/>
        <w:tblLook w:val="0660" w:firstRow="1" w:lastRow="1" w:firstColumn="0" w:lastColumn="0" w:noHBand="1" w:noVBand="1"/>
      </w:tblPr>
      <w:tblGrid>
        <w:gridCol w:w="4395"/>
        <w:gridCol w:w="2316"/>
        <w:gridCol w:w="323"/>
        <w:gridCol w:w="1993"/>
      </w:tblGrid>
      <w:tr w:rsidR="0058789F" w:rsidRPr="004C14E5" w14:paraId="04C84DD0"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434" w:type="pct"/>
            <w:noWrap/>
            <w:hideMark/>
          </w:tcPr>
          <w:p w14:paraId="1DD68709" w14:textId="77777777" w:rsidR="0058789F" w:rsidRPr="004C14E5" w:rsidRDefault="0058789F" w:rsidP="00AD1066">
            <w:pPr>
              <w:pStyle w:val="TableBodyText"/>
            </w:pPr>
          </w:p>
        </w:tc>
        <w:tc>
          <w:tcPr>
            <w:tcW w:w="1283" w:type="pct"/>
            <w:noWrap/>
            <w:hideMark/>
          </w:tcPr>
          <w:p w14:paraId="4A071A38" w14:textId="77777777" w:rsidR="0058789F" w:rsidRDefault="0058789F" w:rsidP="00AD1066">
            <w:pPr>
              <w:pStyle w:val="TableHeading3rightalign"/>
            </w:pPr>
            <w:r>
              <w:t>2023</w:t>
            </w:r>
          </w:p>
          <w:p w14:paraId="0D85A7CB" w14:textId="77777777" w:rsidR="0058789F" w:rsidRPr="004C14E5" w:rsidRDefault="0058789F" w:rsidP="00AD1066">
            <w:pPr>
              <w:pStyle w:val="TableHeading3rightalign"/>
            </w:pPr>
            <w:r>
              <w:t>($’000)</w:t>
            </w:r>
          </w:p>
        </w:tc>
        <w:tc>
          <w:tcPr>
            <w:tcW w:w="1283" w:type="pct"/>
            <w:gridSpan w:val="2"/>
            <w:noWrap/>
            <w:hideMark/>
          </w:tcPr>
          <w:p w14:paraId="5B82DB3B" w14:textId="77777777" w:rsidR="0058789F" w:rsidRDefault="0058789F" w:rsidP="00AD1066">
            <w:pPr>
              <w:pStyle w:val="TableHeading3rightalign"/>
            </w:pPr>
            <w:r>
              <w:t>2022</w:t>
            </w:r>
          </w:p>
          <w:p w14:paraId="46214106" w14:textId="77777777" w:rsidR="0058789F" w:rsidRPr="004C14E5" w:rsidRDefault="0058789F" w:rsidP="00AD1066">
            <w:pPr>
              <w:pStyle w:val="TableHeading3rightalign"/>
            </w:pPr>
            <w:r>
              <w:t>($’000)</w:t>
            </w:r>
          </w:p>
        </w:tc>
      </w:tr>
      <w:tr w:rsidR="0058789F" w:rsidRPr="004C14E5" w14:paraId="11B74F00" w14:textId="77777777" w:rsidTr="00AD1066">
        <w:trPr>
          <w:trHeight w:val="255"/>
        </w:trPr>
        <w:tc>
          <w:tcPr>
            <w:tcW w:w="5000" w:type="pct"/>
            <w:gridSpan w:val="4"/>
            <w:tcBorders>
              <w:bottom w:val="dotted" w:sz="4" w:space="0" w:color="auto"/>
            </w:tcBorders>
            <w:noWrap/>
            <w:hideMark/>
          </w:tcPr>
          <w:p w14:paraId="135DD4BF" w14:textId="77777777" w:rsidR="0058789F" w:rsidRPr="004C14E5" w:rsidRDefault="0058789F" w:rsidP="00AD1066">
            <w:pPr>
              <w:pStyle w:val="TableBodyTextsmall"/>
            </w:pPr>
          </w:p>
        </w:tc>
      </w:tr>
      <w:tr w:rsidR="0058789F" w:rsidRPr="004C14E5" w14:paraId="251CCE75" w14:textId="77777777" w:rsidTr="00AD1066">
        <w:trPr>
          <w:trHeight w:val="255"/>
        </w:trPr>
        <w:tc>
          <w:tcPr>
            <w:tcW w:w="2434" w:type="pct"/>
            <w:tcBorders>
              <w:top w:val="dotted" w:sz="4" w:space="0" w:color="auto"/>
              <w:bottom w:val="single" w:sz="4" w:space="0" w:color="auto"/>
            </w:tcBorders>
            <w:noWrap/>
            <w:hideMark/>
          </w:tcPr>
          <w:p w14:paraId="405E5B89" w14:textId="77777777" w:rsidR="0058789F" w:rsidRPr="006C4A7D" w:rsidRDefault="0058789F" w:rsidP="00AD1066">
            <w:pPr>
              <w:pStyle w:val="TableBodyText"/>
              <w:rPr>
                <w:rStyle w:val="Characterbold"/>
              </w:rPr>
            </w:pPr>
            <w:r w:rsidRPr="006C4A7D">
              <w:rPr>
                <w:rStyle w:val="Characterbold"/>
              </w:rPr>
              <w:t>Net result for the period</w:t>
            </w:r>
          </w:p>
        </w:tc>
        <w:tc>
          <w:tcPr>
            <w:tcW w:w="1283" w:type="pct"/>
            <w:tcBorders>
              <w:top w:val="dotted" w:sz="4" w:space="0" w:color="auto"/>
              <w:bottom w:val="single" w:sz="4" w:space="0" w:color="auto"/>
            </w:tcBorders>
            <w:shd w:val="clear" w:color="auto" w:fill="F2F2F2" w:themeFill="background1" w:themeFillShade="F2"/>
            <w:noWrap/>
          </w:tcPr>
          <w:p w14:paraId="7EEA7ADF" w14:textId="77777777" w:rsidR="0058789F" w:rsidRPr="007E78B5" w:rsidRDefault="0058789F" w:rsidP="007E78B5">
            <w:pPr>
              <w:pStyle w:val="TableBodyTextrightalign"/>
              <w:rPr>
                <w:rStyle w:val="Characterbold"/>
              </w:rPr>
            </w:pPr>
            <w:r w:rsidRPr="007E78B5">
              <w:rPr>
                <w:rStyle w:val="Characterbold"/>
              </w:rPr>
              <w:t>(176)</w:t>
            </w:r>
          </w:p>
        </w:tc>
        <w:tc>
          <w:tcPr>
            <w:tcW w:w="1283" w:type="pct"/>
            <w:gridSpan w:val="2"/>
            <w:tcBorders>
              <w:top w:val="dotted" w:sz="4" w:space="0" w:color="auto"/>
              <w:bottom w:val="single" w:sz="4" w:space="0" w:color="auto"/>
            </w:tcBorders>
            <w:noWrap/>
            <w:hideMark/>
          </w:tcPr>
          <w:p w14:paraId="0478B0A1" w14:textId="77777777" w:rsidR="0058789F" w:rsidRPr="006C4A7D" w:rsidRDefault="0058789F" w:rsidP="00AD1066">
            <w:pPr>
              <w:pStyle w:val="TableBodyTextrightalign"/>
              <w:rPr>
                <w:rStyle w:val="Characterbold"/>
              </w:rPr>
            </w:pPr>
            <w:r>
              <w:rPr>
                <w:rStyle w:val="Characterbold"/>
              </w:rPr>
              <w:t>(3,086)</w:t>
            </w:r>
          </w:p>
        </w:tc>
      </w:tr>
      <w:tr w:rsidR="0058789F" w:rsidRPr="004C14E5" w14:paraId="41FE7403" w14:textId="77777777" w:rsidTr="00AD1066">
        <w:trPr>
          <w:trHeight w:val="255"/>
        </w:trPr>
        <w:tc>
          <w:tcPr>
            <w:tcW w:w="2434" w:type="pct"/>
            <w:tcBorders>
              <w:top w:val="single" w:sz="4" w:space="0" w:color="auto"/>
            </w:tcBorders>
            <w:noWrap/>
            <w:hideMark/>
          </w:tcPr>
          <w:p w14:paraId="5D291A4C" w14:textId="77777777" w:rsidR="0058789F" w:rsidRPr="004C14E5" w:rsidRDefault="0058789F" w:rsidP="00AD1066">
            <w:pPr>
              <w:pStyle w:val="TableHeading1"/>
            </w:pPr>
            <w:r w:rsidRPr="004C14E5">
              <w:t>Non-cash movements</w:t>
            </w:r>
          </w:p>
        </w:tc>
        <w:tc>
          <w:tcPr>
            <w:tcW w:w="1462" w:type="pct"/>
            <w:gridSpan w:val="2"/>
            <w:tcBorders>
              <w:top w:val="single" w:sz="4" w:space="0" w:color="auto"/>
            </w:tcBorders>
            <w:noWrap/>
          </w:tcPr>
          <w:p w14:paraId="0CE2AD81" w14:textId="77777777" w:rsidR="0058789F" w:rsidRPr="004C14E5" w:rsidRDefault="0058789F" w:rsidP="00AD1066">
            <w:pPr>
              <w:pStyle w:val="TableBodyTextrightalign"/>
            </w:pPr>
          </w:p>
        </w:tc>
        <w:tc>
          <w:tcPr>
            <w:tcW w:w="1104" w:type="pct"/>
            <w:tcBorders>
              <w:top w:val="single" w:sz="4" w:space="0" w:color="auto"/>
            </w:tcBorders>
            <w:noWrap/>
            <w:hideMark/>
          </w:tcPr>
          <w:p w14:paraId="6F26E3CF" w14:textId="77777777" w:rsidR="0058789F" w:rsidRPr="004C14E5" w:rsidRDefault="0058789F" w:rsidP="00AD1066">
            <w:pPr>
              <w:pStyle w:val="TableBodyTextrightalign"/>
            </w:pPr>
          </w:p>
        </w:tc>
      </w:tr>
      <w:tr w:rsidR="0058789F" w:rsidRPr="004C14E5" w14:paraId="6A7366A9" w14:textId="77777777" w:rsidTr="00AD1066">
        <w:trPr>
          <w:trHeight w:val="255"/>
        </w:trPr>
        <w:tc>
          <w:tcPr>
            <w:tcW w:w="2434" w:type="pct"/>
            <w:noWrap/>
            <w:hideMark/>
          </w:tcPr>
          <w:p w14:paraId="59B55BA6" w14:textId="77777777" w:rsidR="0058789F" w:rsidRPr="004C14E5" w:rsidRDefault="0058789F" w:rsidP="00AD1066">
            <w:pPr>
              <w:pStyle w:val="TableBodyText"/>
            </w:pPr>
            <w:r w:rsidRPr="004C14E5">
              <w:t>Depreciation of non-current assets</w:t>
            </w:r>
          </w:p>
        </w:tc>
        <w:tc>
          <w:tcPr>
            <w:tcW w:w="1462" w:type="pct"/>
            <w:gridSpan w:val="2"/>
            <w:shd w:val="clear" w:color="auto" w:fill="F2F2F2" w:themeFill="background1" w:themeFillShade="F2"/>
            <w:noWrap/>
          </w:tcPr>
          <w:p w14:paraId="1D89D0DD" w14:textId="77777777" w:rsidR="0058789F" w:rsidRPr="004C14E5" w:rsidRDefault="0058789F" w:rsidP="00AD1066">
            <w:pPr>
              <w:pStyle w:val="TableBodyTextrightalign"/>
            </w:pPr>
            <w:r>
              <w:t>5,087</w:t>
            </w:r>
          </w:p>
        </w:tc>
        <w:tc>
          <w:tcPr>
            <w:tcW w:w="1104" w:type="pct"/>
            <w:noWrap/>
            <w:hideMark/>
          </w:tcPr>
          <w:p w14:paraId="4B1E74CB" w14:textId="77777777" w:rsidR="0058789F" w:rsidRPr="004C14E5" w:rsidRDefault="0058789F" w:rsidP="00AD1066">
            <w:pPr>
              <w:pStyle w:val="TableBodyTextrightalign"/>
            </w:pPr>
            <w:r>
              <w:t>5,286</w:t>
            </w:r>
          </w:p>
        </w:tc>
      </w:tr>
      <w:tr w:rsidR="0058789F" w:rsidRPr="004C14E5" w14:paraId="03480CC6" w14:textId="77777777" w:rsidTr="00AD1066">
        <w:trPr>
          <w:trHeight w:val="255"/>
        </w:trPr>
        <w:tc>
          <w:tcPr>
            <w:tcW w:w="2434" w:type="pct"/>
            <w:noWrap/>
            <w:hideMark/>
          </w:tcPr>
          <w:p w14:paraId="68365635" w14:textId="77777777" w:rsidR="0058789F" w:rsidRPr="004C14E5" w:rsidRDefault="0058789F" w:rsidP="00AD1066">
            <w:pPr>
              <w:pStyle w:val="TableBodyText"/>
            </w:pPr>
            <w:r w:rsidRPr="004C14E5">
              <w:t>Other non-cash movements</w:t>
            </w:r>
          </w:p>
        </w:tc>
        <w:tc>
          <w:tcPr>
            <w:tcW w:w="1462" w:type="pct"/>
            <w:gridSpan w:val="2"/>
            <w:shd w:val="clear" w:color="auto" w:fill="F2F2F2" w:themeFill="background1" w:themeFillShade="F2"/>
            <w:noWrap/>
          </w:tcPr>
          <w:p w14:paraId="07960FEA" w14:textId="77777777" w:rsidR="0058789F" w:rsidRPr="004C14E5" w:rsidRDefault="0058789F" w:rsidP="00AD1066">
            <w:pPr>
              <w:pStyle w:val="TableBodyTextrightalign"/>
            </w:pPr>
            <w:r>
              <w:t>(298)</w:t>
            </w:r>
          </w:p>
        </w:tc>
        <w:tc>
          <w:tcPr>
            <w:tcW w:w="1104" w:type="pct"/>
            <w:noWrap/>
            <w:hideMark/>
          </w:tcPr>
          <w:p w14:paraId="22ED43A0" w14:textId="77777777" w:rsidR="0058789F" w:rsidRPr="004C14E5" w:rsidRDefault="0058789F" w:rsidP="00AD1066">
            <w:pPr>
              <w:pStyle w:val="TableBodyTextrightalign"/>
            </w:pPr>
            <w:r>
              <w:t>(308)</w:t>
            </w:r>
          </w:p>
        </w:tc>
      </w:tr>
      <w:tr w:rsidR="0058789F" w:rsidRPr="004C14E5" w14:paraId="79A6F1DF" w14:textId="77777777" w:rsidTr="00AD1066">
        <w:trPr>
          <w:trHeight w:val="255"/>
        </w:trPr>
        <w:tc>
          <w:tcPr>
            <w:tcW w:w="5000" w:type="pct"/>
            <w:gridSpan w:val="4"/>
            <w:hideMark/>
          </w:tcPr>
          <w:p w14:paraId="7E1EAB84" w14:textId="77777777" w:rsidR="0058789F" w:rsidRPr="004C14E5" w:rsidRDefault="0058789F" w:rsidP="00AD1066">
            <w:pPr>
              <w:pStyle w:val="TableHeading1"/>
            </w:pPr>
            <w:r w:rsidRPr="004C14E5">
              <w:t>Movements in assets and liabilities</w:t>
            </w:r>
          </w:p>
        </w:tc>
      </w:tr>
      <w:tr w:rsidR="0058789F" w:rsidRPr="004C14E5" w14:paraId="6B875476" w14:textId="77777777" w:rsidTr="00AD1066">
        <w:trPr>
          <w:trHeight w:val="255"/>
        </w:trPr>
        <w:tc>
          <w:tcPr>
            <w:tcW w:w="2434" w:type="pct"/>
            <w:noWrap/>
            <w:hideMark/>
          </w:tcPr>
          <w:p w14:paraId="1499DFCA" w14:textId="77777777" w:rsidR="0058789F" w:rsidRPr="004C14E5" w:rsidRDefault="0058789F" w:rsidP="00AD1066">
            <w:pPr>
              <w:pStyle w:val="TableBodyText"/>
            </w:pPr>
            <w:r w:rsidRPr="004C14E5">
              <w:t>Decrease/(Increase) in receivables</w:t>
            </w:r>
          </w:p>
        </w:tc>
        <w:tc>
          <w:tcPr>
            <w:tcW w:w="1462" w:type="pct"/>
            <w:gridSpan w:val="2"/>
            <w:shd w:val="clear" w:color="auto" w:fill="F2F2F2" w:themeFill="background1" w:themeFillShade="F2"/>
            <w:noWrap/>
          </w:tcPr>
          <w:p w14:paraId="6E2B11E3" w14:textId="77777777" w:rsidR="0058789F" w:rsidRPr="004C14E5" w:rsidRDefault="0058789F" w:rsidP="00AD1066">
            <w:pPr>
              <w:pStyle w:val="TableBodyTextrightalign"/>
            </w:pPr>
            <w:r>
              <w:t>(139)</w:t>
            </w:r>
          </w:p>
        </w:tc>
        <w:tc>
          <w:tcPr>
            <w:tcW w:w="1104" w:type="pct"/>
            <w:noWrap/>
            <w:hideMark/>
          </w:tcPr>
          <w:p w14:paraId="055A1293" w14:textId="77777777" w:rsidR="0058789F" w:rsidRPr="004C14E5" w:rsidRDefault="0058789F" w:rsidP="00AD1066">
            <w:pPr>
              <w:pStyle w:val="TableBodyTextrightalign"/>
            </w:pPr>
            <w:r>
              <w:t>1,388</w:t>
            </w:r>
          </w:p>
        </w:tc>
      </w:tr>
      <w:tr w:rsidR="0058789F" w:rsidRPr="004C14E5" w14:paraId="3A55E1ED" w14:textId="77777777" w:rsidTr="00AD1066">
        <w:trPr>
          <w:trHeight w:val="255"/>
        </w:trPr>
        <w:tc>
          <w:tcPr>
            <w:tcW w:w="2434" w:type="pct"/>
            <w:noWrap/>
            <w:hideMark/>
          </w:tcPr>
          <w:p w14:paraId="41C02283" w14:textId="77777777" w:rsidR="0058789F" w:rsidRPr="004C14E5" w:rsidRDefault="0058789F" w:rsidP="00AD1066">
            <w:pPr>
              <w:pStyle w:val="TableBodyText"/>
            </w:pPr>
            <w:r w:rsidRPr="004C14E5">
              <w:t>Decrease/(Increase) in other non-financial assets</w:t>
            </w:r>
          </w:p>
        </w:tc>
        <w:tc>
          <w:tcPr>
            <w:tcW w:w="1462" w:type="pct"/>
            <w:gridSpan w:val="2"/>
            <w:shd w:val="clear" w:color="auto" w:fill="F2F2F2" w:themeFill="background1" w:themeFillShade="F2"/>
            <w:noWrap/>
          </w:tcPr>
          <w:p w14:paraId="02F8C7F2" w14:textId="77777777" w:rsidR="0058789F" w:rsidRPr="004C14E5" w:rsidRDefault="0058789F" w:rsidP="00AD1066">
            <w:pPr>
              <w:pStyle w:val="TableBodyTextrightalign"/>
            </w:pPr>
            <w:r>
              <w:t>(376)</w:t>
            </w:r>
          </w:p>
        </w:tc>
        <w:tc>
          <w:tcPr>
            <w:tcW w:w="1104" w:type="pct"/>
            <w:noWrap/>
            <w:hideMark/>
          </w:tcPr>
          <w:p w14:paraId="1D1B45EA" w14:textId="77777777" w:rsidR="0058789F" w:rsidRPr="004C14E5" w:rsidRDefault="0058789F" w:rsidP="00AD1066">
            <w:pPr>
              <w:pStyle w:val="TableBodyTextrightalign"/>
            </w:pPr>
            <w:r>
              <w:t>(304)</w:t>
            </w:r>
          </w:p>
        </w:tc>
      </w:tr>
      <w:tr w:rsidR="0058789F" w:rsidRPr="004C14E5" w14:paraId="179C5270" w14:textId="77777777" w:rsidTr="00AD1066">
        <w:trPr>
          <w:trHeight w:val="255"/>
        </w:trPr>
        <w:tc>
          <w:tcPr>
            <w:tcW w:w="2434" w:type="pct"/>
            <w:noWrap/>
            <w:hideMark/>
          </w:tcPr>
          <w:p w14:paraId="0BC90942" w14:textId="77777777" w:rsidR="0058789F" w:rsidRPr="004C14E5" w:rsidRDefault="0058789F" w:rsidP="00AD1066">
            <w:pPr>
              <w:pStyle w:val="TableBodyText"/>
            </w:pPr>
            <w:r w:rsidRPr="004C14E5">
              <w:t>(Decrease)/Increase in payables</w:t>
            </w:r>
          </w:p>
        </w:tc>
        <w:tc>
          <w:tcPr>
            <w:tcW w:w="1462" w:type="pct"/>
            <w:gridSpan w:val="2"/>
            <w:shd w:val="clear" w:color="auto" w:fill="F2F2F2" w:themeFill="background1" w:themeFillShade="F2"/>
            <w:noWrap/>
          </w:tcPr>
          <w:p w14:paraId="3A74D962" w14:textId="77777777" w:rsidR="0058789F" w:rsidRPr="004C14E5" w:rsidRDefault="0058789F" w:rsidP="00AD1066">
            <w:pPr>
              <w:pStyle w:val="TableBodyTextrightalign"/>
            </w:pPr>
            <w:r>
              <w:t>(971)</w:t>
            </w:r>
          </w:p>
        </w:tc>
        <w:tc>
          <w:tcPr>
            <w:tcW w:w="1104" w:type="pct"/>
            <w:noWrap/>
            <w:hideMark/>
          </w:tcPr>
          <w:p w14:paraId="2FC4451E" w14:textId="77777777" w:rsidR="0058789F" w:rsidRPr="004C14E5" w:rsidRDefault="0058789F" w:rsidP="00AD1066">
            <w:pPr>
              <w:pStyle w:val="TableBodyTextrightalign"/>
            </w:pPr>
            <w:r>
              <w:t>694</w:t>
            </w:r>
          </w:p>
        </w:tc>
      </w:tr>
      <w:tr w:rsidR="0058789F" w:rsidRPr="004C14E5" w14:paraId="164C0952" w14:textId="77777777" w:rsidTr="00AD1066">
        <w:trPr>
          <w:trHeight w:val="255"/>
        </w:trPr>
        <w:tc>
          <w:tcPr>
            <w:tcW w:w="2434" w:type="pct"/>
            <w:tcBorders>
              <w:bottom w:val="dotted" w:sz="4" w:space="0" w:color="auto"/>
            </w:tcBorders>
            <w:noWrap/>
            <w:hideMark/>
          </w:tcPr>
          <w:p w14:paraId="6313518D" w14:textId="77777777" w:rsidR="0058789F" w:rsidRPr="004C14E5" w:rsidRDefault="0058789F" w:rsidP="00AD1066">
            <w:pPr>
              <w:pStyle w:val="TableBodyText"/>
            </w:pPr>
            <w:r w:rsidRPr="004C14E5">
              <w:t>(Decrease)/Increase in provisions</w:t>
            </w:r>
          </w:p>
        </w:tc>
        <w:tc>
          <w:tcPr>
            <w:tcW w:w="1462" w:type="pct"/>
            <w:gridSpan w:val="2"/>
            <w:tcBorders>
              <w:bottom w:val="dotted" w:sz="4" w:space="0" w:color="auto"/>
            </w:tcBorders>
            <w:shd w:val="clear" w:color="auto" w:fill="F2F2F2" w:themeFill="background1" w:themeFillShade="F2"/>
            <w:noWrap/>
          </w:tcPr>
          <w:p w14:paraId="772C7745" w14:textId="77777777" w:rsidR="0058789F" w:rsidRPr="004C14E5" w:rsidRDefault="0058789F" w:rsidP="00AD1066">
            <w:pPr>
              <w:pStyle w:val="TableBodyTextrightalign"/>
            </w:pPr>
            <w:r>
              <w:t>724</w:t>
            </w:r>
          </w:p>
        </w:tc>
        <w:tc>
          <w:tcPr>
            <w:tcW w:w="1104" w:type="pct"/>
            <w:tcBorders>
              <w:bottom w:val="dotted" w:sz="4" w:space="0" w:color="auto"/>
            </w:tcBorders>
            <w:noWrap/>
            <w:hideMark/>
          </w:tcPr>
          <w:p w14:paraId="7FE8853A" w14:textId="77777777" w:rsidR="0058789F" w:rsidRPr="004C14E5" w:rsidRDefault="0058789F" w:rsidP="00AD1066">
            <w:pPr>
              <w:pStyle w:val="TableBodyTextrightalign"/>
            </w:pPr>
            <w:r>
              <w:t>686</w:t>
            </w:r>
          </w:p>
        </w:tc>
      </w:tr>
      <w:tr w:rsidR="0058789F" w:rsidRPr="004C14E5" w14:paraId="5767B8BC"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2434" w:type="pct"/>
            <w:tcBorders>
              <w:top w:val="dotted" w:sz="4" w:space="0" w:color="auto"/>
            </w:tcBorders>
            <w:noWrap/>
            <w:hideMark/>
          </w:tcPr>
          <w:p w14:paraId="7E0E3D04" w14:textId="77777777" w:rsidR="0058789F" w:rsidRPr="004C14E5" w:rsidRDefault="0058789F" w:rsidP="00AD1066">
            <w:pPr>
              <w:pStyle w:val="TableBodyText"/>
            </w:pPr>
            <w:r w:rsidRPr="004C14E5">
              <w:t>Net cash flows from operating activities</w:t>
            </w:r>
          </w:p>
        </w:tc>
        <w:tc>
          <w:tcPr>
            <w:tcW w:w="1462" w:type="pct"/>
            <w:gridSpan w:val="2"/>
            <w:tcBorders>
              <w:top w:val="dotted" w:sz="4" w:space="0" w:color="auto"/>
            </w:tcBorders>
            <w:shd w:val="clear" w:color="auto" w:fill="F2F2F2" w:themeFill="background1" w:themeFillShade="F2"/>
            <w:noWrap/>
          </w:tcPr>
          <w:p w14:paraId="0347C56F" w14:textId="77777777" w:rsidR="0058789F" w:rsidRPr="004C14E5" w:rsidRDefault="0058789F" w:rsidP="00AD1066">
            <w:pPr>
              <w:pStyle w:val="TableBodyTextrightalign"/>
            </w:pPr>
            <w:r>
              <w:t>3,851</w:t>
            </w:r>
          </w:p>
        </w:tc>
        <w:tc>
          <w:tcPr>
            <w:tcW w:w="1104" w:type="pct"/>
            <w:tcBorders>
              <w:top w:val="dotted" w:sz="4" w:space="0" w:color="auto"/>
            </w:tcBorders>
            <w:noWrap/>
            <w:hideMark/>
          </w:tcPr>
          <w:p w14:paraId="736DD3EA" w14:textId="77777777" w:rsidR="0058789F" w:rsidRPr="004C14E5" w:rsidRDefault="0058789F" w:rsidP="00AD1066">
            <w:pPr>
              <w:pStyle w:val="TableBodyTextrightalign"/>
            </w:pPr>
            <w:r>
              <w:t>4,355</w:t>
            </w:r>
          </w:p>
        </w:tc>
      </w:tr>
    </w:tbl>
    <w:p w14:paraId="0EF04AAE" w14:textId="77777777" w:rsidR="0058789F" w:rsidRDefault="0058789F" w:rsidP="006F399C">
      <w:pPr>
        <w:pStyle w:val="NotesHeading2"/>
      </w:pPr>
      <w:r w:rsidRPr="006F399C">
        <w:t>Commitments</w:t>
      </w:r>
      <w:r w:rsidRPr="00347212">
        <w:t xml:space="preserve"> for expenditure</w:t>
      </w:r>
    </w:p>
    <w:p w14:paraId="0F15CED2" w14:textId="505FF39E" w:rsidR="0058789F" w:rsidRPr="006F399C" w:rsidRDefault="0058789F" w:rsidP="006F399C">
      <w:pPr>
        <w:pStyle w:val="BodyText"/>
      </w:pPr>
      <w:r w:rsidRPr="00347212">
        <w:t>Commitments for future expenditure include operating and capital commitments arising from contracts. These commitments are disclosed at their nominal value and exclusive of the GST payable. These future expenditures cease to be disclosed as commitments once the related liabilities are recognised in the balance sheet.</w:t>
      </w:r>
    </w:p>
    <w:p w14:paraId="52AC18FE" w14:textId="77777777" w:rsidR="0058789F" w:rsidRPr="00817A43" w:rsidRDefault="0058789F" w:rsidP="006F399C">
      <w:pPr>
        <w:pStyle w:val="Caption"/>
      </w:pPr>
      <w:r w:rsidRPr="00817A43">
        <w:t>Total commitments payable</w:t>
      </w:r>
    </w:p>
    <w:tbl>
      <w:tblPr>
        <w:tblStyle w:val="CustomTabledetailed"/>
        <w:tblW w:w="5000" w:type="pct"/>
        <w:tblLook w:val="0660" w:firstRow="1" w:lastRow="1" w:firstColumn="0" w:lastColumn="0" w:noHBand="1" w:noVBand="1"/>
      </w:tblPr>
      <w:tblGrid>
        <w:gridCol w:w="3774"/>
        <w:gridCol w:w="1342"/>
        <w:gridCol w:w="1341"/>
        <w:gridCol w:w="1341"/>
        <w:gridCol w:w="1229"/>
      </w:tblGrid>
      <w:tr w:rsidR="0058789F" w:rsidRPr="00AE706D" w14:paraId="73D11B09" w14:textId="77777777" w:rsidTr="00AD1066">
        <w:trPr>
          <w:cnfStyle w:val="100000000000" w:firstRow="1" w:lastRow="0" w:firstColumn="0" w:lastColumn="0" w:oddVBand="0" w:evenVBand="0" w:oddHBand="0" w:evenHBand="0" w:firstRowFirstColumn="0" w:firstRowLastColumn="0" w:lastRowFirstColumn="0" w:lastRowLastColumn="0"/>
          <w:trHeight w:val="525"/>
        </w:trPr>
        <w:tc>
          <w:tcPr>
            <w:tcW w:w="2090" w:type="pct"/>
            <w:noWrap/>
            <w:hideMark/>
          </w:tcPr>
          <w:p w14:paraId="2F47A5C9" w14:textId="77777777" w:rsidR="0058789F" w:rsidRPr="00AE706D" w:rsidRDefault="0058789F" w:rsidP="00AD1066">
            <w:pPr>
              <w:pStyle w:val="TableBodyText"/>
            </w:pPr>
          </w:p>
        </w:tc>
        <w:tc>
          <w:tcPr>
            <w:tcW w:w="743" w:type="pct"/>
            <w:hideMark/>
          </w:tcPr>
          <w:p w14:paraId="6AAFDDDE" w14:textId="77777777" w:rsidR="0058789F" w:rsidRPr="00AE706D" w:rsidRDefault="0058789F" w:rsidP="00AD1066">
            <w:pPr>
              <w:pStyle w:val="TableHeading3rightalign"/>
            </w:pPr>
            <w:r w:rsidRPr="00AE706D">
              <w:t>Less than 1 year</w:t>
            </w:r>
          </w:p>
          <w:p w14:paraId="77DF8348" w14:textId="77777777" w:rsidR="0058789F" w:rsidRPr="00AE706D" w:rsidRDefault="0058789F" w:rsidP="00AD1066">
            <w:pPr>
              <w:pStyle w:val="TableHeading3rightalign"/>
            </w:pPr>
            <w:r w:rsidRPr="00AE706D">
              <w:t>($’000)</w:t>
            </w:r>
          </w:p>
        </w:tc>
        <w:tc>
          <w:tcPr>
            <w:tcW w:w="743" w:type="pct"/>
            <w:hideMark/>
          </w:tcPr>
          <w:p w14:paraId="54BC681A" w14:textId="77777777" w:rsidR="0058789F" w:rsidRPr="00AE706D" w:rsidRDefault="0058789F" w:rsidP="00AD1066">
            <w:pPr>
              <w:pStyle w:val="TableHeading3rightalign"/>
            </w:pPr>
            <w:r w:rsidRPr="00AE706D">
              <w:t>1–</w:t>
            </w:r>
            <w:r>
              <w:t>5</w:t>
            </w:r>
            <w:r w:rsidRPr="00AE706D">
              <w:t xml:space="preserve"> years</w:t>
            </w:r>
          </w:p>
          <w:p w14:paraId="5AF28C87" w14:textId="77777777" w:rsidR="0058789F" w:rsidRPr="00AE706D" w:rsidRDefault="0058789F" w:rsidP="00AD1066">
            <w:pPr>
              <w:pStyle w:val="TableHeading3rightalign"/>
            </w:pPr>
            <w:r w:rsidRPr="00AE706D">
              <w:t>($’000)</w:t>
            </w:r>
          </w:p>
        </w:tc>
        <w:tc>
          <w:tcPr>
            <w:tcW w:w="743" w:type="pct"/>
            <w:hideMark/>
          </w:tcPr>
          <w:p w14:paraId="26060424" w14:textId="77777777" w:rsidR="0058789F" w:rsidRPr="00AE706D" w:rsidRDefault="0058789F" w:rsidP="00AD1066">
            <w:pPr>
              <w:pStyle w:val="TableHeading3rightalign"/>
            </w:pPr>
            <w:r w:rsidRPr="00AE706D">
              <w:t>More than 5 years</w:t>
            </w:r>
          </w:p>
          <w:p w14:paraId="4FD99E89" w14:textId="77777777" w:rsidR="0058789F" w:rsidRPr="00AE706D" w:rsidRDefault="0058789F" w:rsidP="00AD1066">
            <w:pPr>
              <w:pStyle w:val="TableHeading3rightalign"/>
            </w:pPr>
            <w:r w:rsidRPr="00AE706D">
              <w:t>($’000)</w:t>
            </w:r>
          </w:p>
        </w:tc>
        <w:tc>
          <w:tcPr>
            <w:tcW w:w="681" w:type="pct"/>
            <w:hideMark/>
          </w:tcPr>
          <w:p w14:paraId="6AA3D638" w14:textId="77777777" w:rsidR="0058789F" w:rsidRDefault="0058789F" w:rsidP="00AD1066">
            <w:pPr>
              <w:pStyle w:val="TableHeading3rightalign"/>
            </w:pPr>
            <w:r w:rsidRPr="00AE706D">
              <w:t>Total</w:t>
            </w:r>
          </w:p>
          <w:p w14:paraId="2A5E0420" w14:textId="77777777" w:rsidR="0058789F" w:rsidRPr="00AE706D" w:rsidRDefault="0058789F" w:rsidP="00AD1066">
            <w:pPr>
              <w:pStyle w:val="TableHeading3rightalign"/>
            </w:pPr>
            <w:r>
              <w:t>($‘000)</w:t>
            </w:r>
          </w:p>
        </w:tc>
      </w:tr>
      <w:tr w:rsidR="0058789F" w:rsidRPr="00AE706D" w14:paraId="035E1617" w14:textId="77777777" w:rsidTr="00AD1066">
        <w:trPr>
          <w:trHeight w:val="300"/>
        </w:trPr>
        <w:tc>
          <w:tcPr>
            <w:tcW w:w="5000" w:type="pct"/>
            <w:gridSpan w:val="5"/>
            <w:shd w:val="clear" w:color="auto" w:fill="auto"/>
            <w:noWrap/>
          </w:tcPr>
          <w:p w14:paraId="38071930" w14:textId="77777777" w:rsidR="0058789F" w:rsidRPr="00AE706D" w:rsidRDefault="0058789F" w:rsidP="00AD1066">
            <w:pPr>
              <w:pStyle w:val="TableBodyTextsmall"/>
            </w:pPr>
          </w:p>
        </w:tc>
      </w:tr>
      <w:tr w:rsidR="0058789F" w:rsidRPr="00AE706D" w14:paraId="5B210E7D" w14:textId="77777777" w:rsidTr="00AD1066">
        <w:trPr>
          <w:trHeight w:val="300"/>
        </w:trPr>
        <w:tc>
          <w:tcPr>
            <w:tcW w:w="5000" w:type="pct"/>
            <w:gridSpan w:val="5"/>
            <w:shd w:val="clear" w:color="auto" w:fill="D9D9D9" w:themeFill="background1" w:themeFillShade="D9"/>
            <w:noWrap/>
            <w:hideMark/>
          </w:tcPr>
          <w:p w14:paraId="4B82270E" w14:textId="77777777" w:rsidR="0058789F" w:rsidRPr="00AE706D" w:rsidRDefault="0058789F" w:rsidP="00AD1066">
            <w:pPr>
              <w:pStyle w:val="TableHeading1"/>
            </w:pPr>
            <w:r w:rsidRPr="00AE706D">
              <w:t>202</w:t>
            </w:r>
            <w:r>
              <w:t>3</w:t>
            </w:r>
          </w:p>
        </w:tc>
      </w:tr>
      <w:tr w:rsidR="0058789F" w:rsidRPr="00AE706D" w14:paraId="0E16CF7C" w14:textId="77777777" w:rsidTr="00AD1066">
        <w:trPr>
          <w:trHeight w:val="300"/>
        </w:trPr>
        <w:tc>
          <w:tcPr>
            <w:tcW w:w="5000" w:type="pct"/>
            <w:gridSpan w:val="5"/>
            <w:noWrap/>
            <w:hideMark/>
          </w:tcPr>
          <w:p w14:paraId="1E35B96A" w14:textId="77777777" w:rsidR="0058789F" w:rsidRPr="00AE706D" w:rsidRDefault="0058789F" w:rsidP="00AD1066">
            <w:pPr>
              <w:pStyle w:val="TableHeading1"/>
            </w:pPr>
            <w:r w:rsidRPr="00AE706D">
              <w:t>Capital expenditure commitments</w:t>
            </w:r>
          </w:p>
        </w:tc>
      </w:tr>
      <w:tr w:rsidR="0058789F" w:rsidRPr="00AE706D" w14:paraId="2EC2A420" w14:textId="77777777" w:rsidTr="00AD1066">
        <w:trPr>
          <w:trHeight w:val="300"/>
        </w:trPr>
        <w:tc>
          <w:tcPr>
            <w:tcW w:w="2090" w:type="pct"/>
            <w:tcBorders>
              <w:bottom w:val="dotted" w:sz="4" w:space="0" w:color="auto"/>
            </w:tcBorders>
            <w:noWrap/>
            <w:hideMark/>
          </w:tcPr>
          <w:p w14:paraId="1C226F76" w14:textId="77777777" w:rsidR="0058789F" w:rsidRPr="00AE706D" w:rsidRDefault="0058789F" w:rsidP="00AD1066">
            <w:pPr>
              <w:pStyle w:val="TableBodyText"/>
            </w:pPr>
            <w:r>
              <w:t xml:space="preserve">IT systems and hardware </w:t>
            </w:r>
          </w:p>
        </w:tc>
        <w:tc>
          <w:tcPr>
            <w:tcW w:w="743" w:type="pct"/>
            <w:tcBorders>
              <w:bottom w:val="dotted" w:sz="4" w:space="0" w:color="auto"/>
            </w:tcBorders>
            <w:shd w:val="clear" w:color="auto" w:fill="F2F2F2" w:themeFill="background1" w:themeFillShade="F2"/>
            <w:noWrap/>
          </w:tcPr>
          <w:p w14:paraId="701ACA2C" w14:textId="77777777" w:rsidR="0058789F" w:rsidRPr="00AE706D" w:rsidRDefault="0058789F" w:rsidP="00AD1066">
            <w:pPr>
              <w:pStyle w:val="TableBodyTextrightalign"/>
            </w:pPr>
            <w:r>
              <w:t>512</w:t>
            </w:r>
          </w:p>
        </w:tc>
        <w:tc>
          <w:tcPr>
            <w:tcW w:w="743" w:type="pct"/>
            <w:tcBorders>
              <w:bottom w:val="dotted" w:sz="4" w:space="0" w:color="auto"/>
            </w:tcBorders>
            <w:shd w:val="clear" w:color="auto" w:fill="F2F2F2" w:themeFill="background1" w:themeFillShade="F2"/>
            <w:noWrap/>
          </w:tcPr>
          <w:p w14:paraId="4ECADEB0" w14:textId="77777777" w:rsidR="0058789F" w:rsidRPr="00AE706D" w:rsidRDefault="0058789F" w:rsidP="00AD1066">
            <w:pPr>
              <w:pStyle w:val="TableBodyTextrightalign"/>
            </w:pPr>
            <w:r w:rsidRPr="00B85461">
              <w:t>–</w:t>
            </w:r>
            <w:r>
              <w:t xml:space="preserve"> </w:t>
            </w:r>
          </w:p>
        </w:tc>
        <w:tc>
          <w:tcPr>
            <w:tcW w:w="743" w:type="pct"/>
            <w:tcBorders>
              <w:bottom w:val="dotted" w:sz="4" w:space="0" w:color="auto"/>
            </w:tcBorders>
            <w:shd w:val="clear" w:color="auto" w:fill="F2F2F2" w:themeFill="background1" w:themeFillShade="F2"/>
            <w:noWrap/>
          </w:tcPr>
          <w:p w14:paraId="57CDE492" w14:textId="77777777" w:rsidR="0058789F" w:rsidRPr="00AE706D" w:rsidRDefault="0058789F" w:rsidP="00AD1066">
            <w:pPr>
              <w:pStyle w:val="TableBodyTextrightalign"/>
            </w:pPr>
            <w:r w:rsidRPr="00B85461">
              <w:t>–</w:t>
            </w:r>
          </w:p>
        </w:tc>
        <w:tc>
          <w:tcPr>
            <w:tcW w:w="681" w:type="pct"/>
            <w:tcBorders>
              <w:bottom w:val="dotted" w:sz="4" w:space="0" w:color="auto"/>
            </w:tcBorders>
            <w:shd w:val="clear" w:color="auto" w:fill="F2F2F2" w:themeFill="background1" w:themeFillShade="F2"/>
            <w:noWrap/>
          </w:tcPr>
          <w:p w14:paraId="10C69EB1" w14:textId="77777777" w:rsidR="0058789F" w:rsidRPr="00AE706D" w:rsidRDefault="0058789F" w:rsidP="00AD1066">
            <w:pPr>
              <w:pStyle w:val="TableBodyTextrightalign"/>
            </w:pPr>
            <w:r>
              <w:t>512</w:t>
            </w:r>
          </w:p>
        </w:tc>
      </w:tr>
      <w:tr w:rsidR="0058789F" w:rsidRPr="00631AE7" w14:paraId="5B092BD7" w14:textId="77777777" w:rsidTr="00AD1066">
        <w:trPr>
          <w:trHeight w:val="300"/>
        </w:trPr>
        <w:tc>
          <w:tcPr>
            <w:tcW w:w="2090" w:type="pct"/>
            <w:tcBorders>
              <w:top w:val="dotted" w:sz="4" w:space="0" w:color="auto"/>
              <w:bottom w:val="single" w:sz="4" w:space="0" w:color="auto"/>
            </w:tcBorders>
            <w:noWrap/>
            <w:hideMark/>
          </w:tcPr>
          <w:p w14:paraId="7C1F1F76" w14:textId="77777777" w:rsidR="0058789F" w:rsidRPr="00631AE7" w:rsidRDefault="0058789F" w:rsidP="00AD1066">
            <w:pPr>
              <w:pStyle w:val="TableBodyText"/>
              <w:rPr>
                <w:rStyle w:val="Characterbold"/>
              </w:rPr>
            </w:pPr>
            <w:r w:rsidRPr="00631AE7">
              <w:rPr>
                <w:rStyle w:val="Characterbold"/>
              </w:rPr>
              <w:t>Total capital expenditure commitments</w:t>
            </w:r>
          </w:p>
        </w:tc>
        <w:tc>
          <w:tcPr>
            <w:tcW w:w="743" w:type="pct"/>
            <w:tcBorders>
              <w:top w:val="dotted" w:sz="4" w:space="0" w:color="auto"/>
              <w:bottom w:val="single" w:sz="4" w:space="0" w:color="auto"/>
            </w:tcBorders>
            <w:shd w:val="clear" w:color="auto" w:fill="F2F2F2" w:themeFill="background1" w:themeFillShade="F2"/>
            <w:noWrap/>
          </w:tcPr>
          <w:p w14:paraId="5106E8C7" w14:textId="77777777" w:rsidR="0058789F" w:rsidRPr="007E78B5" w:rsidRDefault="0058789F" w:rsidP="007E78B5">
            <w:pPr>
              <w:pStyle w:val="TableBodyTextrightalign"/>
              <w:rPr>
                <w:rStyle w:val="Characterbold"/>
              </w:rPr>
            </w:pPr>
            <w:r w:rsidRPr="007E78B5">
              <w:rPr>
                <w:rStyle w:val="Characterbold"/>
              </w:rPr>
              <w:t>512</w:t>
            </w:r>
          </w:p>
        </w:tc>
        <w:tc>
          <w:tcPr>
            <w:tcW w:w="743" w:type="pct"/>
            <w:tcBorders>
              <w:top w:val="dotted" w:sz="4" w:space="0" w:color="auto"/>
              <w:bottom w:val="single" w:sz="4" w:space="0" w:color="auto"/>
            </w:tcBorders>
            <w:shd w:val="clear" w:color="auto" w:fill="F2F2F2" w:themeFill="background1" w:themeFillShade="F2"/>
            <w:noWrap/>
          </w:tcPr>
          <w:p w14:paraId="111CFE53" w14:textId="77777777" w:rsidR="0058789F" w:rsidRPr="007E78B5" w:rsidRDefault="0058789F" w:rsidP="007E78B5">
            <w:pPr>
              <w:pStyle w:val="TableBodyTextrightalign"/>
              <w:rPr>
                <w:rStyle w:val="Characterbold"/>
              </w:rPr>
            </w:pPr>
            <w:r w:rsidRPr="007E78B5">
              <w:rPr>
                <w:rStyle w:val="Characterbold"/>
              </w:rPr>
              <w:t>–</w:t>
            </w:r>
          </w:p>
        </w:tc>
        <w:tc>
          <w:tcPr>
            <w:tcW w:w="743" w:type="pct"/>
            <w:tcBorders>
              <w:top w:val="dotted" w:sz="4" w:space="0" w:color="auto"/>
              <w:bottom w:val="single" w:sz="4" w:space="0" w:color="auto"/>
            </w:tcBorders>
            <w:shd w:val="clear" w:color="auto" w:fill="F2F2F2" w:themeFill="background1" w:themeFillShade="F2"/>
            <w:noWrap/>
          </w:tcPr>
          <w:p w14:paraId="20557C70" w14:textId="77777777" w:rsidR="0058789F" w:rsidRPr="007E78B5" w:rsidRDefault="0058789F" w:rsidP="007E78B5">
            <w:pPr>
              <w:pStyle w:val="TableBodyTextrightalign"/>
              <w:rPr>
                <w:rStyle w:val="Characterbold"/>
              </w:rPr>
            </w:pPr>
            <w:r w:rsidRPr="007E78B5">
              <w:rPr>
                <w:rStyle w:val="Characterbold"/>
              </w:rPr>
              <w:t>–</w:t>
            </w:r>
          </w:p>
        </w:tc>
        <w:tc>
          <w:tcPr>
            <w:tcW w:w="681" w:type="pct"/>
            <w:tcBorders>
              <w:top w:val="dotted" w:sz="4" w:space="0" w:color="auto"/>
              <w:bottom w:val="single" w:sz="4" w:space="0" w:color="auto"/>
            </w:tcBorders>
            <w:shd w:val="clear" w:color="auto" w:fill="F2F2F2" w:themeFill="background1" w:themeFillShade="F2"/>
            <w:noWrap/>
          </w:tcPr>
          <w:p w14:paraId="0A9396B4" w14:textId="77777777" w:rsidR="0058789F" w:rsidRPr="007E78B5" w:rsidRDefault="0058789F" w:rsidP="007E78B5">
            <w:pPr>
              <w:pStyle w:val="TableBodyTextrightalign"/>
              <w:rPr>
                <w:rStyle w:val="Characterbold"/>
              </w:rPr>
            </w:pPr>
            <w:r w:rsidRPr="007E78B5">
              <w:rPr>
                <w:rStyle w:val="Characterbold"/>
              </w:rPr>
              <w:t>512</w:t>
            </w:r>
          </w:p>
        </w:tc>
      </w:tr>
      <w:tr w:rsidR="0058789F" w:rsidRPr="00AE706D" w14:paraId="7FE27BC1" w14:textId="77777777" w:rsidTr="00AD1066">
        <w:trPr>
          <w:trHeight w:val="300"/>
        </w:trPr>
        <w:tc>
          <w:tcPr>
            <w:tcW w:w="5000" w:type="pct"/>
            <w:gridSpan w:val="5"/>
            <w:tcBorders>
              <w:top w:val="single" w:sz="4" w:space="0" w:color="auto"/>
            </w:tcBorders>
            <w:noWrap/>
            <w:hideMark/>
          </w:tcPr>
          <w:p w14:paraId="09E3B6A5" w14:textId="77777777" w:rsidR="0058789F" w:rsidRPr="00AE706D" w:rsidRDefault="0058789F" w:rsidP="00AD1066">
            <w:pPr>
              <w:pStyle w:val="TableHeading1"/>
            </w:pPr>
            <w:r w:rsidRPr="00AE706D">
              <w:t>Other commitments</w:t>
            </w:r>
          </w:p>
        </w:tc>
      </w:tr>
      <w:tr w:rsidR="0058789F" w:rsidRPr="00AE706D" w14:paraId="77808CC7" w14:textId="77777777" w:rsidTr="00AD1066">
        <w:trPr>
          <w:trHeight w:val="300"/>
        </w:trPr>
        <w:tc>
          <w:tcPr>
            <w:tcW w:w="2090" w:type="pct"/>
            <w:noWrap/>
            <w:hideMark/>
          </w:tcPr>
          <w:p w14:paraId="2EB29493" w14:textId="77777777" w:rsidR="0058789F" w:rsidRPr="00AE706D" w:rsidRDefault="0058789F" w:rsidP="00AD1066">
            <w:pPr>
              <w:pStyle w:val="TableBodyText"/>
            </w:pPr>
            <w:r w:rsidRPr="00AE706D">
              <w:t>Other contractual</w:t>
            </w:r>
          </w:p>
        </w:tc>
        <w:tc>
          <w:tcPr>
            <w:tcW w:w="743" w:type="pct"/>
            <w:shd w:val="clear" w:color="auto" w:fill="F2F2F2" w:themeFill="background1" w:themeFillShade="F2"/>
            <w:noWrap/>
          </w:tcPr>
          <w:p w14:paraId="13FA8FD1" w14:textId="77777777" w:rsidR="0058789F" w:rsidRPr="00AE706D" w:rsidRDefault="0058789F" w:rsidP="00AD1066">
            <w:pPr>
              <w:pStyle w:val="TableBodyTextrightalign"/>
            </w:pPr>
            <w:r>
              <w:t>2,258</w:t>
            </w:r>
          </w:p>
        </w:tc>
        <w:tc>
          <w:tcPr>
            <w:tcW w:w="743" w:type="pct"/>
            <w:shd w:val="clear" w:color="auto" w:fill="F2F2F2" w:themeFill="background1" w:themeFillShade="F2"/>
            <w:noWrap/>
          </w:tcPr>
          <w:p w14:paraId="0E6BF230" w14:textId="77777777" w:rsidR="0058789F" w:rsidRPr="00AE706D" w:rsidRDefault="0058789F" w:rsidP="00AD1066">
            <w:pPr>
              <w:pStyle w:val="TableBodyTextrightalign"/>
            </w:pPr>
            <w:r>
              <w:t>2,963</w:t>
            </w:r>
          </w:p>
        </w:tc>
        <w:tc>
          <w:tcPr>
            <w:tcW w:w="743" w:type="pct"/>
            <w:shd w:val="clear" w:color="auto" w:fill="F2F2F2" w:themeFill="background1" w:themeFillShade="F2"/>
            <w:noWrap/>
          </w:tcPr>
          <w:p w14:paraId="5E36C3D3" w14:textId="77777777" w:rsidR="0058789F" w:rsidRPr="00AE706D" w:rsidRDefault="0058789F" w:rsidP="00AD1066">
            <w:pPr>
              <w:pStyle w:val="TableBodyTextrightalign"/>
            </w:pPr>
            <w:r w:rsidRPr="00B85461">
              <w:t>–</w:t>
            </w:r>
          </w:p>
        </w:tc>
        <w:tc>
          <w:tcPr>
            <w:tcW w:w="681" w:type="pct"/>
            <w:shd w:val="clear" w:color="auto" w:fill="F2F2F2" w:themeFill="background1" w:themeFillShade="F2"/>
            <w:noWrap/>
          </w:tcPr>
          <w:p w14:paraId="76034BD1" w14:textId="77777777" w:rsidR="0058789F" w:rsidRPr="00AE706D" w:rsidRDefault="0058789F" w:rsidP="00AD1066">
            <w:pPr>
              <w:pStyle w:val="TableBodyTextrightalign"/>
            </w:pPr>
            <w:r>
              <w:t>5,221</w:t>
            </w:r>
          </w:p>
        </w:tc>
      </w:tr>
      <w:tr w:rsidR="0058789F" w:rsidRPr="008403F7" w14:paraId="6BC775A7" w14:textId="77777777" w:rsidTr="00AD1066">
        <w:trPr>
          <w:trHeight w:val="300"/>
        </w:trPr>
        <w:tc>
          <w:tcPr>
            <w:tcW w:w="2090" w:type="pct"/>
            <w:tcBorders>
              <w:bottom w:val="single" w:sz="4" w:space="0" w:color="auto"/>
            </w:tcBorders>
            <w:noWrap/>
            <w:hideMark/>
          </w:tcPr>
          <w:p w14:paraId="19A5B83D" w14:textId="77777777" w:rsidR="0058789F" w:rsidRPr="008403F7" w:rsidRDefault="0058789F" w:rsidP="00AD1066">
            <w:pPr>
              <w:pStyle w:val="TableBodyText"/>
              <w:rPr>
                <w:rStyle w:val="Characterbold"/>
              </w:rPr>
            </w:pPr>
            <w:r w:rsidRPr="008403F7">
              <w:rPr>
                <w:rStyle w:val="Characterbold"/>
              </w:rPr>
              <w:t>Total other commitments</w:t>
            </w:r>
          </w:p>
        </w:tc>
        <w:tc>
          <w:tcPr>
            <w:tcW w:w="743" w:type="pct"/>
            <w:tcBorders>
              <w:bottom w:val="single" w:sz="4" w:space="0" w:color="auto"/>
            </w:tcBorders>
            <w:shd w:val="clear" w:color="auto" w:fill="F2F2F2" w:themeFill="background1" w:themeFillShade="F2"/>
            <w:noWrap/>
          </w:tcPr>
          <w:p w14:paraId="0599BF13" w14:textId="77777777" w:rsidR="0058789F" w:rsidRPr="007E78B5" w:rsidRDefault="0058789F" w:rsidP="007E78B5">
            <w:pPr>
              <w:pStyle w:val="TableBodyTextrightalign"/>
              <w:rPr>
                <w:rStyle w:val="Characterbold"/>
              </w:rPr>
            </w:pPr>
            <w:r w:rsidRPr="007E78B5">
              <w:rPr>
                <w:rStyle w:val="Characterbold"/>
              </w:rPr>
              <w:t>2,258</w:t>
            </w:r>
          </w:p>
        </w:tc>
        <w:tc>
          <w:tcPr>
            <w:tcW w:w="743" w:type="pct"/>
            <w:tcBorders>
              <w:bottom w:val="single" w:sz="4" w:space="0" w:color="auto"/>
            </w:tcBorders>
            <w:shd w:val="clear" w:color="auto" w:fill="F2F2F2" w:themeFill="background1" w:themeFillShade="F2"/>
            <w:noWrap/>
          </w:tcPr>
          <w:p w14:paraId="7643F73E" w14:textId="77777777" w:rsidR="0058789F" w:rsidRPr="007E78B5" w:rsidRDefault="0058789F" w:rsidP="007E78B5">
            <w:pPr>
              <w:pStyle w:val="TableBodyTextrightalign"/>
              <w:rPr>
                <w:rStyle w:val="Characterbold"/>
              </w:rPr>
            </w:pPr>
            <w:r w:rsidRPr="007E78B5">
              <w:rPr>
                <w:rStyle w:val="Characterbold"/>
              </w:rPr>
              <w:t>2,963</w:t>
            </w:r>
          </w:p>
        </w:tc>
        <w:tc>
          <w:tcPr>
            <w:tcW w:w="743" w:type="pct"/>
            <w:tcBorders>
              <w:bottom w:val="single" w:sz="4" w:space="0" w:color="auto"/>
            </w:tcBorders>
            <w:shd w:val="clear" w:color="auto" w:fill="F2F2F2" w:themeFill="background1" w:themeFillShade="F2"/>
            <w:noWrap/>
          </w:tcPr>
          <w:p w14:paraId="28710055" w14:textId="77777777" w:rsidR="0058789F" w:rsidRPr="007E78B5" w:rsidRDefault="0058789F" w:rsidP="007E78B5">
            <w:pPr>
              <w:pStyle w:val="TableBodyTextrightalign"/>
              <w:rPr>
                <w:rStyle w:val="Characterbold"/>
              </w:rPr>
            </w:pPr>
            <w:r w:rsidRPr="007E78B5">
              <w:rPr>
                <w:rStyle w:val="Characterbold"/>
              </w:rPr>
              <w:t>–</w:t>
            </w:r>
          </w:p>
        </w:tc>
        <w:tc>
          <w:tcPr>
            <w:tcW w:w="681" w:type="pct"/>
            <w:tcBorders>
              <w:bottom w:val="single" w:sz="4" w:space="0" w:color="auto"/>
            </w:tcBorders>
            <w:shd w:val="clear" w:color="auto" w:fill="F2F2F2" w:themeFill="background1" w:themeFillShade="F2"/>
            <w:noWrap/>
          </w:tcPr>
          <w:p w14:paraId="12268BA2" w14:textId="77777777" w:rsidR="0058789F" w:rsidRPr="007E78B5" w:rsidRDefault="0058789F" w:rsidP="007E78B5">
            <w:pPr>
              <w:pStyle w:val="TableBodyTextrightalign"/>
              <w:rPr>
                <w:rStyle w:val="Characterbold"/>
              </w:rPr>
            </w:pPr>
            <w:r w:rsidRPr="007E78B5">
              <w:rPr>
                <w:rStyle w:val="Characterbold"/>
              </w:rPr>
              <w:t>5,221</w:t>
            </w:r>
          </w:p>
        </w:tc>
      </w:tr>
      <w:tr w:rsidR="0058789F" w:rsidRPr="008403F7" w14:paraId="352E3140" w14:textId="77777777" w:rsidTr="00AD1066">
        <w:trPr>
          <w:trHeight w:val="300"/>
        </w:trPr>
        <w:tc>
          <w:tcPr>
            <w:tcW w:w="2090" w:type="pct"/>
            <w:tcBorders>
              <w:top w:val="single" w:sz="4" w:space="0" w:color="auto"/>
              <w:bottom w:val="single" w:sz="4" w:space="0" w:color="auto"/>
            </w:tcBorders>
            <w:noWrap/>
            <w:hideMark/>
          </w:tcPr>
          <w:p w14:paraId="5DF98386" w14:textId="77777777" w:rsidR="0058789F" w:rsidRPr="008403F7" w:rsidRDefault="0058789F" w:rsidP="00AD1066">
            <w:pPr>
              <w:pStyle w:val="TableBodyText"/>
              <w:rPr>
                <w:rStyle w:val="Characterbold"/>
              </w:rPr>
            </w:pPr>
            <w:r w:rsidRPr="008403F7">
              <w:rPr>
                <w:rStyle w:val="Characterbold"/>
              </w:rPr>
              <w:t>Total commitments</w:t>
            </w:r>
          </w:p>
        </w:tc>
        <w:tc>
          <w:tcPr>
            <w:tcW w:w="743" w:type="pct"/>
            <w:tcBorders>
              <w:top w:val="single" w:sz="4" w:space="0" w:color="auto"/>
              <w:bottom w:val="single" w:sz="4" w:space="0" w:color="auto"/>
            </w:tcBorders>
            <w:shd w:val="clear" w:color="auto" w:fill="F2F2F2" w:themeFill="background1" w:themeFillShade="F2"/>
            <w:noWrap/>
          </w:tcPr>
          <w:p w14:paraId="48378F42" w14:textId="77777777" w:rsidR="0058789F" w:rsidRPr="00B162F0" w:rsidRDefault="0058789F" w:rsidP="00AD1066">
            <w:pPr>
              <w:pStyle w:val="TableBodyTextrightalign"/>
              <w:rPr>
                <w:rStyle w:val="Characterbold"/>
              </w:rPr>
            </w:pPr>
            <w:r w:rsidRPr="00B162F0">
              <w:rPr>
                <w:rStyle w:val="Characterbold"/>
              </w:rPr>
              <w:t>2</w:t>
            </w:r>
            <w:r w:rsidRPr="00817A43">
              <w:rPr>
                <w:rStyle w:val="Characterbold"/>
              </w:rPr>
              <w:t>,771</w:t>
            </w:r>
          </w:p>
        </w:tc>
        <w:tc>
          <w:tcPr>
            <w:tcW w:w="743" w:type="pct"/>
            <w:tcBorders>
              <w:top w:val="single" w:sz="4" w:space="0" w:color="auto"/>
              <w:bottom w:val="single" w:sz="4" w:space="0" w:color="auto"/>
            </w:tcBorders>
            <w:shd w:val="clear" w:color="auto" w:fill="F2F2F2" w:themeFill="background1" w:themeFillShade="F2"/>
            <w:noWrap/>
          </w:tcPr>
          <w:p w14:paraId="167FC02E" w14:textId="77777777" w:rsidR="0058789F" w:rsidRPr="007E78B5" w:rsidRDefault="0058789F" w:rsidP="007E78B5">
            <w:pPr>
              <w:pStyle w:val="TableBodyTextrightalign"/>
              <w:rPr>
                <w:rStyle w:val="Characterbold"/>
              </w:rPr>
            </w:pPr>
            <w:r w:rsidRPr="007E78B5">
              <w:rPr>
                <w:rStyle w:val="Characterbold"/>
              </w:rPr>
              <w:t>2,963</w:t>
            </w:r>
          </w:p>
        </w:tc>
        <w:tc>
          <w:tcPr>
            <w:tcW w:w="743" w:type="pct"/>
            <w:tcBorders>
              <w:top w:val="single" w:sz="4" w:space="0" w:color="auto"/>
              <w:bottom w:val="single" w:sz="4" w:space="0" w:color="auto"/>
            </w:tcBorders>
            <w:shd w:val="clear" w:color="auto" w:fill="F2F2F2" w:themeFill="background1" w:themeFillShade="F2"/>
            <w:noWrap/>
          </w:tcPr>
          <w:p w14:paraId="3DFC5916" w14:textId="77777777" w:rsidR="0058789F" w:rsidRPr="00ED79A2" w:rsidRDefault="0058789F" w:rsidP="00ED79A2">
            <w:pPr>
              <w:pStyle w:val="TableBodyText"/>
            </w:pPr>
            <w:r w:rsidRPr="00ED79A2">
              <w:t>–</w:t>
            </w:r>
          </w:p>
        </w:tc>
        <w:tc>
          <w:tcPr>
            <w:tcW w:w="681" w:type="pct"/>
            <w:tcBorders>
              <w:top w:val="single" w:sz="4" w:space="0" w:color="auto"/>
              <w:bottom w:val="single" w:sz="4" w:space="0" w:color="auto"/>
            </w:tcBorders>
            <w:shd w:val="clear" w:color="auto" w:fill="F2F2F2" w:themeFill="background1" w:themeFillShade="F2"/>
            <w:noWrap/>
          </w:tcPr>
          <w:p w14:paraId="14F2798F" w14:textId="77777777" w:rsidR="0058789F" w:rsidRPr="007E78B5" w:rsidRDefault="0058789F" w:rsidP="007E78B5">
            <w:pPr>
              <w:pStyle w:val="TableBodyTextrightalign"/>
              <w:rPr>
                <w:rStyle w:val="Characterbold"/>
              </w:rPr>
            </w:pPr>
            <w:r w:rsidRPr="007E78B5">
              <w:rPr>
                <w:rStyle w:val="Characterbold"/>
              </w:rPr>
              <w:t>5,733</w:t>
            </w:r>
          </w:p>
        </w:tc>
      </w:tr>
      <w:tr w:rsidR="0058789F" w:rsidRPr="00AE706D" w14:paraId="305DB651" w14:textId="77777777" w:rsidTr="00AD1066">
        <w:trPr>
          <w:trHeight w:val="46"/>
        </w:trPr>
        <w:tc>
          <w:tcPr>
            <w:tcW w:w="5000" w:type="pct"/>
            <w:gridSpan w:val="5"/>
            <w:tcBorders>
              <w:top w:val="single" w:sz="4" w:space="0" w:color="auto"/>
            </w:tcBorders>
            <w:noWrap/>
          </w:tcPr>
          <w:p w14:paraId="482436F8" w14:textId="77777777" w:rsidR="0058789F" w:rsidRPr="00AE706D" w:rsidRDefault="0058789F" w:rsidP="00AD1066">
            <w:pPr>
              <w:pStyle w:val="TableBodyTextsmall"/>
            </w:pPr>
          </w:p>
        </w:tc>
      </w:tr>
      <w:tr w:rsidR="0058789F" w:rsidRPr="00AE706D" w14:paraId="1707A6CA" w14:textId="77777777" w:rsidTr="00AD1066">
        <w:trPr>
          <w:trHeight w:val="300"/>
        </w:trPr>
        <w:tc>
          <w:tcPr>
            <w:tcW w:w="5000" w:type="pct"/>
            <w:gridSpan w:val="5"/>
            <w:shd w:val="clear" w:color="auto" w:fill="D9D9D9" w:themeFill="background1" w:themeFillShade="D9"/>
            <w:noWrap/>
            <w:hideMark/>
          </w:tcPr>
          <w:p w14:paraId="1627FC53" w14:textId="77777777" w:rsidR="0058789F" w:rsidRPr="00AE706D" w:rsidRDefault="0058789F" w:rsidP="00AD1066">
            <w:pPr>
              <w:pStyle w:val="TableHeading1"/>
            </w:pPr>
            <w:r w:rsidRPr="00AE706D">
              <w:t>202</w:t>
            </w:r>
            <w:r>
              <w:t>2</w:t>
            </w:r>
          </w:p>
        </w:tc>
      </w:tr>
      <w:tr w:rsidR="0058789F" w:rsidRPr="00AE706D" w14:paraId="7131802F" w14:textId="77777777" w:rsidTr="00AD1066">
        <w:trPr>
          <w:trHeight w:val="300"/>
        </w:trPr>
        <w:tc>
          <w:tcPr>
            <w:tcW w:w="5000" w:type="pct"/>
            <w:gridSpan w:val="5"/>
            <w:noWrap/>
            <w:hideMark/>
          </w:tcPr>
          <w:p w14:paraId="1B96546C" w14:textId="77777777" w:rsidR="0058789F" w:rsidRPr="00AE706D" w:rsidRDefault="0058789F" w:rsidP="00AD1066">
            <w:pPr>
              <w:pStyle w:val="TableHeading1"/>
            </w:pPr>
            <w:r w:rsidRPr="00AE706D">
              <w:t>Capital expenditure commitments</w:t>
            </w:r>
          </w:p>
        </w:tc>
      </w:tr>
      <w:tr w:rsidR="0058789F" w:rsidRPr="00AE706D" w14:paraId="4678D346" w14:textId="77777777" w:rsidTr="00AD1066">
        <w:trPr>
          <w:trHeight w:val="300"/>
        </w:trPr>
        <w:tc>
          <w:tcPr>
            <w:tcW w:w="2090" w:type="pct"/>
            <w:tcBorders>
              <w:bottom w:val="dotted" w:sz="4" w:space="0" w:color="auto"/>
            </w:tcBorders>
            <w:noWrap/>
            <w:hideMark/>
          </w:tcPr>
          <w:p w14:paraId="130F79D2" w14:textId="77777777" w:rsidR="0058789F" w:rsidRPr="00AE706D" w:rsidRDefault="0058789F" w:rsidP="00AD1066">
            <w:pPr>
              <w:pStyle w:val="TableBodyText"/>
            </w:pPr>
            <w:r w:rsidRPr="00AE706D">
              <w:t>Computer system</w:t>
            </w:r>
          </w:p>
        </w:tc>
        <w:tc>
          <w:tcPr>
            <w:tcW w:w="743" w:type="pct"/>
            <w:tcBorders>
              <w:bottom w:val="dotted" w:sz="4" w:space="0" w:color="auto"/>
            </w:tcBorders>
            <w:noWrap/>
            <w:hideMark/>
          </w:tcPr>
          <w:p w14:paraId="53C132BF" w14:textId="77777777" w:rsidR="0058789F" w:rsidRPr="00AE706D" w:rsidRDefault="0058789F" w:rsidP="00AD1066">
            <w:pPr>
              <w:pStyle w:val="TableBodyTextrightalign"/>
            </w:pPr>
            <w:r>
              <w:t>70</w:t>
            </w:r>
          </w:p>
        </w:tc>
        <w:tc>
          <w:tcPr>
            <w:tcW w:w="743" w:type="pct"/>
            <w:tcBorders>
              <w:bottom w:val="dotted" w:sz="4" w:space="0" w:color="auto"/>
            </w:tcBorders>
            <w:noWrap/>
            <w:hideMark/>
          </w:tcPr>
          <w:p w14:paraId="35C4B1D6" w14:textId="77777777" w:rsidR="0058789F" w:rsidRPr="00AE706D" w:rsidRDefault="0058789F" w:rsidP="00AD1066">
            <w:pPr>
              <w:pStyle w:val="TableBodyTextrightalign"/>
            </w:pPr>
            <w:r w:rsidRPr="00B85461">
              <w:t>–</w:t>
            </w:r>
          </w:p>
        </w:tc>
        <w:tc>
          <w:tcPr>
            <w:tcW w:w="743" w:type="pct"/>
            <w:tcBorders>
              <w:bottom w:val="dotted" w:sz="4" w:space="0" w:color="auto"/>
            </w:tcBorders>
            <w:noWrap/>
            <w:hideMark/>
          </w:tcPr>
          <w:p w14:paraId="55E74086" w14:textId="77777777" w:rsidR="0058789F" w:rsidRPr="00AE706D" w:rsidRDefault="0058789F" w:rsidP="00AD1066">
            <w:pPr>
              <w:pStyle w:val="TableBodyTextrightalign"/>
            </w:pPr>
            <w:r w:rsidRPr="00B85461">
              <w:t>–</w:t>
            </w:r>
          </w:p>
        </w:tc>
        <w:tc>
          <w:tcPr>
            <w:tcW w:w="681" w:type="pct"/>
            <w:tcBorders>
              <w:bottom w:val="dotted" w:sz="4" w:space="0" w:color="auto"/>
            </w:tcBorders>
            <w:noWrap/>
            <w:hideMark/>
          </w:tcPr>
          <w:p w14:paraId="23A33018" w14:textId="77777777" w:rsidR="0058789F" w:rsidRPr="00AE706D" w:rsidRDefault="0058789F" w:rsidP="00AD1066">
            <w:pPr>
              <w:pStyle w:val="TableBodyTextrightalign"/>
            </w:pPr>
            <w:r>
              <w:t>70</w:t>
            </w:r>
          </w:p>
        </w:tc>
      </w:tr>
      <w:tr w:rsidR="0058789F" w:rsidRPr="00DD08CB" w14:paraId="597A1892" w14:textId="77777777" w:rsidTr="00AD1066">
        <w:trPr>
          <w:trHeight w:val="300"/>
        </w:trPr>
        <w:tc>
          <w:tcPr>
            <w:tcW w:w="2090" w:type="pct"/>
            <w:tcBorders>
              <w:top w:val="dotted" w:sz="4" w:space="0" w:color="auto"/>
              <w:bottom w:val="single" w:sz="4" w:space="0" w:color="auto"/>
            </w:tcBorders>
            <w:noWrap/>
            <w:hideMark/>
          </w:tcPr>
          <w:p w14:paraId="244DF401" w14:textId="77777777" w:rsidR="0058789F" w:rsidRPr="00DD08CB" w:rsidRDefault="0058789F" w:rsidP="00AD1066">
            <w:pPr>
              <w:pStyle w:val="TableBodyText"/>
              <w:rPr>
                <w:rStyle w:val="Characterbold"/>
              </w:rPr>
            </w:pPr>
            <w:r w:rsidRPr="00DD08CB">
              <w:rPr>
                <w:rStyle w:val="Characterbold"/>
              </w:rPr>
              <w:t>Total capital expenditure commitments</w:t>
            </w:r>
          </w:p>
        </w:tc>
        <w:tc>
          <w:tcPr>
            <w:tcW w:w="743" w:type="pct"/>
            <w:tcBorders>
              <w:top w:val="dotted" w:sz="4" w:space="0" w:color="auto"/>
              <w:bottom w:val="single" w:sz="4" w:space="0" w:color="auto"/>
            </w:tcBorders>
            <w:noWrap/>
            <w:hideMark/>
          </w:tcPr>
          <w:p w14:paraId="5D96A074" w14:textId="77777777" w:rsidR="0058789F" w:rsidRPr="00DD08CB" w:rsidRDefault="0058789F" w:rsidP="00AD1066">
            <w:pPr>
              <w:pStyle w:val="TableBodyTextrightalign"/>
              <w:rPr>
                <w:rStyle w:val="Characterbold"/>
              </w:rPr>
            </w:pPr>
            <w:r>
              <w:rPr>
                <w:rStyle w:val="Characterbold"/>
              </w:rPr>
              <w:t>70</w:t>
            </w:r>
          </w:p>
        </w:tc>
        <w:tc>
          <w:tcPr>
            <w:tcW w:w="743" w:type="pct"/>
            <w:tcBorders>
              <w:top w:val="dotted" w:sz="4" w:space="0" w:color="auto"/>
              <w:bottom w:val="single" w:sz="4" w:space="0" w:color="auto"/>
            </w:tcBorders>
            <w:noWrap/>
            <w:hideMark/>
          </w:tcPr>
          <w:p w14:paraId="76967707" w14:textId="77777777" w:rsidR="0058789F" w:rsidRPr="00DD08CB" w:rsidRDefault="0058789F" w:rsidP="00AD1066">
            <w:pPr>
              <w:pStyle w:val="TableBodyTextrightalign"/>
              <w:rPr>
                <w:rStyle w:val="Characterbold"/>
              </w:rPr>
            </w:pPr>
            <w:r w:rsidRPr="00B85461">
              <w:t>–</w:t>
            </w:r>
          </w:p>
        </w:tc>
        <w:tc>
          <w:tcPr>
            <w:tcW w:w="743" w:type="pct"/>
            <w:tcBorders>
              <w:top w:val="dotted" w:sz="4" w:space="0" w:color="auto"/>
              <w:bottom w:val="single" w:sz="4" w:space="0" w:color="auto"/>
            </w:tcBorders>
            <w:noWrap/>
            <w:hideMark/>
          </w:tcPr>
          <w:p w14:paraId="05612F2C" w14:textId="77777777" w:rsidR="0058789F" w:rsidRPr="00DD08CB" w:rsidRDefault="0058789F" w:rsidP="00AD1066">
            <w:pPr>
              <w:pStyle w:val="TableBodyTextrightalign"/>
              <w:rPr>
                <w:rStyle w:val="Characterbold"/>
              </w:rPr>
            </w:pPr>
            <w:r w:rsidRPr="00B85461">
              <w:t>–</w:t>
            </w:r>
          </w:p>
        </w:tc>
        <w:tc>
          <w:tcPr>
            <w:tcW w:w="681" w:type="pct"/>
            <w:tcBorders>
              <w:top w:val="dotted" w:sz="4" w:space="0" w:color="auto"/>
              <w:bottom w:val="single" w:sz="4" w:space="0" w:color="auto"/>
            </w:tcBorders>
            <w:noWrap/>
            <w:hideMark/>
          </w:tcPr>
          <w:p w14:paraId="7C5B668D" w14:textId="77777777" w:rsidR="0058789F" w:rsidRPr="00DD08CB" w:rsidRDefault="0058789F" w:rsidP="00AD1066">
            <w:pPr>
              <w:pStyle w:val="TableBodyTextrightalign"/>
              <w:rPr>
                <w:rStyle w:val="Characterbold"/>
              </w:rPr>
            </w:pPr>
            <w:r>
              <w:rPr>
                <w:rStyle w:val="Characterbold"/>
              </w:rPr>
              <w:t>70</w:t>
            </w:r>
          </w:p>
        </w:tc>
      </w:tr>
      <w:tr w:rsidR="0058789F" w:rsidRPr="00AE706D" w14:paraId="6D3BD98B" w14:textId="77777777" w:rsidTr="00AD1066">
        <w:trPr>
          <w:trHeight w:val="300"/>
        </w:trPr>
        <w:tc>
          <w:tcPr>
            <w:tcW w:w="5000" w:type="pct"/>
            <w:gridSpan w:val="5"/>
            <w:tcBorders>
              <w:top w:val="single" w:sz="4" w:space="0" w:color="auto"/>
            </w:tcBorders>
            <w:noWrap/>
            <w:hideMark/>
          </w:tcPr>
          <w:p w14:paraId="3C0D81DD" w14:textId="77777777" w:rsidR="0058789F" w:rsidRPr="00AE706D" w:rsidRDefault="0058789F" w:rsidP="00AD1066">
            <w:pPr>
              <w:pStyle w:val="TableHeading1"/>
            </w:pPr>
            <w:r w:rsidRPr="00AE706D">
              <w:t>Other commitments</w:t>
            </w:r>
          </w:p>
        </w:tc>
      </w:tr>
      <w:tr w:rsidR="0058789F" w:rsidRPr="00AE706D" w14:paraId="11DDF8DB" w14:textId="77777777" w:rsidTr="00AD1066">
        <w:trPr>
          <w:trHeight w:val="300"/>
        </w:trPr>
        <w:tc>
          <w:tcPr>
            <w:tcW w:w="2090" w:type="pct"/>
            <w:tcBorders>
              <w:bottom w:val="dotted" w:sz="4" w:space="0" w:color="auto"/>
            </w:tcBorders>
            <w:noWrap/>
            <w:hideMark/>
          </w:tcPr>
          <w:p w14:paraId="2C1596AB" w14:textId="77777777" w:rsidR="0058789F" w:rsidRPr="00AE706D" w:rsidRDefault="0058789F" w:rsidP="00AD1066">
            <w:pPr>
              <w:pStyle w:val="TableBodyText"/>
            </w:pPr>
            <w:r w:rsidRPr="00AE706D">
              <w:t>Other contractual</w:t>
            </w:r>
          </w:p>
        </w:tc>
        <w:tc>
          <w:tcPr>
            <w:tcW w:w="743" w:type="pct"/>
            <w:tcBorders>
              <w:bottom w:val="dotted" w:sz="4" w:space="0" w:color="auto"/>
            </w:tcBorders>
            <w:noWrap/>
            <w:hideMark/>
          </w:tcPr>
          <w:p w14:paraId="5341EA9F" w14:textId="77777777" w:rsidR="0058789F" w:rsidRPr="00AE706D" w:rsidRDefault="0058789F" w:rsidP="00AD1066">
            <w:pPr>
              <w:pStyle w:val="TableBodyTextrightalign"/>
            </w:pPr>
            <w:r>
              <w:t>2,102</w:t>
            </w:r>
          </w:p>
        </w:tc>
        <w:tc>
          <w:tcPr>
            <w:tcW w:w="743" w:type="pct"/>
            <w:tcBorders>
              <w:bottom w:val="dotted" w:sz="4" w:space="0" w:color="auto"/>
            </w:tcBorders>
            <w:noWrap/>
            <w:hideMark/>
          </w:tcPr>
          <w:p w14:paraId="22D2C110" w14:textId="77777777" w:rsidR="0058789F" w:rsidRPr="00AE706D" w:rsidRDefault="0058789F" w:rsidP="00AD1066">
            <w:pPr>
              <w:pStyle w:val="TableBodyTextrightalign"/>
            </w:pPr>
            <w:r>
              <w:t>272</w:t>
            </w:r>
          </w:p>
        </w:tc>
        <w:tc>
          <w:tcPr>
            <w:tcW w:w="743" w:type="pct"/>
            <w:tcBorders>
              <w:bottom w:val="dotted" w:sz="4" w:space="0" w:color="auto"/>
            </w:tcBorders>
            <w:noWrap/>
            <w:hideMark/>
          </w:tcPr>
          <w:p w14:paraId="0A453A7D" w14:textId="77777777" w:rsidR="0058789F" w:rsidRPr="00AE706D" w:rsidRDefault="0058789F" w:rsidP="00AD1066">
            <w:pPr>
              <w:pStyle w:val="TableBodyTextrightalign"/>
            </w:pPr>
            <w:r w:rsidRPr="00B85461">
              <w:t>–</w:t>
            </w:r>
          </w:p>
        </w:tc>
        <w:tc>
          <w:tcPr>
            <w:tcW w:w="681" w:type="pct"/>
            <w:tcBorders>
              <w:bottom w:val="dotted" w:sz="4" w:space="0" w:color="auto"/>
            </w:tcBorders>
            <w:noWrap/>
            <w:hideMark/>
          </w:tcPr>
          <w:p w14:paraId="1CE17F51" w14:textId="77777777" w:rsidR="0058789F" w:rsidRPr="00AE706D" w:rsidRDefault="0058789F" w:rsidP="00AD1066">
            <w:pPr>
              <w:pStyle w:val="TableBodyTextrightalign"/>
            </w:pPr>
            <w:r>
              <w:t>2,374</w:t>
            </w:r>
          </w:p>
        </w:tc>
      </w:tr>
      <w:tr w:rsidR="0058789F" w:rsidRPr="00DD08CB" w14:paraId="736C9DA4" w14:textId="77777777" w:rsidTr="00AD1066">
        <w:trPr>
          <w:trHeight w:val="300"/>
        </w:trPr>
        <w:tc>
          <w:tcPr>
            <w:tcW w:w="2090" w:type="pct"/>
            <w:tcBorders>
              <w:top w:val="dotted" w:sz="4" w:space="0" w:color="auto"/>
              <w:bottom w:val="single" w:sz="4" w:space="0" w:color="auto"/>
            </w:tcBorders>
            <w:noWrap/>
            <w:hideMark/>
          </w:tcPr>
          <w:p w14:paraId="0BA0A667" w14:textId="77777777" w:rsidR="0058789F" w:rsidRPr="00DD08CB" w:rsidRDefault="0058789F" w:rsidP="00AD1066">
            <w:pPr>
              <w:pStyle w:val="TableBodyText"/>
              <w:rPr>
                <w:rStyle w:val="Characterbold"/>
              </w:rPr>
            </w:pPr>
            <w:r w:rsidRPr="00DD08CB">
              <w:rPr>
                <w:rStyle w:val="Characterbold"/>
              </w:rPr>
              <w:t>Total other commitments</w:t>
            </w:r>
          </w:p>
        </w:tc>
        <w:tc>
          <w:tcPr>
            <w:tcW w:w="743" w:type="pct"/>
            <w:tcBorders>
              <w:top w:val="dotted" w:sz="4" w:space="0" w:color="auto"/>
              <w:bottom w:val="single" w:sz="4" w:space="0" w:color="auto"/>
            </w:tcBorders>
            <w:noWrap/>
            <w:hideMark/>
          </w:tcPr>
          <w:p w14:paraId="2D1C83C7" w14:textId="77777777" w:rsidR="0058789F" w:rsidRPr="00DD08CB" w:rsidRDefault="0058789F" w:rsidP="00AD1066">
            <w:pPr>
              <w:pStyle w:val="TableBodyTextrightalign"/>
              <w:rPr>
                <w:rStyle w:val="Characterbold"/>
              </w:rPr>
            </w:pPr>
            <w:r>
              <w:rPr>
                <w:rStyle w:val="Characterbold"/>
              </w:rPr>
              <w:t>2,102</w:t>
            </w:r>
          </w:p>
        </w:tc>
        <w:tc>
          <w:tcPr>
            <w:tcW w:w="743" w:type="pct"/>
            <w:tcBorders>
              <w:top w:val="dotted" w:sz="4" w:space="0" w:color="auto"/>
              <w:bottom w:val="single" w:sz="4" w:space="0" w:color="auto"/>
            </w:tcBorders>
            <w:noWrap/>
            <w:hideMark/>
          </w:tcPr>
          <w:p w14:paraId="39F83246" w14:textId="77777777" w:rsidR="0058789F" w:rsidRPr="00DD08CB" w:rsidRDefault="0058789F" w:rsidP="00AD1066">
            <w:pPr>
              <w:pStyle w:val="TableBodyTextrightalign"/>
              <w:rPr>
                <w:rStyle w:val="Characterbold"/>
              </w:rPr>
            </w:pPr>
            <w:r>
              <w:rPr>
                <w:rStyle w:val="Characterbold"/>
              </w:rPr>
              <w:t>272</w:t>
            </w:r>
          </w:p>
        </w:tc>
        <w:tc>
          <w:tcPr>
            <w:tcW w:w="743" w:type="pct"/>
            <w:tcBorders>
              <w:top w:val="dotted" w:sz="4" w:space="0" w:color="auto"/>
              <w:bottom w:val="single" w:sz="4" w:space="0" w:color="auto"/>
            </w:tcBorders>
            <w:noWrap/>
          </w:tcPr>
          <w:p w14:paraId="01AD7E20" w14:textId="77777777" w:rsidR="0058789F" w:rsidRPr="00DD08CB" w:rsidRDefault="0058789F" w:rsidP="00AD1066">
            <w:pPr>
              <w:pStyle w:val="TableBodyTextrightalign"/>
              <w:rPr>
                <w:rStyle w:val="Characterbold"/>
              </w:rPr>
            </w:pPr>
            <w:r w:rsidRPr="00B85461">
              <w:t>–</w:t>
            </w:r>
          </w:p>
        </w:tc>
        <w:tc>
          <w:tcPr>
            <w:tcW w:w="681" w:type="pct"/>
            <w:tcBorders>
              <w:top w:val="dotted" w:sz="4" w:space="0" w:color="auto"/>
              <w:bottom w:val="single" w:sz="4" w:space="0" w:color="auto"/>
            </w:tcBorders>
            <w:noWrap/>
            <w:hideMark/>
          </w:tcPr>
          <w:p w14:paraId="77CC4B2B" w14:textId="77777777" w:rsidR="0058789F" w:rsidRPr="00DD08CB" w:rsidRDefault="0058789F" w:rsidP="00AD1066">
            <w:pPr>
              <w:pStyle w:val="TableBodyTextrightalign"/>
              <w:rPr>
                <w:rStyle w:val="Characterbold"/>
              </w:rPr>
            </w:pPr>
            <w:r>
              <w:rPr>
                <w:rStyle w:val="Characterbold"/>
              </w:rPr>
              <w:t>2,374</w:t>
            </w:r>
          </w:p>
        </w:tc>
      </w:tr>
      <w:tr w:rsidR="0058789F" w:rsidRPr="00AE706D" w14:paraId="073DA8F6" w14:textId="77777777" w:rsidTr="00AD1066">
        <w:trPr>
          <w:cnfStyle w:val="010000000000" w:firstRow="0" w:lastRow="1" w:firstColumn="0" w:lastColumn="0" w:oddVBand="0" w:evenVBand="0" w:oddHBand="0" w:evenHBand="0" w:firstRowFirstColumn="0" w:firstRowLastColumn="0" w:lastRowFirstColumn="0" w:lastRowLastColumn="0"/>
          <w:trHeight w:val="300"/>
        </w:trPr>
        <w:tc>
          <w:tcPr>
            <w:tcW w:w="2090" w:type="pct"/>
            <w:tcBorders>
              <w:top w:val="single" w:sz="4" w:space="0" w:color="auto"/>
            </w:tcBorders>
            <w:noWrap/>
            <w:hideMark/>
          </w:tcPr>
          <w:p w14:paraId="28E89870" w14:textId="77777777" w:rsidR="0058789F" w:rsidRPr="00AE706D" w:rsidRDefault="0058789F" w:rsidP="00AD1066">
            <w:pPr>
              <w:pStyle w:val="TableBodyText"/>
            </w:pPr>
            <w:r w:rsidRPr="00AE706D">
              <w:t>Total commitments</w:t>
            </w:r>
          </w:p>
        </w:tc>
        <w:tc>
          <w:tcPr>
            <w:tcW w:w="743" w:type="pct"/>
            <w:tcBorders>
              <w:top w:val="single" w:sz="4" w:space="0" w:color="auto"/>
            </w:tcBorders>
            <w:noWrap/>
            <w:hideMark/>
          </w:tcPr>
          <w:p w14:paraId="7E2CBDE7" w14:textId="77777777" w:rsidR="0058789F" w:rsidRPr="00F75E07" w:rsidRDefault="0058789F" w:rsidP="00AD1066">
            <w:pPr>
              <w:pStyle w:val="TableBodyTextrightalign"/>
            </w:pPr>
            <w:r w:rsidRPr="00F75E07">
              <w:t>2,172</w:t>
            </w:r>
          </w:p>
        </w:tc>
        <w:tc>
          <w:tcPr>
            <w:tcW w:w="743" w:type="pct"/>
            <w:tcBorders>
              <w:top w:val="single" w:sz="4" w:space="0" w:color="auto"/>
            </w:tcBorders>
            <w:noWrap/>
            <w:hideMark/>
          </w:tcPr>
          <w:p w14:paraId="157E301F" w14:textId="77777777" w:rsidR="0058789F" w:rsidRPr="00F75E07" w:rsidRDefault="0058789F" w:rsidP="00AD1066">
            <w:pPr>
              <w:pStyle w:val="TableBodyTextrightalign"/>
            </w:pPr>
            <w:r w:rsidRPr="00F75E07">
              <w:t>272</w:t>
            </w:r>
          </w:p>
        </w:tc>
        <w:tc>
          <w:tcPr>
            <w:tcW w:w="743" w:type="pct"/>
            <w:tcBorders>
              <w:top w:val="single" w:sz="4" w:space="0" w:color="auto"/>
            </w:tcBorders>
            <w:noWrap/>
          </w:tcPr>
          <w:p w14:paraId="2508C9A3" w14:textId="77777777" w:rsidR="0058789F" w:rsidRPr="00F75E07" w:rsidRDefault="0058789F" w:rsidP="00AD1066">
            <w:pPr>
              <w:pStyle w:val="TableBodyTextrightalign"/>
            </w:pPr>
            <w:r w:rsidRPr="00F75E07">
              <w:t>–</w:t>
            </w:r>
          </w:p>
        </w:tc>
        <w:tc>
          <w:tcPr>
            <w:tcW w:w="681" w:type="pct"/>
            <w:tcBorders>
              <w:top w:val="single" w:sz="4" w:space="0" w:color="auto"/>
            </w:tcBorders>
            <w:noWrap/>
            <w:hideMark/>
          </w:tcPr>
          <w:p w14:paraId="5D2C4AC7" w14:textId="77777777" w:rsidR="0058789F" w:rsidRPr="00F75E07" w:rsidRDefault="0058789F" w:rsidP="00AD1066">
            <w:pPr>
              <w:pStyle w:val="TableBodyTextrightalign"/>
            </w:pPr>
            <w:r w:rsidRPr="00F75E07">
              <w:t>2,444</w:t>
            </w:r>
          </w:p>
        </w:tc>
      </w:tr>
    </w:tbl>
    <w:p w14:paraId="62EE546D" w14:textId="77777777" w:rsidR="0058789F" w:rsidRPr="00F75E07" w:rsidRDefault="0058789F" w:rsidP="0058789F">
      <w:pPr>
        <w:pStyle w:val="BodyText"/>
      </w:pPr>
      <w:r>
        <w:br w:type="page"/>
      </w:r>
    </w:p>
    <w:p w14:paraId="6C29BADA" w14:textId="77777777" w:rsidR="0058789F" w:rsidRPr="00022AD1" w:rsidRDefault="0058789F" w:rsidP="0058789F">
      <w:pPr>
        <w:pStyle w:val="NotesHeading1"/>
        <w:numPr>
          <w:ilvl w:val="0"/>
          <w:numId w:val="22"/>
        </w:numPr>
      </w:pPr>
      <w:bookmarkStart w:id="192" w:name="_Ref120788330"/>
      <w:r>
        <w:t>R</w:t>
      </w:r>
      <w:r w:rsidRPr="00022AD1">
        <w:t>isks, contingencies and valuation judg</w:t>
      </w:r>
      <w:r>
        <w:t>e</w:t>
      </w:r>
      <w:r w:rsidRPr="00022AD1">
        <w:t>ments</w:t>
      </w:r>
      <w:bookmarkEnd w:id="192"/>
    </w:p>
    <w:p w14:paraId="17F2348F" w14:textId="77777777" w:rsidR="0058789F" w:rsidRPr="00022AD1" w:rsidRDefault="0058789F" w:rsidP="0058789F">
      <w:pPr>
        <w:pStyle w:val="BodyText"/>
      </w:pPr>
      <w:r w:rsidRPr="00022AD1">
        <w:t>IBAC is exposed to risk from its activities and outside factors. In addition, it is often necessary to make judgements and estimates associated with recognition and measurement of items in the financial statements.</w:t>
      </w:r>
    </w:p>
    <w:p w14:paraId="41D71310" w14:textId="77777777" w:rsidR="0058789F" w:rsidRPr="00022AD1" w:rsidRDefault="0058789F" w:rsidP="0058789F">
      <w:pPr>
        <w:pStyle w:val="BodyText"/>
      </w:pPr>
      <w:r w:rsidRPr="00022AD1">
        <w:t>This section sets out financial instrument specific information (including exposures to financial risks), as well as those items that are contingent in nature or require a higher level of judgement to be applied, which for IBAC related mainly to fair value determination.</w:t>
      </w:r>
    </w:p>
    <w:p w14:paraId="5A0B908E" w14:textId="77777777" w:rsidR="0058789F" w:rsidRPr="00022AD1" w:rsidRDefault="0058789F" w:rsidP="006F399C">
      <w:pPr>
        <w:pStyle w:val="NotesHeading2"/>
      </w:pPr>
      <w:bookmarkStart w:id="193" w:name="_Ref82070996"/>
      <w:bookmarkStart w:id="194" w:name="_Ref145067231"/>
      <w:r w:rsidRPr="00022AD1">
        <w:t>Financial instruments specific disclosures</w:t>
      </w:r>
      <w:bookmarkEnd w:id="193"/>
      <w:bookmarkEnd w:id="194"/>
    </w:p>
    <w:p w14:paraId="08B583B6" w14:textId="77777777" w:rsidR="0058789F" w:rsidRPr="00022AD1" w:rsidRDefault="0058789F" w:rsidP="0058789F">
      <w:pPr>
        <w:pStyle w:val="BodyText"/>
      </w:pPr>
      <w:r w:rsidRPr="00022AD1">
        <w:t xml:space="preserve">Financial instruments arise out of contractual agreements that give rise to a financial asset of one entity and a financial liability or equity instrument of another entity. Due to the nature of IBAC’s activities, certain financial assets and financial liabilities arise under statute rather than a contract. Such financial assets and financial liabilities do not meet the definition of financial instruments in </w:t>
      </w:r>
      <w:r w:rsidRPr="00E95B19">
        <w:t>AASB 132</w:t>
      </w:r>
      <w:r w:rsidRPr="00817A43">
        <w:rPr>
          <w:rStyle w:val="Characteritalic"/>
        </w:rPr>
        <w:t xml:space="preserve"> Financial Instruments: Presentation</w:t>
      </w:r>
      <w:r w:rsidRPr="00551357">
        <w:t>.</w:t>
      </w:r>
    </w:p>
    <w:p w14:paraId="368A94B7" w14:textId="77777777" w:rsidR="0058789F" w:rsidRPr="00022AD1" w:rsidRDefault="0058789F" w:rsidP="0058789F">
      <w:pPr>
        <w:pStyle w:val="Heading5"/>
      </w:pPr>
      <w:r w:rsidRPr="00022AD1">
        <w:t>Categories of financial instruments</w:t>
      </w:r>
    </w:p>
    <w:p w14:paraId="7D7801C6" w14:textId="77777777" w:rsidR="0058789F" w:rsidRPr="008007AE" w:rsidRDefault="0058789F" w:rsidP="0058789F">
      <w:pPr>
        <w:pStyle w:val="Heading6"/>
      </w:pPr>
      <w:r w:rsidRPr="008007AE">
        <w:t>Financial assets at amortised cost</w:t>
      </w:r>
    </w:p>
    <w:p w14:paraId="7FE90C33" w14:textId="77777777" w:rsidR="0058789F" w:rsidRPr="00022AD1" w:rsidRDefault="0058789F" w:rsidP="0058789F">
      <w:pPr>
        <w:pStyle w:val="BodyText"/>
      </w:pPr>
      <w:r w:rsidRPr="00022AD1">
        <w:t>Financial assets are measured at amortised costs if both of the following criteria are met and the assets are not designated as fair value through net result:</w:t>
      </w:r>
    </w:p>
    <w:p w14:paraId="2A8609B9" w14:textId="77777777" w:rsidR="0058789F" w:rsidRPr="00022AD1" w:rsidRDefault="0058789F" w:rsidP="0058789F">
      <w:pPr>
        <w:pStyle w:val="ListBullet"/>
        <w:ind w:left="357" w:hanging="357"/>
      </w:pPr>
      <w:r w:rsidRPr="00022AD1">
        <w:t>the assets are held by IBAC to collect the contractual cash flows</w:t>
      </w:r>
    </w:p>
    <w:p w14:paraId="732FC829" w14:textId="77777777" w:rsidR="0058789F" w:rsidRPr="00022AD1" w:rsidRDefault="0058789F" w:rsidP="0058789F">
      <w:pPr>
        <w:pStyle w:val="ListBullet"/>
        <w:ind w:left="357" w:hanging="357"/>
      </w:pPr>
      <w:r w:rsidRPr="00022AD1">
        <w:t>the assets’ contractual terms give rise to cash flows that are solely payments of principal and interest.</w:t>
      </w:r>
    </w:p>
    <w:p w14:paraId="0B1EB174" w14:textId="77777777" w:rsidR="0058789F" w:rsidRPr="001B408B" w:rsidRDefault="0058789F" w:rsidP="0058789F">
      <w:pPr>
        <w:pStyle w:val="BodyText"/>
      </w:pPr>
      <w:r w:rsidRPr="001B408B">
        <w:t>These assets are initially recognised at fair value plus any directly attributable transaction costs and subsequently measured at amortised cost using the effective interest method</w:t>
      </w:r>
      <w:r>
        <w:t>,</w:t>
      </w:r>
      <w:r w:rsidRPr="001B408B">
        <w:t xml:space="preserve"> less any impairment. </w:t>
      </w:r>
    </w:p>
    <w:p w14:paraId="338A59A0" w14:textId="77777777" w:rsidR="0058789F" w:rsidRPr="001B408B" w:rsidRDefault="0058789F" w:rsidP="0058789F">
      <w:pPr>
        <w:pStyle w:val="BodyText"/>
      </w:pPr>
      <w:r w:rsidRPr="001B408B">
        <w:t>IBAC recognises the following assets in this category:</w:t>
      </w:r>
    </w:p>
    <w:p w14:paraId="5D9D2897" w14:textId="77777777" w:rsidR="0058789F" w:rsidRPr="00022AD1" w:rsidRDefault="0058789F" w:rsidP="0058789F">
      <w:pPr>
        <w:pStyle w:val="ListBullet"/>
        <w:ind w:left="357" w:hanging="357"/>
      </w:pPr>
      <w:r w:rsidRPr="00022AD1">
        <w:t xml:space="preserve">cash and cash equivalents, </w:t>
      </w:r>
      <w:r w:rsidRPr="00785DFE">
        <w:t>$</w:t>
      </w:r>
      <w:r>
        <w:t>316,312</w:t>
      </w:r>
      <w:r w:rsidDel="00A259FF">
        <w:t xml:space="preserve"> </w:t>
      </w:r>
      <w:r w:rsidRPr="00022AD1">
        <w:t>(</w:t>
      </w:r>
      <w:r>
        <w:t>2022</w:t>
      </w:r>
      <w:r w:rsidRPr="00022AD1">
        <w:t>: $</w:t>
      </w:r>
      <w:r>
        <w:t>47,838</w:t>
      </w:r>
      <w:r w:rsidRPr="00022AD1">
        <w:t>)</w:t>
      </w:r>
    </w:p>
    <w:p w14:paraId="712AFE0C" w14:textId="77777777" w:rsidR="0058789F" w:rsidRPr="00022AD1" w:rsidRDefault="0058789F" w:rsidP="0058789F">
      <w:pPr>
        <w:pStyle w:val="ListBullet"/>
        <w:ind w:left="357" w:hanging="357"/>
      </w:pPr>
      <w:r w:rsidRPr="00022AD1">
        <w:t xml:space="preserve">receivables (excluding statutory receivables), </w:t>
      </w:r>
      <w:r w:rsidRPr="00785DFE">
        <w:t>$</w:t>
      </w:r>
      <w:r>
        <w:t xml:space="preserve">6,293 </w:t>
      </w:r>
      <w:r w:rsidRPr="00022AD1">
        <w:t>(</w:t>
      </w:r>
      <w:r>
        <w:t>2022</w:t>
      </w:r>
      <w:r w:rsidRPr="00B865AB">
        <w:t>: $</w:t>
      </w:r>
      <w:r>
        <w:t>1,818</w:t>
      </w:r>
      <w:r w:rsidRPr="00B865AB">
        <w:t>).</w:t>
      </w:r>
    </w:p>
    <w:p w14:paraId="1961005B" w14:textId="77777777" w:rsidR="0058789F" w:rsidRPr="008007AE" w:rsidRDefault="0058789F" w:rsidP="0058789F">
      <w:pPr>
        <w:pStyle w:val="Heading6"/>
      </w:pPr>
      <w:r w:rsidRPr="008007AE">
        <w:t>Financial liabilities at amortised costs</w:t>
      </w:r>
    </w:p>
    <w:p w14:paraId="39576F69" w14:textId="77777777" w:rsidR="0058789F" w:rsidRPr="001B408B" w:rsidRDefault="0058789F" w:rsidP="0058789F">
      <w:pPr>
        <w:pStyle w:val="BodyText"/>
      </w:pPr>
      <w:r w:rsidRPr="001B408B">
        <w:t>Financial liabilities at amortised costs are initially recognised on the date they originated. They are initially measured at fair value plus any directly attributable transaction costs. Subsequent to initial recognition, these financial instruments are measured at amortised cost</w:t>
      </w:r>
      <w:r>
        <w:t>,</w:t>
      </w:r>
      <w:r w:rsidRPr="001B408B">
        <w:t xml:space="preserve"> with any difference between the initial recognised amount and the redemption value being recognised in profit and loss over the period of the interest-bearing liability, using the effective interest method. IBAC recognises the following liabilities in this category:</w:t>
      </w:r>
    </w:p>
    <w:p w14:paraId="6A59EC81" w14:textId="77777777" w:rsidR="0058789F" w:rsidRPr="00022AD1" w:rsidRDefault="0058789F" w:rsidP="0058789F">
      <w:pPr>
        <w:pStyle w:val="ListBullet"/>
        <w:ind w:left="357" w:hanging="357"/>
      </w:pPr>
      <w:r w:rsidRPr="00022AD1">
        <w:t xml:space="preserve">payables (excluding statutory payables), </w:t>
      </w:r>
      <w:r w:rsidRPr="00785DFE">
        <w:t>$</w:t>
      </w:r>
      <w:r>
        <w:t>1,753,157</w:t>
      </w:r>
      <w:r w:rsidDel="00A259FF">
        <w:t xml:space="preserve"> </w:t>
      </w:r>
      <w:r w:rsidRPr="00022AD1">
        <w:t>(</w:t>
      </w:r>
      <w:r>
        <w:t>2022</w:t>
      </w:r>
      <w:r w:rsidRPr="00022AD1">
        <w:t>: $</w:t>
      </w:r>
      <w:r>
        <w:t>2,729,336</w:t>
      </w:r>
      <w:r w:rsidRPr="00022AD1">
        <w:t>)</w:t>
      </w:r>
    </w:p>
    <w:p w14:paraId="16D2F725" w14:textId="77777777" w:rsidR="0058789F" w:rsidRPr="00022AD1" w:rsidRDefault="0058789F" w:rsidP="0058789F">
      <w:pPr>
        <w:pStyle w:val="ListBullet"/>
        <w:ind w:left="357" w:hanging="357"/>
      </w:pPr>
      <w:r w:rsidRPr="00022AD1">
        <w:t xml:space="preserve">borrowings (including lease liabilities), </w:t>
      </w:r>
      <w:r w:rsidRPr="00785DFE">
        <w:t>$</w:t>
      </w:r>
      <w:r>
        <w:t>9,169,420</w:t>
      </w:r>
      <w:r w:rsidDel="00A259FF">
        <w:t xml:space="preserve"> </w:t>
      </w:r>
      <w:r w:rsidRPr="00022AD1">
        <w:t>(</w:t>
      </w:r>
      <w:r>
        <w:t>2022</w:t>
      </w:r>
      <w:r w:rsidRPr="00022AD1">
        <w:t>: $</w:t>
      </w:r>
      <w:r>
        <w:t>12,235,000</w:t>
      </w:r>
      <w:r w:rsidRPr="00022AD1">
        <w:t>)</w:t>
      </w:r>
      <w:r>
        <w:t>.</w:t>
      </w:r>
    </w:p>
    <w:p w14:paraId="365FF798" w14:textId="77777777" w:rsidR="0058789F" w:rsidRPr="00022AD1" w:rsidRDefault="0058789F" w:rsidP="0058789F">
      <w:pPr>
        <w:pStyle w:val="BodyText"/>
      </w:pPr>
      <w:r w:rsidRPr="004A22E1">
        <w:rPr>
          <w:rStyle w:val="Characterbold"/>
        </w:rPr>
        <w:t>Derecognition of financial assets</w:t>
      </w:r>
      <w:r w:rsidRPr="00022AD1">
        <w:t>: A financial asset (or, where applicable, a part of a financial asset or part of a group of similar financial assets) is derecognised when:</w:t>
      </w:r>
    </w:p>
    <w:p w14:paraId="1AAA620E" w14:textId="77777777" w:rsidR="0058789F" w:rsidRPr="00022AD1" w:rsidRDefault="0058789F" w:rsidP="0058789F">
      <w:pPr>
        <w:pStyle w:val="ListBullet"/>
        <w:ind w:left="357" w:hanging="357"/>
      </w:pPr>
      <w:r w:rsidRPr="00022AD1">
        <w:t>the rights to receive cash flows from the asset have expired</w:t>
      </w:r>
      <w:r>
        <w:t>;</w:t>
      </w:r>
      <w:r w:rsidRPr="00022AD1">
        <w:t xml:space="preserve"> or</w:t>
      </w:r>
    </w:p>
    <w:p w14:paraId="158072C7" w14:textId="77777777" w:rsidR="0058789F" w:rsidRPr="00022AD1" w:rsidRDefault="0058789F" w:rsidP="0058789F">
      <w:pPr>
        <w:pStyle w:val="ListBullet"/>
        <w:ind w:left="357" w:hanging="357"/>
      </w:pPr>
      <w:r w:rsidRPr="00022AD1">
        <w:t>IBAC has transferred its rights to receive cash flows from the asset and either:</w:t>
      </w:r>
    </w:p>
    <w:p w14:paraId="7BBFFEE7" w14:textId="77777777" w:rsidR="0058789F" w:rsidRPr="00022AD1" w:rsidRDefault="0058789F" w:rsidP="0058789F">
      <w:pPr>
        <w:pStyle w:val="ListBullet2"/>
        <w:numPr>
          <w:ilvl w:val="1"/>
          <w:numId w:val="11"/>
        </w:numPr>
      </w:pPr>
      <w:r w:rsidRPr="00022AD1">
        <w:t>has transferred substantially all the risks and rewards of the asset</w:t>
      </w:r>
      <w:r>
        <w:t>;</w:t>
      </w:r>
      <w:r w:rsidRPr="00022AD1">
        <w:t xml:space="preserve"> or</w:t>
      </w:r>
    </w:p>
    <w:p w14:paraId="0FA2D01E" w14:textId="77777777" w:rsidR="0058789F" w:rsidRPr="00022AD1" w:rsidRDefault="0058789F" w:rsidP="0058789F">
      <w:pPr>
        <w:pStyle w:val="ListBullet2"/>
        <w:numPr>
          <w:ilvl w:val="1"/>
          <w:numId w:val="11"/>
        </w:numPr>
      </w:pPr>
      <w:r w:rsidRPr="00022AD1">
        <w:t>has neither transferred nor retained substantially all the risks and rewards of the asset but has transferred control of the asset.</w:t>
      </w:r>
    </w:p>
    <w:p w14:paraId="7416CD76" w14:textId="77777777" w:rsidR="0058789F" w:rsidRPr="00022AD1" w:rsidRDefault="0058789F" w:rsidP="0058789F">
      <w:pPr>
        <w:pStyle w:val="BodyText"/>
      </w:pPr>
      <w:r w:rsidRPr="00022AD1">
        <w:t>Where IBAC has neither transferred nor retained substantially all the risks and rewards or transferred control, the asset is recognised to the extent of IBAC’s continuing involvement in the asset.</w:t>
      </w:r>
    </w:p>
    <w:p w14:paraId="29D51B69" w14:textId="77777777" w:rsidR="0058789F" w:rsidRDefault="0058789F" w:rsidP="0058789F">
      <w:pPr>
        <w:pStyle w:val="BodyText"/>
      </w:pPr>
      <w:r w:rsidRPr="001B408B">
        <w:rPr>
          <w:rStyle w:val="Characterbold"/>
        </w:rPr>
        <w:t>Derecognition of financial liabilities</w:t>
      </w:r>
      <w:r w:rsidRPr="004A22E1">
        <w:t>:</w:t>
      </w:r>
      <w:r w:rsidRPr="00022AD1">
        <w:t xml:space="preserve"> A financial liability is derecognised when the obligation under the liability is discharged, cancelled or expires</w:t>
      </w:r>
      <w:r>
        <w:t>.</w:t>
      </w:r>
    </w:p>
    <w:p w14:paraId="6F894237" w14:textId="77777777" w:rsidR="0058789F" w:rsidRDefault="0058789F" w:rsidP="00CE2908">
      <w:pPr>
        <w:pStyle w:val="NotesHeading3"/>
      </w:pPr>
      <w:bookmarkStart w:id="195" w:name="_Ref82070654"/>
      <w:r w:rsidRPr="007211D6">
        <w:t xml:space="preserve"> </w:t>
      </w:r>
      <w:r w:rsidRPr="00817A43">
        <w:t xml:space="preserve">Financial instruments: Net </w:t>
      </w:r>
      <w:r w:rsidRPr="00CE2908">
        <w:t>holding</w:t>
      </w:r>
      <w:r w:rsidRPr="00817A43">
        <w:t xml:space="preserve"> gain/(loss) on financial instruments by category</w:t>
      </w:r>
      <w:bookmarkEnd w:id="195"/>
    </w:p>
    <w:tbl>
      <w:tblPr>
        <w:tblStyle w:val="CustomTabledetailed"/>
        <w:tblW w:w="5000" w:type="pct"/>
        <w:tblLook w:val="0660" w:firstRow="1" w:lastRow="1" w:firstColumn="0" w:lastColumn="0" w:noHBand="1" w:noVBand="1"/>
      </w:tblPr>
      <w:tblGrid>
        <w:gridCol w:w="4281"/>
        <w:gridCol w:w="2625"/>
        <w:gridCol w:w="2121"/>
      </w:tblGrid>
      <w:tr w:rsidR="0058789F" w:rsidRPr="00201735" w14:paraId="742E1BDE"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363" w:type="pct"/>
            <w:noWrap/>
            <w:hideMark/>
          </w:tcPr>
          <w:p w14:paraId="7FBE2539" w14:textId="77777777" w:rsidR="0058789F" w:rsidRPr="00201735" w:rsidRDefault="0058789F" w:rsidP="00AD1066">
            <w:pPr>
              <w:pStyle w:val="TableBodyText"/>
            </w:pPr>
          </w:p>
        </w:tc>
        <w:tc>
          <w:tcPr>
            <w:tcW w:w="1454" w:type="pct"/>
            <w:noWrap/>
            <w:hideMark/>
          </w:tcPr>
          <w:p w14:paraId="3CA6F59E" w14:textId="77777777" w:rsidR="0058789F" w:rsidRDefault="0058789F" w:rsidP="00AD1066">
            <w:pPr>
              <w:pStyle w:val="TableHeading3rightalign"/>
            </w:pPr>
            <w:r>
              <w:t>Total interest income/(expense)</w:t>
            </w:r>
          </w:p>
          <w:p w14:paraId="6C297641" w14:textId="77777777" w:rsidR="0058789F" w:rsidRPr="00201735" w:rsidRDefault="0058789F" w:rsidP="00AD1066">
            <w:pPr>
              <w:pStyle w:val="TableHeading3rightalign"/>
            </w:pPr>
            <w:r>
              <w:t>($’000)</w:t>
            </w:r>
          </w:p>
        </w:tc>
        <w:tc>
          <w:tcPr>
            <w:tcW w:w="1183" w:type="pct"/>
            <w:noWrap/>
            <w:hideMark/>
          </w:tcPr>
          <w:p w14:paraId="0DAA7CE0" w14:textId="77777777" w:rsidR="0058789F" w:rsidRDefault="0058789F" w:rsidP="00AD1066">
            <w:pPr>
              <w:pStyle w:val="TableHeading3rightalign"/>
            </w:pPr>
            <w:r>
              <w:t>Total</w:t>
            </w:r>
          </w:p>
          <w:p w14:paraId="60854828" w14:textId="77777777" w:rsidR="0058789F" w:rsidRPr="00201735" w:rsidRDefault="0058789F" w:rsidP="00AD1066">
            <w:pPr>
              <w:pStyle w:val="TableHeading3rightalign"/>
            </w:pPr>
            <w:r>
              <w:t>($’000)</w:t>
            </w:r>
          </w:p>
        </w:tc>
      </w:tr>
      <w:tr w:rsidR="0058789F" w:rsidRPr="00201735" w14:paraId="3D0BC86A" w14:textId="77777777" w:rsidTr="00AD1066">
        <w:trPr>
          <w:trHeight w:val="255"/>
        </w:trPr>
        <w:tc>
          <w:tcPr>
            <w:tcW w:w="5000" w:type="pct"/>
            <w:gridSpan w:val="3"/>
            <w:shd w:val="clear" w:color="auto" w:fill="auto"/>
            <w:noWrap/>
          </w:tcPr>
          <w:p w14:paraId="27EFFEB9" w14:textId="77777777" w:rsidR="0058789F" w:rsidRPr="007E100F" w:rsidRDefault="0058789F" w:rsidP="00AD1066">
            <w:pPr>
              <w:pStyle w:val="TableBodyTextsmall"/>
            </w:pPr>
          </w:p>
        </w:tc>
      </w:tr>
      <w:tr w:rsidR="0058789F" w:rsidRPr="00201735" w14:paraId="0E43FF92" w14:textId="77777777" w:rsidTr="00AD1066">
        <w:trPr>
          <w:trHeight w:val="255"/>
        </w:trPr>
        <w:tc>
          <w:tcPr>
            <w:tcW w:w="5000" w:type="pct"/>
            <w:gridSpan w:val="3"/>
            <w:shd w:val="clear" w:color="auto" w:fill="D9D9D9"/>
            <w:noWrap/>
            <w:hideMark/>
          </w:tcPr>
          <w:p w14:paraId="08144FBF" w14:textId="77777777" w:rsidR="0058789F" w:rsidRPr="007211D6" w:rsidRDefault="0058789F" w:rsidP="00AD1066">
            <w:pPr>
              <w:pStyle w:val="TableBodyText"/>
              <w:rPr>
                <w:rStyle w:val="Characterbold"/>
              </w:rPr>
            </w:pPr>
            <w:r w:rsidRPr="007211D6">
              <w:rPr>
                <w:rStyle w:val="Characterbold"/>
              </w:rPr>
              <w:t>2023</w:t>
            </w:r>
          </w:p>
        </w:tc>
      </w:tr>
      <w:tr w:rsidR="0058789F" w:rsidRPr="00201735" w14:paraId="43599194" w14:textId="77777777" w:rsidTr="00AD1066">
        <w:trPr>
          <w:trHeight w:val="255"/>
        </w:trPr>
        <w:tc>
          <w:tcPr>
            <w:tcW w:w="5000" w:type="pct"/>
            <w:gridSpan w:val="3"/>
            <w:noWrap/>
            <w:hideMark/>
          </w:tcPr>
          <w:p w14:paraId="61B04BD2" w14:textId="77777777" w:rsidR="0058789F" w:rsidRPr="00201735" w:rsidRDefault="0058789F" w:rsidP="00AD1066">
            <w:pPr>
              <w:pStyle w:val="TableHeading1"/>
            </w:pPr>
            <w:r w:rsidRPr="00201735">
              <w:t>Contractual financial liabilities</w:t>
            </w:r>
          </w:p>
        </w:tc>
      </w:tr>
      <w:tr w:rsidR="0058789F" w:rsidRPr="00201735" w14:paraId="1A3D1DDB" w14:textId="77777777" w:rsidTr="00AD1066">
        <w:trPr>
          <w:trHeight w:val="255"/>
        </w:trPr>
        <w:tc>
          <w:tcPr>
            <w:tcW w:w="2363" w:type="pct"/>
            <w:tcBorders>
              <w:bottom w:val="dotted" w:sz="4" w:space="0" w:color="auto"/>
            </w:tcBorders>
            <w:noWrap/>
            <w:hideMark/>
          </w:tcPr>
          <w:p w14:paraId="5E32AFE2" w14:textId="77777777" w:rsidR="0058789F" w:rsidRPr="00201735" w:rsidRDefault="0058789F" w:rsidP="00AD1066">
            <w:pPr>
              <w:pStyle w:val="TableBodyText"/>
            </w:pPr>
            <w:r w:rsidRPr="00201735">
              <w:t>Financial liabilities at amortised cost</w:t>
            </w:r>
          </w:p>
        </w:tc>
        <w:tc>
          <w:tcPr>
            <w:tcW w:w="1454" w:type="pct"/>
            <w:tcBorders>
              <w:bottom w:val="dotted" w:sz="4" w:space="0" w:color="auto"/>
            </w:tcBorders>
            <w:shd w:val="clear" w:color="auto" w:fill="F2F2F2" w:themeFill="background1" w:themeFillShade="F2"/>
            <w:noWrap/>
          </w:tcPr>
          <w:p w14:paraId="59925820" w14:textId="77777777" w:rsidR="0058789F" w:rsidRPr="00201735" w:rsidRDefault="0058789F" w:rsidP="00AD1066">
            <w:pPr>
              <w:pStyle w:val="TableBodyTextrightalign"/>
            </w:pPr>
            <w:r>
              <w:t>(349)</w:t>
            </w:r>
          </w:p>
        </w:tc>
        <w:tc>
          <w:tcPr>
            <w:tcW w:w="1183" w:type="pct"/>
            <w:tcBorders>
              <w:bottom w:val="dotted" w:sz="4" w:space="0" w:color="auto"/>
            </w:tcBorders>
            <w:shd w:val="clear" w:color="auto" w:fill="F2F2F2"/>
            <w:noWrap/>
            <w:hideMark/>
          </w:tcPr>
          <w:p w14:paraId="5E4BBA76" w14:textId="77777777" w:rsidR="0058789F" w:rsidRPr="00201735" w:rsidRDefault="0058789F" w:rsidP="00AD1066">
            <w:pPr>
              <w:pStyle w:val="TableBodyTextrightalign"/>
            </w:pPr>
            <w:r>
              <w:t>(349)</w:t>
            </w:r>
          </w:p>
        </w:tc>
      </w:tr>
      <w:tr w:rsidR="0058789F" w:rsidRPr="00201735" w14:paraId="617944F7" w14:textId="77777777" w:rsidTr="00AD1066">
        <w:trPr>
          <w:trHeight w:val="270"/>
        </w:trPr>
        <w:tc>
          <w:tcPr>
            <w:tcW w:w="2363" w:type="pct"/>
            <w:tcBorders>
              <w:top w:val="dotted" w:sz="4" w:space="0" w:color="auto"/>
              <w:bottom w:val="single" w:sz="4" w:space="0" w:color="auto"/>
            </w:tcBorders>
            <w:noWrap/>
            <w:hideMark/>
          </w:tcPr>
          <w:p w14:paraId="35AF1DFF" w14:textId="77777777" w:rsidR="0058789F" w:rsidRPr="007211D6" w:rsidRDefault="0058789F" w:rsidP="00AD1066">
            <w:pPr>
              <w:pStyle w:val="TableBodyText"/>
              <w:rPr>
                <w:rStyle w:val="Characterbold"/>
              </w:rPr>
            </w:pPr>
            <w:r w:rsidRPr="007211D6">
              <w:rPr>
                <w:rStyle w:val="Characterbold"/>
              </w:rPr>
              <w:t>Total contractual financial liabilities</w:t>
            </w:r>
          </w:p>
        </w:tc>
        <w:tc>
          <w:tcPr>
            <w:tcW w:w="1454" w:type="pct"/>
            <w:tcBorders>
              <w:top w:val="dotted" w:sz="4" w:space="0" w:color="auto"/>
              <w:bottom w:val="single" w:sz="4" w:space="0" w:color="auto"/>
            </w:tcBorders>
            <w:shd w:val="clear" w:color="auto" w:fill="F2F2F2" w:themeFill="background1" w:themeFillShade="F2"/>
            <w:noWrap/>
          </w:tcPr>
          <w:p w14:paraId="1A1E8566" w14:textId="77777777" w:rsidR="0058789F" w:rsidRPr="007E78B5" w:rsidRDefault="0058789F" w:rsidP="007E78B5">
            <w:pPr>
              <w:pStyle w:val="TableBodyTextrightalign"/>
              <w:rPr>
                <w:rStyle w:val="Characterbold"/>
              </w:rPr>
            </w:pPr>
            <w:r w:rsidRPr="007E78B5">
              <w:rPr>
                <w:rStyle w:val="Characterbold"/>
              </w:rPr>
              <w:t>(349)</w:t>
            </w:r>
          </w:p>
        </w:tc>
        <w:tc>
          <w:tcPr>
            <w:tcW w:w="1183" w:type="pct"/>
            <w:tcBorders>
              <w:top w:val="dotted" w:sz="4" w:space="0" w:color="auto"/>
              <w:bottom w:val="single" w:sz="4" w:space="0" w:color="auto"/>
            </w:tcBorders>
            <w:shd w:val="clear" w:color="auto" w:fill="F2F2F2"/>
            <w:noWrap/>
            <w:hideMark/>
          </w:tcPr>
          <w:p w14:paraId="1FF051A7" w14:textId="77777777" w:rsidR="0058789F" w:rsidRPr="007E78B5" w:rsidRDefault="0058789F" w:rsidP="007E78B5">
            <w:pPr>
              <w:pStyle w:val="TableBodyTextrightalign"/>
              <w:rPr>
                <w:rStyle w:val="Characterbold"/>
              </w:rPr>
            </w:pPr>
            <w:r w:rsidRPr="007E78B5">
              <w:rPr>
                <w:rStyle w:val="Characterbold"/>
              </w:rPr>
              <w:t>(349)</w:t>
            </w:r>
          </w:p>
        </w:tc>
      </w:tr>
      <w:tr w:rsidR="0058789F" w:rsidRPr="00201735" w14:paraId="2EEE3A69" w14:textId="77777777" w:rsidTr="00AD1066">
        <w:trPr>
          <w:trHeight w:val="270"/>
        </w:trPr>
        <w:tc>
          <w:tcPr>
            <w:tcW w:w="5000" w:type="pct"/>
            <w:gridSpan w:val="3"/>
            <w:tcBorders>
              <w:top w:val="single" w:sz="4" w:space="0" w:color="auto"/>
            </w:tcBorders>
            <w:shd w:val="clear" w:color="auto" w:fill="auto"/>
            <w:noWrap/>
          </w:tcPr>
          <w:p w14:paraId="045794A5" w14:textId="77777777" w:rsidR="0058789F" w:rsidRPr="00817A43" w:rsidRDefault="0058789F" w:rsidP="00AD1066">
            <w:pPr>
              <w:pStyle w:val="TableBodyTextsmall"/>
              <w:rPr>
                <w:rStyle w:val="Characterbold"/>
              </w:rPr>
            </w:pPr>
          </w:p>
        </w:tc>
      </w:tr>
      <w:tr w:rsidR="0058789F" w:rsidRPr="00201735" w14:paraId="302BFBC4" w14:textId="77777777" w:rsidTr="00AD1066">
        <w:trPr>
          <w:trHeight w:val="270"/>
        </w:trPr>
        <w:tc>
          <w:tcPr>
            <w:tcW w:w="5000" w:type="pct"/>
            <w:gridSpan w:val="3"/>
            <w:shd w:val="clear" w:color="auto" w:fill="D9D9D9"/>
            <w:noWrap/>
          </w:tcPr>
          <w:p w14:paraId="04439807" w14:textId="77777777" w:rsidR="0058789F" w:rsidRPr="00817A43" w:rsidRDefault="0058789F" w:rsidP="00AD1066">
            <w:pPr>
              <w:pStyle w:val="TableBodyText"/>
              <w:rPr>
                <w:rStyle w:val="Characterbold"/>
              </w:rPr>
            </w:pPr>
            <w:r w:rsidRPr="00817A43">
              <w:rPr>
                <w:rStyle w:val="Characterbold"/>
              </w:rPr>
              <w:t>2022</w:t>
            </w:r>
          </w:p>
        </w:tc>
      </w:tr>
      <w:tr w:rsidR="0058789F" w:rsidRPr="00201735" w14:paraId="6B8DDE3A" w14:textId="77777777" w:rsidTr="00AD1066">
        <w:trPr>
          <w:trHeight w:val="270"/>
        </w:trPr>
        <w:tc>
          <w:tcPr>
            <w:tcW w:w="2371" w:type="pct"/>
            <w:noWrap/>
          </w:tcPr>
          <w:p w14:paraId="22666306" w14:textId="77777777" w:rsidR="0058789F" w:rsidRPr="00201735" w:rsidRDefault="0058789F" w:rsidP="00AD1066">
            <w:pPr>
              <w:pStyle w:val="TableHeading1"/>
            </w:pPr>
            <w:r w:rsidRPr="00201735">
              <w:t>Contractual financial liabilities</w:t>
            </w:r>
          </w:p>
        </w:tc>
        <w:tc>
          <w:tcPr>
            <w:tcW w:w="1447" w:type="pct"/>
            <w:shd w:val="clear" w:color="auto" w:fill="auto"/>
            <w:noWrap/>
          </w:tcPr>
          <w:p w14:paraId="4CF1A855" w14:textId="77777777" w:rsidR="0058789F" w:rsidRDefault="0058789F" w:rsidP="00AD1066">
            <w:pPr>
              <w:pStyle w:val="TableBodyTextrightalign"/>
            </w:pPr>
          </w:p>
        </w:tc>
        <w:tc>
          <w:tcPr>
            <w:tcW w:w="1183" w:type="pct"/>
            <w:noWrap/>
          </w:tcPr>
          <w:p w14:paraId="6DD3A5D5" w14:textId="77777777" w:rsidR="0058789F" w:rsidRDefault="0058789F" w:rsidP="00AD1066">
            <w:pPr>
              <w:pStyle w:val="TableBodyTextrightalign"/>
            </w:pPr>
          </w:p>
        </w:tc>
      </w:tr>
      <w:tr w:rsidR="0058789F" w:rsidRPr="00201735" w14:paraId="5B6A938D" w14:textId="77777777" w:rsidTr="00AD1066">
        <w:trPr>
          <w:trHeight w:val="270"/>
        </w:trPr>
        <w:tc>
          <w:tcPr>
            <w:tcW w:w="2371" w:type="pct"/>
            <w:noWrap/>
          </w:tcPr>
          <w:p w14:paraId="3C934F08" w14:textId="77777777" w:rsidR="0058789F" w:rsidRPr="00201735" w:rsidRDefault="0058789F" w:rsidP="00AD1066">
            <w:pPr>
              <w:pStyle w:val="TableBodyText"/>
            </w:pPr>
            <w:r w:rsidRPr="00201735">
              <w:t>Financial liabilities at amortised cost</w:t>
            </w:r>
          </w:p>
        </w:tc>
        <w:tc>
          <w:tcPr>
            <w:tcW w:w="1447" w:type="pct"/>
            <w:shd w:val="clear" w:color="auto" w:fill="auto"/>
            <w:noWrap/>
          </w:tcPr>
          <w:p w14:paraId="7A4BB866" w14:textId="77777777" w:rsidR="0058789F" w:rsidRDefault="0058789F" w:rsidP="00AD1066">
            <w:pPr>
              <w:pStyle w:val="TableBodyTextrightalign"/>
            </w:pPr>
            <w:r>
              <w:t>(537)</w:t>
            </w:r>
          </w:p>
        </w:tc>
        <w:tc>
          <w:tcPr>
            <w:tcW w:w="1183" w:type="pct"/>
            <w:noWrap/>
          </w:tcPr>
          <w:p w14:paraId="45EE20BC" w14:textId="77777777" w:rsidR="0058789F" w:rsidRDefault="0058789F" w:rsidP="00AD1066">
            <w:pPr>
              <w:pStyle w:val="TableBodyTextrightalign"/>
            </w:pPr>
            <w:r>
              <w:t>(537)</w:t>
            </w:r>
          </w:p>
        </w:tc>
      </w:tr>
      <w:tr w:rsidR="0058789F" w:rsidRPr="00201735" w14:paraId="5D4D62C2"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2371" w:type="pct"/>
            <w:noWrap/>
          </w:tcPr>
          <w:p w14:paraId="22AB7E76" w14:textId="77777777" w:rsidR="0058789F" w:rsidRPr="00201735" w:rsidRDefault="0058789F" w:rsidP="00AD1066">
            <w:pPr>
              <w:pStyle w:val="TableBodyText"/>
            </w:pPr>
            <w:r w:rsidRPr="00201735">
              <w:t>Total contractual financial liabilities</w:t>
            </w:r>
          </w:p>
        </w:tc>
        <w:tc>
          <w:tcPr>
            <w:tcW w:w="1447" w:type="pct"/>
            <w:shd w:val="clear" w:color="auto" w:fill="auto"/>
            <w:noWrap/>
          </w:tcPr>
          <w:p w14:paraId="281F4079" w14:textId="77777777" w:rsidR="0058789F" w:rsidRDefault="0058789F" w:rsidP="00AD1066">
            <w:pPr>
              <w:pStyle w:val="TableBodyTextrightalign"/>
            </w:pPr>
            <w:r>
              <w:t>(537)</w:t>
            </w:r>
          </w:p>
        </w:tc>
        <w:tc>
          <w:tcPr>
            <w:tcW w:w="1183" w:type="pct"/>
            <w:noWrap/>
          </w:tcPr>
          <w:p w14:paraId="51F91FFF" w14:textId="77777777" w:rsidR="0058789F" w:rsidRDefault="0058789F" w:rsidP="00AD1066">
            <w:pPr>
              <w:pStyle w:val="TableBodyTextrightalign"/>
            </w:pPr>
            <w:r>
              <w:t>(537)</w:t>
            </w:r>
          </w:p>
        </w:tc>
      </w:tr>
    </w:tbl>
    <w:p w14:paraId="7CD2A69B" w14:textId="77777777" w:rsidR="0058789F" w:rsidRDefault="0058789F" w:rsidP="0058789F">
      <w:pPr>
        <w:pStyle w:val="TableNote"/>
      </w:pPr>
    </w:p>
    <w:p w14:paraId="384E8B5C" w14:textId="77777777" w:rsidR="0058789F" w:rsidRPr="0055453C" w:rsidRDefault="0058789F" w:rsidP="0058789F">
      <w:pPr>
        <w:pStyle w:val="BodyText"/>
      </w:pPr>
      <w:r w:rsidRPr="0055453C">
        <w:t>The net holding gains or losses disclosed above are determined as follows:</w:t>
      </w:r>
    </w:p>
    <w:p w14:paraId="3845166C" w14:textId="77777777" w:rsidR="0058789F" w:rsidRPr="0055453C" w:rsidRDefault="0058789F" w:rsidP="0058789F">
      <w:pPr>
        <w:pStyle w:val="ListBullet"/>
        <w:ind w:left="357" w:hanging="357"/>
      </w:pPr>
      <w:r w:rsidRPr="0055453C">
        <w:t xml:space="preserve">for financial liabilities measured at amortised cost, the net gain or loss is calculated by taking the interest expense, plus or minus foreign exchange gains or losses arising from the revaluation of financial liabilities measured at amortised cost. </w:t>
      </w:r>
    </w:p>
    <w:p w14:paraId="4D7A0A72" w14:textId="77777777" w:rsidR="0058789F" w:rsidRPr="003115CA" w:rsidRDefault="0058789F" w:rsidP="00CE2908">
      <w:pPr>
        <w:pStyle w:val="NotesHeading3"/>
      </w:pPr>
      <w:r w:rsidRPr="007211D6">
        <w:t xml:space="preserve"> </w:t>
      </w:r>
      <w:r w:rsidRPr="003115CA">
        <w:t>Financial risk management objectives and policies</w:t>
      </w:r>
    </w:p>
    <w:p w14:paraId="5DEF8FC1" w14:textId="77777777" w:rsidR="0058789F" w:rsidRPr="0055453C" w:rsidRDefault="0058789F" w:rsidP="0058789F">
      <w:pPr>
        <w:pStyle w:val="BodyText"/>
      </w:pPr>
      <w:r w:rsidRPr="0055453C">
        <w:t>As a whole, IBAC’s financial risk management program seeks to manage these risks and the associated volatility of its financial performance.</w:t>
      </w:r>
    </w:p>
    <w:p w14:paraId="4A6ABEDF" w14:textId="77777777" w:rsidR="0058789F" w:rsidRPr="0055453C" w:rsidRDefault="0058789F" w:rsidP="0058789F">
      <w:pPr>
        <w:pStyle w:val="BodyText"/>
      </w:pPr>
      <w:r w:rsidRPr="0055453C">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w:t>
      </w:r>
      <w:r>
        <w:fldChar w:fldCharType="begin"/>
      </w:r>
      <w:r>
        <w:instrText xml:space="preserve"> REF _Ref145067231 \n \h </w:instrText>
      </w:r>
      <w:r>
        <w:fldChar w:fldCharType="separate"/>
      </w:r>
      <w:r>
        <w:t>7.1</w:t>
      </w:r>
      <w:r>
        <w:fldChar w:fldCharType="end"/>
      </w:r>
      <w:r w:rsidRPr="0055453C">
        <w:t>.</w:t>
      </w:r>
    </w:p>
    <w:p w14:paraId="7C295018" w14:textId="77777777" w:rsidR="0058789F" w:rsidRPr="0055453C" w:rsidRDefault="0058789F" w:rsidP="0058789F">
      <w:pPr>
        <w:pStyle w:val="BodyText"/>
      </w:pPr>
      <w:r w:rsidRPr="0055453C">
        <w:t>The main purpose in holding financial instruments is to prudentially manage IBAC’s financial risks within the government policy parameters.</w:t>
      </w:r>
    </w:p>
    <w:p w14:paraId="57F295D0" w14:textId="77777777" w:rsidR="0058789F" w:rsidRPr="0055453C" w:rsidRDefault="0058789F" w:rsidP="0058789F">
      <w:pPr>
        <w:pStyle w:val="BodyText"/>
      </w:pPr>
      <w:r w:rsidRPr="0055453C">
        <w:t>IBAC’s main financial risks include credit risk, liquidity risk and interest rate risk. IBAC manages these financial risks in accordance with its financial risk management policy.</w:t>
      </w:r>
    </w:p>
    <w:p w14:paraId="5601F00D" w14:textId="6B4B7DF0" w:rsidR="0058789F" w:rsidRPr="0055453C" w:rsidRDefault="0058789F" w:rsidP="0058789F">
      <w:pPr>
        <w:pStyle w:val="BodyText"/>
      </w:pPr>
      <w:r w:rsidRPr="0055453C">
        <w:t>IBAC uses different methods to measure and manage the different risks to which it is exposed. Primary responsibility for the identification and management of financial risks rests with the Chief Financial Officer.</w:t>
      </w:r>
    </w:p>
    <w:p w14:paraId="0E29222F" w14:textId="77777777" w:rsidR="00823D3C" w:rsidRPr="007211D6" w:rsidRDefault="00823D3C" w:rsidP="007211D6">
      <w:pPr>
        <w:pStyle w:val="BodyText"/>
      </w:pPr>
      <w:r>
        <w:br w:type="page"/>
      </w:r>
    </w:p>
    <w:p w14:paraId="23630482" w14:textId="4A468355" w:rsidR="0058789F" w:rsidRPr="0055453C" w:rsidRDefault="0058789F" w:rsidP="0058789F">
      <w:pPr>
        <w:pStyle w:val="Heading5"/>
      </w:pPr>
      <w:r w:rsidRPr="0055453C">
        <w:t xml:space="preserve">Financial instruments: </w:t>
      </w:r>
      <w:r>
        <w:t>c</w:t>
      </w:r>
      <w:r w:rsidRPr="0055453C">
        <w:t xml:space="preserve">redit </w:t>
      </w:r>
      <w:r>
        <w:t>r</w:t>
      </w:r>
      <w:r w:rsidRPr="0055453C">
        <w:t>isk</w:t>
      </w:r>
    </w:p>
    <w:p w14:paraId="28B0A447" w14:textId="77777777" w:rsidR="0058789F" w:rsidRPr="0055453C" w:rsidRDefault="0058789F" w:rsidP="0058789F">
      <w:pPr>
        <w:pStyle w:val="BodyText"/>
      </w:pPr>
      <w:r w:rsidRPr="0055453C">
        <w:t>Credit risk refers to the possibility that a borrower will default on its financial obligations as and when they fall due. IBAC’s exposure to credit risk arises from the potential default of a counter party on their contractual obligations resulting in financial loss to IBAC. Credit risk is measured at fair value and is monitored on a regular basis.</w:t>
      </w:r>
    </w:p>
    <w:p w14:paraId="1B9B0259" w14:textId="77777777" w:rsidR="0058789F" w:rsidRPr="0055453C" w:rsidRDefault="0058789F" w:rsidP="0058789F">
      <w:pPr>
        <w:pStyle w:val="BodyText"/>
      </w:pPr>
      <w:r w:rsidRPr="0055453C">
        <w:t>Credit risk associated with IBAC’s contractual financial assets is minimal because the main debtor is the Victorian Government.</w:t>
      </w:r>
    </w:p>
    <w:p w14:paraId="24B5DFE8" w14:textId="77777777" w:rsidR="0058789F" w:rsidRPr="0055453C" w:rsidRDefault="0058789F" w:rsidP="0058789F">
      <w:pPr>
        <w:pStyle w:val="BodyText"/>
      </w:pPr>
      <w:r w:rsidRPr="0055453C">
        <w:t>In addition, IBAC does not engage in hedging for its contractual financial assets and mainly obtains contractual financial assets that are on fixed interest, except for cash and deposits, which are mainly cash at bank. As with the policy for debtors, IBAC’s policy is to only deal with banks with high credit ratings.</w:t>
      </w:r>
    </w:p>
    <w:p w14:paraId="705B9D5F" w14:textId="77777777" w:rsidR="0058789F" w:rsidRPr="0055453C" w:rsidRDefault="0058789F" w:rsidP="0058789F">
      <w:pPr>
        <w:pStyle w:val="BodyText"/>
      </w:pPr>
      <w:r w:rsidRPr="0055453C">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05B13A67" w14:textId="77777777" w:rsidR="0058789F" w:rsidRPr="0055453C" w:rsidRDefault="0058789F" w:rsidP="0058789F">
      <w:pPr>
        <w:pStyle w:val="BodyText"/>
      </w:pPr>
      <w:r w:rsidRPr="005A5F69">
        <w:t>There has been no material change to IBAC’s credit risk profile in 2022/23.</w:t>
      </w:r>
    </w:p>
    <w:p w14:paraId="7B1A42AD" w14:textId="77777777" w:rsidR="0058789F" w:rsidRPr="0055453C" w:rsidRDefault="0058789F" w:rsidP="0058789F">
      <w:pPr>
        <w:pStyle w:val="Heading5"/>
      </w:pPr>
      <w:r w:rsidRPr="0055453C">
        <w:t>Impairment of financial assets under AASB 9</w:t>
      </w:r>
    </w:p>
    <w:p w14:paraId="397CEF11" w14:textId="77777777" w:rsidR="0058789F" w:rsidRPr="0055453C" w:rsidRDefault="0058789F" w:rsidP="0058789F">
      <w:pPr>
        <w:pStyle w:val="BodyText"/>
      </w:pPr>
      <w:r w:rsidRPr="0055453C">
        <w:t xml:space="preserve">IBAC records the allowance for expected credit loss for the relevant financial instruments applying AASB 9’s </w:t>
      </w:r>
      <w:r>
        <w:t>e</w:t>
      </w:r>
      <w:r w:rsidRPr="0055453C">
        <w:t xml:space="preserve">xpected </w:t>
      </w:r>
      <w:r>
        <w:t>c</w:t>
      </w:r>
      <w:r w:rsidRPr="0055453C">
        <w:t xml:space="preserve">redit </w:t>
      </w:r>
      <w:r>
        <w:t>l</w:t>
      </w:r>
      <w:r w:rsidRPr="0055453C">
        <w:t>oss approach. Subject to AASB 9</w:t>
      </w:r>
      <w:r>
        <w:t>’s</w:t>
      </w:r>
      <w:r w:rsidRPr="0055453C">
        <w:t xml:space="preserve"> impairment assessment</w:t>
      </w:r>
      <w:r>
        <w:t>,</w:t>
      </w:r>
      <w:r w:rsidRPr="0055453C">
        <w:t xml:space="preserve"> include</w:t>
      </w:r>
      <w:r>
        <w:t>s</w:t>
      </w:r>
      <w:r w:rsidRPr="0055453C">
        <w:t xml:space="preserve"> IBAC’s contractual receivables, statutory receivables and its investment in debt instruments.</w:t>
      </w:r>
    </w:p>
    <w:p w14:paraId="08EC41B6" w14:textId="77777777" w:rsidR="0058789F" w:rsidRPr="0055453C" w:rsidRDefault="0058789F" w:rsidP="0058789F">
      <w:pPr>
        <w:pStyle w:val="Heading5"/>
      </w:pPr>
      <w:r w:rsidRPr="0055453C">
        <w:t>Contractual receivables at amortised cost</w:t>
      </w:r>
    </w:p>
    <w:p w14:paraId="6AA1911F" w14:textId="77777777" w:rsidR="0058789F" w:rsidRPr="0055453C" w:rsidRDefault="0058789F" w:rsidP="0058789F">
      <w:pPr>
        <w:pStyle w:val="BodyText"/>
      </w:pPr>
      <w:r w:rsidRPr="0055453C">
        <w:t>IBAC applies AASB 9</w:t>
      </w:r>
      <w:r>
        <w:t>’s</w:t>
      </w:r>
      <w:r w:rsidRPr="0055453C">
        <w:t xml:space="preserve"> simplified approach for all contractual receivables to measure expected credit losses using a lifetime expected loss allowance based on the assumptions about risk of default and expected loss rates.</w:t>
      </w:r>
    </w:p>
    <w:p w14:paraId="53494055" w14:textId="77777777" w:rsidR="0058789F" w:rsidRPr="0055453C" w:rsidRDefault="0058789F" w:rsidP="0058789F">
      <w:pPr>
        <w:pStyle w:val="Heading5"/>
      </w:pPr>
      <w:r w:rsidRPr="0055453C">
        <w:t xml:space="preserve">Financial instruments: </w:t>
      </w:r>
      <w:r>
        <w:t>l</w:t>
      </w:r>
      <w:r w:rsidRPr="0055453C">
        <w:t xml:space="preserve">iquidity </w:t>
      </w:r>
      <w:r>
        <w:t>r</w:t>
      </w:r>
      <w:r w:rsidRPr="0055453C">
        <w:t>isk</w:t>
      </w:r>
    </w:p>
    <w:p w14:paraId="3C35D033" w14:textId="77777777" w:rsidR="0058789F" w:rsidRPr="0055453C" w:rsidRDefault="0058789F" w:rsidP="0058789F">
      <w:pPr>
        <w:pStyle w:val="BodyText"/>
      </w:pPr>
      <w:r w:rsidRPr="0055453C">
        <w:t>Liquidity risk arises from being unable to meet financial obligations as they fall due. IBAC operates under the Government fair payments policy of settling financial obligations within 30 days and in the event of a dispute, making payments within 30 days from the date of resolution.</w:t>
      </w:r>
    </w:p>
    <w:p w14:paraId="77810DC4" w14:textId="77777777" w:rsidR="0058789F" w:rsidRPr="0055453C" w:rsidRDefault="0058789F" w:rsidP="0058789F">
      <w:pPr>
        <w:pStyle w:val="BodyText"/>
      </w:pPr>
      <w:r w:rsidRPr="0055453C">
        <w:t>IBAC is exposed to liquidity risk mainly through the financial liabilities as disclosed in the face of the balance sheet. IBAC’s exposure to liquidity risk is deemed insignificant based on prior periods’ data and current assessment of risk.</w:t>
      </w:r>
    </w:p>
    <w:p w14:paraId="2CF9FEDB" w14:textId="77777777" w:rsidR="0058789F" w:rsidRPr="0055453C" w:rsidRDefault="0058789F" w:rsidP="0058789F">
      <w:pPr>
        <w:pStyle w:val="Heading5"/>
      </w:pPr>
      <w:r w:rsidRPr="0055453C">
        <w:t xml:space="preserve">Financial instruments: </w:t>
      </w:r>
      <w:r>
        <w:t>i</w:t>
      </w:r>
      <w:r w:rsidRPr="0055453C">
        <w:t xml:space="preserve">nterest </w:t>
      </w:r>
      <w:r>
        <w:t>r</w:t>
      </w:r>
      <w:r w:rsidRPr="0055453C">
        <w:t xml:space="preserve">ate </w:t>
      </w:r>
      <w:r>
        <w:t>r</w:t>
      </w:r>
      <w:r w:rsidRPr="0055453C">
        <w:t>isk</w:t>
      </w:r>
    </w:p>
    <w:p w14:paraId="0DB2EBB5" w14:textId="77777777" w:rsidR="0058789F" w:rsidRPr="0055453C" w:rsidRDefault="0058789F" w:rsidP="0058789F">
      <w:pPr>
        <w:pStyle w:val="BodyText"/>
      </w:pPr>
      <w:r w:rsidRPr="0055453C">
        <w:t>Fair value interest rate risk is the risk that the fair value of a financial instrument will fluctuate because of changes in market interest rates. IBAC does not hold any interest</w:t>
      </w:r>
      <w:r>
        <w:t>-</w:t>
      </w:r>
      <w:r w:rsidRPr="0055453C">
        <w:t>bearing financial instruments that are measured at fair value, and therefore has no exposure to fair value interest rate risk. IBAC manages this risk by mainly undertaking fixed rate or non-interest</w:t>
      </w:r>
      <w:r>
        <w:t>-</w:t>
      </w:r>
      <w:r w:rsidRPr="0055453C">
        <w:t>bearing financial instruments with relatively even maturity profiles.</w:t>
      </w:r>
    </w:p>
    <w:p w14:paraId="2409318F" w14:textId="77777777" w:rsidR="0058789F" w:rsidRDefault="0058789F" w:rsidP="0058789F">
      <w:pPr>
        <w:pStyle w:val="BodyText"/>
      </w:pPr>
      <w:r w:rsidRPr="0055453C">
        <w:t>The carrying amounts of financial assets and financial liabilities exposed to interest rates are set out in</w:t>
      </w:r>
      <w:r>
        <w:t xml:space="preserve"> the following table.</w:t>
      </w:r>
    </w:p>
    <w:p w14:paraId="0FBEF446" w14:textId="77777777" w:rsidR="0058789F" w:rsidRPr="007211D6" w:rsidRDefault="0058789F" w:rsidP="007211D6">
      <w:pPr>
        <w:pStyle w:val="BodyText"/>
      </w:pPr>
      <w:r>
        <w:br w:type="page"/>
      </w:r>
    </w:p>
    <w:p w14:paraId="2BADD32F" w14:textId="77777777" w:rsidR="0058789F" w:rsidRDefault="0058789F" w:rsidP="0058789F">
      <w:pPr>
        <w:pStyle w:val="Caption"/>
      </w:pPr>
      <w:r w:rsidRPr="00586A71">
        <w:t>Interest rate exposure of financial instruments</w:t>
      </w:r>
    </w:p>
    <w:tbl>
      <w:tblPr>
        <w:tblStyle w:val="CustomTabledetailed"/>
        <w:tblW w:w="9278" w:type="dxa"/>
        <w:tblLook w:val="0660" w:firstRow="1" w:lastRow="1" w:firstColumn="0" w:lastColumn="0" w:noHBand="1" w:noVBand="1"/>
      </w:tblPr>
      <w:tblGrid>
        <w:gridCol w:w="2162"/>
        <w:gridCol w:w="1903"/>
        <w:gridCol w:w="1887"/>
        <w:gridCol w:w="1608"/>
        <w:gridCol w:w="1718"/>
      </w:tblGrid>
      <w:tr w:rsidR="0058789F" w:rsidRPr="00EF2AE3" w14:paraId="74CA0368" w14:textId="77777777" w:rsidTr="00AD1066">
        <w:trPr>
          <w:cnfStyle w:val="100000000000" w:firstRow="1" w:lastRow="0" w:firstColumn="0" w:lastColumn="0" w:oddVBand="0" w:evenVBand="0" w:oddHBand="0" w:evenHBand="0" w:firstRowFirstColumn="0" w:firstRowLastColumn="0" w:lastRowFirstColumn="0" w:lastRowLastColumn="0"/>
          <w:trHeight w:val="350"/>
        </w:trPr>
        <w:tc>
          <w:tcPr>
            <w:tcW w:w="2162" w:type="dxa"/>
            <w:noWrap/>
            <w:hideMark/>
          </w:tcPr>
          <w:p w14:paraId="468B7CED" w14:textId="77777777" w:rsidR="0058789F" w:rsidRPr="00EF2AE3" w:rsidRDefault="0058789F" w:rsidP="00AD1066">
            <w:pPr>
              <w:pStyle w:val="TableBodyText"/>
            </w:pPr>
            <w:r w:rsidRPr="00EF2AE3">
              <w:t> </w:t>
            </w:r>
          </w:p>
        </w:tc>
        <w:tc>
          <w:tcPr>
            <w:tcW w:w="1903" w:type="dxa"/>
            <w:vMerge w:val="restart"/>
            <w:hideMark/>
          </w:tcPr>
          <w:p w14:paraId="70447B8B" w14:textId="77777777" w:rsidR="0058789F" w:rsidRDefault="0058789F" w:rsidP="00AD1066">
            <w:pPr>
              <w:pStyle w:val="TableHeading3rightalign"/>
            </w:pPr>
            <w:r w:rsidRPr="00EF2AE3">
              <w:t xml:space="preserve">Weighted average interest rate </w:t>
            </w:r>
          </w:p>
          <w:p w14:paraId="0E446F79" w14:textId="77777777" w:rsidR="0058789F" w:rsidRPr="00EF2AE3" w:rsidRDefault="0058789F" w:rsidP="00AD1066">
            <w:pPr>
              <w:pStyle w:val="TableHeading3rightalign"/>
            </w:pPr>
            <w:r>
              <w:t>(</w:t>
            </w:r>
            <w:r w:rsidRPr="00EF2AE3">
              <w:t>%</w:t>
            </w:r>
            <w:r>
              <w:t>)</w:t>
            </w:r>
          </w:p>
        </w:tc>
        <w:tc>
          <w:tcPr>
            <w:tcW w:w="1887" w:type="dxa"/>
            <w:vMerge w:val="restart"/>
            <w:hideMark/>
          </w:tcPr>
          <w:p w14:paraId="72751EB0" w14:textId="77777777" w:rsidR="0058789F" w:rsidRDefault="0058789F" w:rsidP="00AD1066">
            <w:pPr>
              <w:pStyle w:val="TableHeading3rightalign"/>
            </w:pPr>
            <w:r w:rsidRPr="00EF2AE3">
              <w:t>Carrying amount</w:t>
            </w:r>
            <w:r w:rsidRPr="00BD72C5">
              <w:rPr>
                <w:rStyle w:val="Charactersuperscript"/>
              </w:rPr>
              <w:t>(</w:t>
            </w:r>
            <w:r>
              <w:rPr>
                <w:rStyle w:val="Charactersuperscript"/>
              </w:rPr>
              <w:t>a</w:t>
            </w:r>
            <w:r w:rsidRPr="00BD72C5">
              <w:rPr>
                <w:rStyle w:val="Charactersuperscript"/>
              </w:rPr>
              <w:t>)</w:t>
            </w:r>
          </w:p>
          <w:p w14:paraId="12274CD0" w14:textId="77777777" w:rsidR="0058789F" w:rsidRPr="00EF2AE3" w:rsidRDefault="0058789F" w:rsidP="00AD1066">
            <w:pPr>
              <w:pStyle w:val="TableHeading3rightalign"/>
            </w:pPr>
            <w:r>
              <w:t>(</w:t>
            </w:r>
            <w:r w:rsidRPr="00EF2AE3">
              <w:t>$’000</w:t>
            </w:r>
            <w:r>
              <w:t>)</w:t>
            </w:r>
          </w:p>
        </w:tc>
        <w:tc>
          <w:tcPr>
            <w:tcW w:w="3326" w:type="dxa"/>
            <w:gridSpan w:val="2"/>
            <w:hideMark/>
          </w:tcPr>
          <w:p w14:paraId="08BA793E" w14:textId="77777777" w:rsidR="0058789F" w:rsidRPr="00EF2AE3" w:rsidRDefault="0058789F" w:rsidP="00AD1066">
            <w:pPr>
              <w:pStyle w:val="TableHeading1"/>
            </w:pPr>
            <w:r w:rsidRPr="00EF2AE3">
              <w:t>Interest rate exposure</w:t>
            </w:r>
          </w:p>
        </w:tc>
      </w:tr>
      <w:tr w:rsidR="0058789F" w:rsidRPr="00EF2AE3" w14:paraId="16EE3D82" w14:textId="77777777" w:rsidTr="00AD1066">
        <w:trPr>
          <w:trHeight w:val="803"/>
        </w:trPr>
        <w:tc>
          <w:tcPr>
            <w:tcW w:w="2162" w:type="dxa"/>
            <w:shd w:val="clear" w:color="auto" w:fill="E5DFEC" w:themeFill="accent4" w:themeFillTint="33"/>
            <w:noWrap/>
            <w:hideMark/>
          </w:tcPr>
          <w:p w14:paraId="04F19C5A" w14:textId="77777777" w:rsidR="0058789F" w:rsidRPr="00EF2AE3" w:rsidRDefault="0058789F" w:rsidP="00AD1066">
            <w:pPr>
              <w:pStyle w:val="TableHeading3rightalign"/>
            </w:pPr>
            <w:r w:rsidRPr="00EF2AE3">
              <w:t> </w:t>
            </w:r>
          </w:p>
        </w:tc>
        <w:tc>
          <w:tcPr>
            <w:tcW w:w="1903" w:type="dxa"/>
            <w:vMerge/>
            <w:hideMark/>
          </w:tcPr>
          <w:p w14:paraId="4407EE01" w14:textId="77777777" w:rsidR="0058789F" w:rsidRPr="00EF2AE3" w:rsidRDefault="0058789F" w:rsidP="00AD1066">
            <w:pPr>
              <w:pStyle w:val="TableHeading3rightalign"/>
            </w:pPr>
          </w:p>
        </w:tc>
        <w:tc>
          <w:tcPr>
            <w:tcW w:w="1887" w:type="dxa"/>
            <w:vMerge/>
            <w:hideMark/>
          </w:tcPr>
          <w:p w14:paraId="7F4276E0" w14:textId="77777777" w:rsidR="0058789F" w:rsidRPr="00EF2AE3" w:rsidRDefault="0058789F" w:rsidP="00AD1066">
            <w:pPr>
              <w:pStyle w:val="TableHeading3rightalign"/>
            </w:pPr>
          </w:p>
        </w:tc>
        <w:tc>
          <w:tcPr>
            <w:tcW w:w="1608" w:type="dxa"/>
            <w:shd w:val="clear" w:color="auto" w:fill="E5DFEC" w:themeFill="accent4" w:themeFillTint="33"/>
            <w:hideMark/>
          </w:tcPr>
          <w:p w14:paraId="33D75966" w14:textId="77777777" w:rsidR="0058789F" w:rsidRDefault="0058789F" w:rsidP="00AD1066">
            <w:pPr>
              <w:pStyle w:val="TableHeading3rightalign"/>
            </w:pPr>
            <w:r w:rsidRPr="00EF2AE3">
              <w:t>Fixed interest rate</w:t>
            </w:r>
          </w:p>
          <w:p w14:paraId="678D78CA" w14:textId="77777777" w:rsidR="0058789F" w:rsidRPr="00EF2AE3" w:rsidRDefault="0058789F" w:rsidP="00AD1066">
            <w:pPr>
              <w:pStyle w:val="TableHeading3rightalign"/>
            </w:pPr>
            <w:r>
              <w:t>(</w:t>
            </w:r>
            <w:r w:rsidRPr="00EF2AE3">
              <w:t>$’000</w:t>
            </w:r>
            <w:r>
              <w:t>)</w:t>
            </w:r>
          </w:p>
        </w:tc>
        <w:tc>
          <w:tcPr>
            <w:tcW w:w="1718" w:type="dxa"/>
            <w:shd w:val="clear" w:color="auto" w:fill="E5DFEC" w:themeFill="accent4" w:themeFillTint="33"/>
            <w:hideMark/>
          </w:tcPr>
          <w:p w14:paraId="395FDC50" w14:textId="77777777" w:rsidR="0058789F" w:rsidRDefault="0058789F" w:rsidP="00AD1066">
            <w:pPr>
              <w:pStyle w:val="TableHeading3rightalign"/>
            </w:pPr>
            <w:r w:rsidRPr="00EF2AE3">
              <w:t>Non-interest</w:t>
            </w:r>
            <w:r>
              <w:t>-</w:t>
            </w:r>
            <w:r w:rsidRPr="00EF2AE3">
              <w:t>bearing</w:t>
            </w:r>
          </w:p>
          <w:p w14:paraId="2D93B75D" w14:textId="77777777" w:rsidR="0058789F" w:rsidRPr="00EF2AE3" w:rsidRDefault="0058789F" w:rsidP="00AD1066">
            <w:pPr>
              <w:pStyle w:val="TableHeading3rightalign"/>
            </w:pPr>
            <w:r>
              <w:t>(</w:t>
            </w:r>
            <w:r w:rsidRPr="00EF2AE3">
              <w:t>$’000</w:t>
            </w:r>
            <w:r>
              <w:t>)</w:t>
            </w:r>
          </w:p>
        </w:tc>
      </w:tr>
      <w:tr w:rsidR="0058789F" w:rsidRPr="00EF2AE3" w14:paraId="26D142E3" w14:textId="77777777" w:rsidTr="00AD1066">
        <w:trPr>
          <w:trHeight w:val="248"/>
        </w:trPr>
        <w:tc>
          <w:tcPr>
            <w:tcW w:w="9278" w:type="dxa"/>
            <w:gridSpan w:val="5"/>
            <w:noWrap/>
            <w:hideMark/>
          </w:tcPr>
          <w:p w14:paraId="4CBA6C15" w14:textId="77777777" w:rsidR="0058789F" w:rsidRPr="00EF2AE3" w:rsidRDefault="0058789F" w:rsidP="00AD1066">
            <w:pPr>
              <w:pStyle w:val="TableBodyTextsmall"/>
            </w:pPr>
          </w:p>
        </w:tc>
      </w:tr>
      <w:tr w:rsidR="0058789F" w:rsidRPr="00EF2AE3" w14:paraId="24C6C945" w14:textId="77777777" w:rsidTr="00AD1066">
        <w:trPr>
          <w:trHeight w:val="248"/>
        </w:trPr>
        <w:tc>
          <w:tcPr>
            <w:tcW w:w="9278" w:type="dxa"/>
            <w:gridSpan w:val="5"/>
            <w:shd w:val="clear" w:color="auto" w:fill="D9D9D9" w:themeFill="background1" w:themeFillShade="D9"/>
            <w:noWrap/>
            <w:hideMark/>
          </w:tcPr>
          <w:p w14:paraId="44FFCF76" w14:textId="77777777" w:rsidR="0058789F" w:rsidRPr="00EF2AE3" w:rsidRDefault="0058789F" w:rsidP="00AD1066">
            <w:pPr>
              <w:pStyle w:val="TableHeading1"/>
            </w:pPr>
            <w:r w:rsidRPr="00EF2AE3">
              <w:t>202</w:t>
            </w:r>
            <w:r>
              <w:t>3</w:t>
            </w:r>
          </w:p>
        </w:tc>
      </w:tr>
      <w:tr w:rsidR="0058789F" w:rsidRPr="00EF2AE3" w14:paraId="7B466D32" w14:textId="77777777" w:rsidTr="00AD1066">
        <w:trPr>
          <w:trHeight w:val="248"/>
        </w:trPr>
        <w:tc>
          <w:tcPr>
            <w:tcW w:w="9278" w:type="dxa"/>
            <w:gridSpan w:val="5"/>
            <w:noWrap/>
            <w:hideMark/>
          </w:tcPr>
          <w:p w14:paraId="79242904" w14:textId="77777777" w:rsidR="0058789F" w:rsidRPr="00EF2AE3" w:rsidRDefault="0058789F" w:rsidP="00AD1066">
            <w:pPr>
              <w:pStyle w:val="TableHeading1"/>
            </w:pPr>
            <w:r w:rsidRPr="00EF2AE3">
              <w:t>Financial assets</w:t>
            </w:r>
          </w:p>
        </w:tc>
      </w:tr>
      <w:tr w:rsidR="0058789F" w:rsidRPr="00EF2AE3" w14:paraId="3B733FCB" w14:textId="77777777" w:rsidTr="00AD1066">
        <w:trPr>
          <w:trHeight w:val="248"/>
        </w:trPr>
        <w:tc>
          <w:tcPr>
            <w:tcW w:w="2162" w:type="dxa"/>
            <w:noWrap/>
            <w:hideMark/>
          </w:tcPr>
          <w:p w14:paraId="57D802FC" w14:textId="77777777" w:rsidR="0058789F" w:rsidRPr="00EF2AE3" w:rsidRDefault="0058789F" w:rsidP="00AD1066">
            <w:pPr>
              <w:pStyle w:val="TableBodyText"/>
            </w:pPr>
            <w:r w:rsidRPr="00EF2AE3">
              <w:t>Cash and cash equivalents</w:t>
            </w:r>
          </w:p>
        </w:tc>
        <w:tc>
          <w:tcPr>
            <w:tcW w:w="1903" w:type="dxa"/>
            <w:shd w:val="clear" w:color="auto" w:fill="F2F2F2" w:themeFill="background1" w:themeFillShade="F2"/>
            <w:noWrap/>
          </w:tcPr>
          <w:p w14:paraId="14F76613" w14:textId="77777777" w:rsidR="0058789F" w:rsidRPr="00EF2AE3" w:rsidRDefault="0058789F" w:rsidP="00AD1066">
            <w:pPr>
              <w:pStyle w:val="TableBodyTextrightalign"/>
            </w:pPr>
            <w:r>
              <w:t>–</w:t>
            </w:r>
          </w:p>
        </w:tc>
        <w:tc>
          <w:tcPr>
            <w:tcW w:w="1887" w:type="dxa"/>
            <w:shd w:val="clear" w:color="auto" w:fill="F2F2F2" w:themeFill="background1" w:themeFillShade="F2"/>
            <w:noWrap/>
          </w:tcPr>
          <w:p w14:paraId="7213A949" w14:textId="77777777" w:rsidR="0058789F" w:rsidRPr="00EF2AE3" w:rsidRDefault="0058789F" w:rsidP="00AD1066">
            <w:pPr>
              <w:pStyle w:val="TableBodyTextrightalign"/>
            </w:pPr>
            <w:r>
              <w:t>316</w:t>
            </w:r>
          </w:p>
        </w:tc>
        <w:tc>
          <w:tcPr>
            <w:tcW w:w="1608" w:type="dxa"/>
            <w:shd w:val="clear" w:color="auto" w:fill="F2F2F2" w:themeFill="background1" w:themeFillShade="F2"/>
            <w:noWrap/>
          </w:tcPr>
          <w:p w14:paraId="7752532C" w14:textId="77777777" w:rsidR="0058789F" w:rsidRPr="00EF2AE3" w:rsidRDefault="0058789F" w:rsidP="00AD1066">
            <w:pPr>
              <w:pStyle w:val="TableBodyTextrightalign"/>
            </w:pPr>
            <w:r w:rsidRPr="005C25CD">
              <w:t>–</w:t>
            </w:r>
          </w:p>
        </w:tc>
        <w:tc>
          <w:tcPr>
            <w:tcW w:w="1718" w:type="dxa"/>
            <w:shd w:val="clear" w:color="auto" w:fill="F2F2F2" w:themeFill="background1" w:themeFillShade="F2"/>
            <w:noWrap/>
          </w:tcPr>
          <w:p w14:paraId="2C4DB05A" w14:textId="77777777" w:rsidR="0058789F" w:rsidRPr="00EF2AE3" w:rsidRDefault="0058789F" w:rsidP="00AD1066">
            <w:pPr>
              <w:pStyle w:val="TableBodyTextrightalign"/>
            </w:pPr>
            <w:r>
              <w:t>316</w:t>
            </w:r>
          </w:p>
        </w:tc>
      </w:tr>
      <w:tr w:rsidR="0058789F" w:rsidRPr="00EF2AE3" w14:paraId="2F488D98" w14:textId="77777777" w:rsidTr="00AD1066">
        <w:trPr>
          <w:trHeight w:val="248"/>
        </w:trPr>
        <w:tc>
          <w:tcPr>
            <w:tcW w:w="2162" w:type="dxa"/>
            <w:tcBorders>
              <w:bottom w:val="dotted" w:sz="4" w:space="0" w:color="auto"/>
            </w:tcBorders>
            <w:noWrap/>
            <w:hideMark/>
          </w:tcPr>
          <w:p w14:paraId="4F631315" w14:textId="77777777" w:rsidR="0058789F" w:rsidRPr="00EF2AE3" w:rsidRDefault="0058789F" w:rsidP="00AD1066">
            <w:pPr>
              <w:pStyle w:val="TableBodyText"/>
            </w:pPr>
            <w:r w:rsidRPr="00EF2AE3">
              <w:t>Receivables</w:t>
            </w:r>
          </w:p>
        </w:tc>
        <w:tc>
          <w:tcPr>
            <w:tcW w:w="1903" w:type="dxa"/>
            <w:tcBorders>
              <w:bottom w:val="dotted" w:sz="4" w:space="0" w:color="auto"/>
            </w:tcBorders>
            <w:shd w:val="clear" w:color="auto" w:fill="F2F2F2" w:themeFill="background1" w:themeFillShade="F2"/>
            <w:noWrap/>
          </w:tcPr>
          <w:p w14:paraId="26DFD948" w14:textId="77777777" w:rsidR="0058789F" w:rsidRPr="00EF2AE3" w:rsidRDefault="0058789F" w:rsidP="00AD1066">
            <w:pPr>
              <w:pStyle w:val="TableBodyTextrightalign"/>
            </w:pPr>
            <w:r>
              <w:t>–</w:t>
            </w:r>
          </w:p>
        </w:tc>
        <w:tc>
          <w:tcPr>
            <w:tcW w:w="1887" w:type="dxa"/>
            <w:tcBorders>
              <w:bottom w:val="dotted" w:sz="4" w:space="0" w:color="auto"/>
            </w:tcBorders>
            <w:shd w:val="clear" w:color="auto" w:fill="F2F2F2" w:themeFill="background1" w:themeFillShade="F2"/>
            <w:noWrap/>
          </w:tcPr>
          <w:p w14:paraId="749F7206" w14:textId="77777777" w:rsidR="0058789F" w:rsidRPr="00EF2AE3" w:rsidRDefault="0058789F" w:rsidP="00AD1066">
            <w:pPr>
              <w:pStyle w:val="TableBodyTextrightalign"/>
            </w:pPr>
            <w:r>
              <w:t>6</w:t>
            </w:r>
          </w:p>
        </w:tc>
        <w:tc>
          <w:tcPr>
            <w:tcW w:w="1608" w:type="dxa"/>
            <w:tcBorders>
              <w:bottom w:val="dotted" w:sz="4" w:space="0" w:color="auto"/>
            </w:tcBorders>
            <w:shd w:val="clear" w:color="auto" w:fill="F2F2F2" w:themeFill="background1" w:themeFillShade="F2"/>
            <w:noWrap/>
          </w:tcPr>
          <w:p w14:paraId="23E64C57" w14:textId="77777777" w:rsidR="0058789F" w:rsidRPr="00EF2AE3" w:rsidRDefault="0058789F" w:rsidP="00AD1066">
            <w:pPr>
              <w:pStyle w:val="TableBodyTextrightalign"/>
            </w:pPr>
            <w:r w:rsidRPr="005C25CD">
              <w:t>–</w:t>
            </w:r>
          </w:p>
        </w:tc>
        <w:tc>
          <w:tcPr>
            <w:tcW w:w="1718" w:type="dxa"/>
            <w:tcBorders>
              <w:bottom w:val="dotted" w:sz="4" w:space="0" w:color="auto"/>
            </w:tcBorders>
            <w:shd w:val="clear" w:color="auto" w:fill="F2F2F2" w:themeFill="background1" w:themeFillShade="F2"/>
            <w:noWrap/>
          </w:tcPr>
          <w:p w14:paraId="550B5855" w14:textId="77777777" w:rsidR="0058789F" w:rsidRPr="00EF2AE3" w:rsidRDefault="0058789F" w:rsidP="00AD1066">
            <w:pPr>
              <w:pStyle w:val="TableBodyTextrightalign"/>
            </w:pPr>
            <w:r>
              <w:t>6</w:t>
            </w:r>
          </w:p>
        </w:tc>
      </w:tr>
      <w:tr w:rsidR="0058789F" w:rsidRPr="00EF2AE3" w14:paraId="4D3F4CE6" w14:textId="77777777" w:rsidTr="00AD1066">
        <w:trPr>
          <w:trHeight w:val="262"/>
        </w:trPr>
        <w:tc>
          <w:tcPr>
            <w:tcW w:w="2162" w:type="dxa"/>
            <w:tcBorders>
              <w:top w:val="dotted" w:sz="4" w:space="0" w:color="auto"/>
              <w:bottom w:val="single" w:sz="4" w:space="0" w:color="auto"/>
            </w:tcBorders>
            <w:noWrap/>
            <w:hideMark/>
          </w:tcPr>
          <w:p w14:paraId="0D6CDC75" w14:textId="77777777" w:rsidR="0058789F" w:rsidRPr="005201E4" w:rsidRDefault="0058789F" w:rsidP="00AD1066">
            <w:pPr>
              <w:pStyle w:val="TableBodyText"/>
              <w:rPr>
                <w:rStyle w:val="Characterbold"/>
              </w:rPr>
            </w:pPr>
            <w:r w:rsidRPr="005201E4">
              <w:rPr>
                <w:rStyle w:val="Characterbold"/>
              </w:rPr>
              <w:t>Total financial assets</w:t>
            </w:r>
          </w:p>
        </w:tc>
        <w:tc>
          <w:tcPr>
            <w:tcW w:w="1903" w:type="dxa"/>
            <w:tcBorders>
              <w:top w:val="dotted" w:sz="4" w:space="0" w:color="auto"/>
              <w:bottom w:val="single" w:sz="4" w:space="0" w:color="auto"/>
            </w:tcBorders>
            <w:shd w:val="clear" w:color="auto" w:fill="F2F2F2" w:themeFill="background1" w:themeFillShade="F2"/>
            <w:noWrap/>
          </w:tcPr>
          <w:p w14:paraId="24523EFC" w14:textId="77777777" w:rsidR="0058789F" w:rsidRPr="007E78B5" w:rsidRDefault="0058789F" w:rsidP="007E78B5">
            <w:pPr>
              <w:pStyle w:val="TableBodyTextrightalign"/>
              <w:rPr>
                <w:rStyle w:val="Characterbold"/>
              </w:rPr>
            </w:pPr>
            <w:r w:rsidRPr="007E78B5">
              <w:rPr>
                <w:rStyle w:val="Characterbold"/>
              </w:rPr>
              <w:t>–</w:t>
            </w:r>
          </w:p>
        </w:tc>
        <w:tc>
          <w:tcPr>
            <w:tcW w:w="1887" w:type="dxa"/>
            <w:tcBorders>
              <w:top w:val="dotted" w:sz="4" w:space="0" w:color="auto"/>
              <w:bottom w:val="single" w:sz="4" w:space="0" w:color="auto"/>
            </w:tcBorders>
            <w:shd w:val="clear" w:color="auto" w:fill="F2F2F2" w:themeFill="background1" w:themeFillShade="F2"/>
            <w:noWrap/>
          </w:tcPr>
          <w:p w14:paraId="02471228" w14:textId="77777777" w:rsidR="0058789F" w:rsidRPr="007E78B5" w:rsidRDefault="0058789F" w:rsidP="007E78B5">
            <w:pPr>
              <w:pStyle w:val="TableBodyTextrightalign"/>
              <w:rPr>
                <w:rStyle w:val="Characterbold"/>
              </w:rPr>
            </w:pPr>
            <w:r w:rsidRPr="007E78B5">
              <w:rPr>
                <w:rStyle w:val="Characterbold"/>
              </w:rPr>
              <w:t>322</w:t>
            </w:r>
          </w:p>
        </w:tc>
        <w:tc>
          <w:tcPr>
            <w:tcW w:w="1608" w:type="dxa"/>
            <w:tcBorders>
              <w:top w:val="dotted" w:sz="4" w:space="0" w:color="auto"/>
              <w:bottom w:val="single" w:sz="4" w:space="0" w:color="auto"/>
            </w:tcBorders>
            <w:shd w:val="clear" w:color="auto" w:fill="F2F2F2" w:themeFill="background1" w:themeFillShade="F2"/>
            <w:noWrap/>
          </w:tcPr>
          <w:p w14:paraId="7B903C61" w14:textId="77777777" w:rsidR="0058789F" w:rsidRPr="007E78B5" w:rsidRDefault="0058789F" w:rsidP="007E78B5">
            <w:pPr>
              <w:pStyle w:val="TableBodyTextrightalign"/>
              <w:rPr>
                <w:rStyle w:val="Characterbold"/>
              </w:rPr>
            </w:pPr>
            <w:r w:rsidRPr="007E78B5">
              <w:rPr>
                <w:rStyle w:val="Characterbold"/>
              </w:rPr>
              <w:t>–</w:t>
            </w:r>
          </w:p>
        </w:tc>
        <w:tc>
          <w:tcPr>
            <w:tcW w:w="1718" w:type="dxa"/>
            <w:tcBorders>
              <w:top w:val="dotted" w:sz="4" w:space="0" w:color="auto"/>
              <w:bottom w:val="single" w:sz="4" w:space="0" w:color="auto"/>
            </w:tcBorders>
            <w:shd w:val="clear" w:color="auto" w:fill="F2F2F2" w:themeFill="background1" w:themeFillShade="F2"/>
            <w:noWrap/>
          </w:tcPr>
          <w:p w14:paraId="676949C1" w14:textId="77777777" w:rsidR="0058789F" w:rsidRPr="007E78B5" w:rsidRDefault="0058789F" w:rsidP="007E78B5">
            <w:pPr>
              <w:pStyle w:val="TableBodyTextrightalign"/>
              <w:rPr>
                <w:rStyle w:val="Characterbold"/>
              </w:rPr>
            </w:pPr>
            <w:r w:rsidRPr="007E78B5">
              <w:rPr>
                <w:rStyle w:val="Characterbold"/>
              </w:rPr>
              <w:t>322</w:t>
            </w:r>
          </w:p>
        </w:tc>
      </w:tr>
      <w:tr w:rsidR="0058789F" w:rsidRPr="00EF2AE3" w14:paraId="1A0F4B9D" w14:textId="77777777" w:rsidTr="00AD1066">
        <w:trPr>
          <w:trHeight w:val="248"/>
        </w:trPr>
        <w:tc>
          <w:tcPr>
            <w:tcW w:w="9278" w:type="dxa"/>
            <w:gridSpan w:val="5"/>
            <w:tcBorders>
              <w:top w:val="single" w:sz="4" w:space="0" w:color="auto"/>
            </w:tcBorders>
            <w:noWrap/>
            <w:hideMark/>
          </w:tcPr>
          <w:p w14:paraId="107600F4" w14:textId="77777777" w:rsidR="0058789F" w:rsidRPr="00EF2AE3" w:rsidRDefault="0058789F" w:rsidP="00AD1066">
            <w:pPr>
              <w:pStyle w:val="TableHeading1"/>
            </w:pPr>
            <w:r w:rsidRPr="00EF2AE3">
              <w:t>Financial liabilities</w:t>
            </w:r>
          </w:p>
        </w:tc>
      </w:tr>
      <w:tr w:rsidR="0058789F" w:rsidRPr="00EF2AE3" w14:paraId="0CFE8B80" w14:textId="77777777" w:rsidTr="00AD1066">
        <w:trPr>
          <w:trHeight w:val="248"/>
        </w:trPr>
        <w:tc>
          <w:tcPr>
            <w:tcW w:w="9278" w:type="dxa"/>
            <w:gridSpan w:val="5"/>
            <w:noWrap/>
            <w:hideMark/>
          </w:tcPr>
          <w:p w14:paraId="57D477A3" w14:textId="77777777" w:rsidR="0058789F" w:rsidRPr="00B4723A" w:rsidRDefault="0058789F" w:rsidP="00AD1066">
            <w:pPr>
              <w:pStyle w:val="TableBodyText"/>
              <w:rPr>
                <w:rStyle w:val="Characteritalic"/>
              </w:rPr>
            </w:pPr>
            <w:r w:rsidRPr="00B4723A">
              <w:rPr>
                <w:rStyle w:val="Characteritalic"/>
              </w:rPr>
              <w:t>Payables</w:t>
            </w:r>
          </w:p>
        </w:tc>
      </w:tr>
      <w:tr w:rsidR="0058789F" w:rsidRPr="00EF2AE3" w14:paraId="07D5AF14" w14:textId="77777777" w:rsidTr="00AD1066">
        <w:trPr>
          <w:trHeight w:val="248"/>
        </w:trPr>
        <w:tc>
          <w:tcPr>
            <w:tcW w:w="2162" w:type="dxa"/>
            <w:noWrap/>
            <w:hideMark/>
          </w:tcPr>
          <w:p w14:paraId="1C3A5477" w14:textId="77777777" w:rsidR="0058789F" w:rsidRPr="00EF2AE3" w:rsidRDefault="0058789F" w:rsidP="00AD1066">
            <w:pPr>
              <w:pStyle w:val="TableBodyText"/>
            </w:pPr>
            <w:r w:rsidRPr="00EF2AE3">
              <w:t>Supplies and services</w:t>
            </w:r>
          </w:p>
        </w:tc>
        <w:tc>
          <w:tcPr>
            <w:tcW w:w="1903" w:type="dxa"/>
            <w:shd w:val="clear" w:color="auto" w:fill="F2F2F2" w:themeFill="background1" w:themeFillShade="F2"/>
            <w:noWrap/>
          </w:tcPr>
          <w:p w14:paraId="04C71E18" w14:textId="77777777" w:rsidR="0058789F" w:rsidRPr="00EF2AE3" w:rsidRDefault="0058789F" w:rsidP="00AD1066">
            <w:pPr>
              <w:pStyle w:val="TableBodyTextrightalign"/>
            </w:pPr>
            <w:r>
              <w:t>–</w:t>
            </w:r>
          </w:p>
        </w:tc>
        <w:tc>
          <w:tcPr>
            <w:tcW w:w="1887" w:type="dxa"/>
            <w:shd w:val="clear" w:color="auto" w:fill="F2F2F2" w:themeFill="background1" w:themeFillShade="F2"/>
            <w:noWrap/>
          </w:tcPr>
          <w:p w14:paraId="65DA2F6C" w14:textId="77777777" w:rsidR="0058789F" w:rsidRPr="00EF2AE3" w:rsidRDefault="0058789F" w:rsidP="00AD1066">
            <w:pPr>
              <w:pStyle w:val="TableBodyTextrightalign"/>
            </w:pPr>
            <w:r>
              <w:t>1,753</w:t>
            </w:r>
          </w:p>
        </w:tc>
        <w:tc>
          <w:tcPr>
            <w:tcW w:w="1608" w:type="dxa"/>
            <w:shd w:val="clear" w:color="auto" w:fill="F2F2F2" w:themeFill="background1" w:themeFillShade="F2"/>
            <w:noWrap/>
          </w:tcPr>
          <w:p w14:paraId="7E5A1E9E" w14:textId="77777777" w:rsidR="0058789F" w:rsidRPr="00EF2AE3" w:rsidRDefault="0058789F" w:rsidP="00AD1066">
            <w:pPr>
              <w:pStyle w:val="TableBodyTextrightalign"/>
            </w:pPr>
            <w:r>
              <w:t>–</w:t>
            </w:r>
          </w:p>
        </w:tc>
        <w:tc>
          <w:tcPr>
            <w:tcW w:w="1718" w:type="dxa"/>
            <w:shd w:val="clear" w:color="auto" w:fill="F2F2F2" w:themeFill="background1" w:themeFillShade="F2"/>
            <w:noWrap/>
          </w:tcPr>
          <w:p w14:paraId="6255922D" w14:textId="77777777" w:rsidR="0058789F" w:rsidRPr="00EF2AE3" w:rsidRDefault="0058789F" w:rsidP="00AD1066">
            <w:pPr>
              <w:pStyle w:val="TableBodyTextrightalign"/>
            </w:pPr>
            <w:r>
              <w:t>1,753</w:t>
            </w:r>
          </w:p>
        </w:tc>
      </w:tr>
      <w:tr w:rsidR="0058789F" w:rsidRPr="00EF2AE3" w14:paraId="3E6D79C1" w14:textId="77777777" w:rsidTr="00AD1066">
        <w:trPr>
          <w:trHeight w:val="248"/>
        </w:trPr>
        <w:tc>
          <w:tcPr>
            <w:tcW w:w="9278" w:type="dxa"/>
            <w:gridSpan w:val="5"/>
            <w:noWrap/>
            <w:hideMark/>
          </w:tcPr>
          <w:p w14:paraId="2BAA46DE" w14:textId="77777777" w:rsidR="0058789F" w:rsidRPr="00851BBA" w:rsidRDefault="0058789F" w:rsidP="00AD1066">
            <w:pPr>
              <w:pStyle w:val="TableBodyText"/>
              <w:rPr>
                <w:rStyle w:val="Characteritalic"/>
              </w:rPr>
            </w:pPr>
            <w:r w:rsidRPr="00851BBA">
              <w:rPr>
                <w:rStyle w:val="Characteritalic"/>
              </w:rPr>
              <w:t>Borrowings</w:t>
            </w:r>
          </w:p>
        </w:tc>
      </w:tr>
      <w:tr w:rsidR="0058789F" w:rsidRPr="00EF2AE3" w14:paraId="2D58A9D7" w14:textId="77777777" w:rsidTr="00AD1066">
        <w:trPr>
          <w:trHeight w:val="248"/>
        </w:trPr>
        <w:tc>
          <w:tcPr>
            <w:tcW w:w="2162" w:type="dxa"/>
            <w:tcBorders>
              <w:bottom w:val="dotted" w:sz="4" w:space="0" w:color="auto"/>
            </w:tcBorders>
            <w:noWrap/>
            <w:hideMark/>
          </w:tcPr>
          <w:p w14:paraId="08E4C96B" w14:textId="77777777" w:rsidR="0058789F" w:rsidRPr="00EF2AE3" w:rsidRDefault="0058789F" w:rsidP="00AD1066">
            <w:pPr>
              <w:pStyle w:val="TableBodyText"/>
            </w:pPr>
            <w:r w:rsidRPr="00EF2AE3">
              <w:t>Lease liabilities</w:t>
            </w:r>
          </w:p>
        </w:tc>
        <w:tc>
          <w:tcPr>
            <w:tcW w:w="1903" w:type="dxa"/>
            <w:tcBorders>
              <w:bottom w:val="dotted" w:sz="4" w:space="0" w:color="auto"/>
            </w:tcBorders>
            <w:shd w:val="clear" w:color="auto" w:fill="F2F2F2" w:themeFill="background1" w:themeFillShade="F2"/>
            <w:noWrap/>
          </w:tcPr>
          <w:p w14:paraId="4C0FBB5A" w14:textId="77777777" w:rsidR="0058789F" w:rsidRPr="00EF2AE3" w:rsidRDefault="0058789F" w:rsidP="00AD1066">
            <w:pPr>
              <w:pStyle w:val="TableBodyTextrightalign"/>
            </w:pPr>
            <w:r>
              <w:t>1.81</w:t>
            </w:r>
          </w:p>
        </w:tc>
        <w:tc>
          <w:tcPr>
            <w:tcW w:w="1887" w:type="dxa"/>
            <w:tcBorders>
              <w:bottom w:val="dotted" w:sz="4" w:space="0" w:color="auto"/>
            </w:tcBorders>
            <w:shd w:val="clear" w:color="auto" w:fill="F2F2F2" w:themeFill="background1" w:themeFillShade="F2"/>
            <w:noWrap/>
          </w:tcPr>
          <w:p w14:paraId="12934F5A" w14:textId="77777777" w:rsidR="0058789F" w:rsidRPr="00EF2AE3" w:rsidRDefault="0058789F" w:rsidP="00AD1066">
            <w:pPr>
              <w:pStyle w:val="TableBodyTextrightalign"/>
            </w:pPr>
            <w:r>
              <w:t>9,169</w:t>
            </w:r>
          </w:p>
        </w:tc>
        <w:tc>
          <w:tcPr>
            <w:tcW w:w="1608" w:type="dxa"/>
            <w:tcBorders>
              <w:bottom w:val="dotted" w:sz="4" w:space="0" w:color="auto"/>
            </w:tcBorders>
            <w:shd w:val="clear" w:color="auto" w:fill="F2F2F2" w:themeFill="background1" w:themeFillShade="F2"/>
            <w:noWrap/>
          </w:tcPr>
          <w:p w14:paraId="3857F980" w14:textId="77777777" w:rsidR="0058789F" w:rsidRPr="00EF2AE3" w:rsidRDefault="0058789F" w:rsidP="00AD1066">
            <w:pPr>
              <w:pStyle w:val="TableBodyTextrightalign"/>
            </w:pPr>
            <w:r>
              <w:t>9,169</w:t>
            </w:r>
          </w:p>
        </w:tc>
        <w:tc>
          <w:tcPr>
            <w:tcW w:w="1718" w:type="dxa"/>
            <w:tcBorders>
              <w:bottom w:val="dotted" w:sz="4" w:space="0" w:color="auto"/>
            </w:tcBorders>
            <w:shd w:val="clear" w:color="auto" w:fill="F2F2F2" w:themeFill="background1" w:themeFillShade="F2"/>
            <w:noWrap/>
          </w:tcPr>
          <w:p w14:paraId="220B7A1F" w14:textId="77777777" w:rsidR="0058789F" w:rsidRPr="00EF2AE3" w:rsidRDefault="0058789F" w:rsidP="00AD1066">
            <w:pPr>
              <w:pStyle w:val="TableBodyTextrightalign"/>
            </w:pPr>
            <w:r w:rsidRPr="005C25CD">
              <w:t>–</w:t>
            </w:r>
          </w:p>
        </w:tc>
      </w:tr>
      <w:tr w:rsidR="0058789F" w:rsidRPr="00EF2AE3" w14:paraId="2F7022CC" w14:textId="77777777" w:rsidTr="00AD1066">
        <w:trPr>
          <w:trHeight w:val="262"/>
        </w:trPr>
        <w:tc>
          <w:tcPr>
            <w:tcW w:w="2162" w:type="dxa"/>
            <w:tcBorders>
              <w:top w:val="dotted" w:sz="4" w:space="0" w:color="auto"/>
              <w:bottom w:val="single" w:sz="4" w:space="0" w:color="auto"/>
            </w:tcBorders>
            <w:noWrap/>
            <w:hideMark/>
          </w:tcPr>
          <w:p w14:paraId="3D7867E2" w14:textId="77777777" w:rsidR="0058789F" w:rsidRPr="00851BBA" w:rsidRDefault="0058789F" w:rsidP="00AD1066">
            <w:pPr>
              <w:pStyle w:val="TableBodyText"/>
              <w:rPr>
                <w:rStyle w:val="Characterbold"/>
              </w:rPr>
            </w:pPr>
            <w:r w:rsidRPr="00851BBA">
              <w:rPr>
                <w:rStyle w:val="Characterbold"/>
              </w:rPr>
              <w:t>Total financial liabilities</w:t>
            </w:r>
          </w:p>
        </w:tc>
        <w:tc>
          <w:tcPr>
            <w:tcW w:w="1903" w:type="dxa"/>
            <w:tcBorders>
              <w:top w:val="dotted" w:sz="4" w:space="0" w:color="auto"/>
              <w:bottom w:val="single" w:sz="4" w:space="0" w:color="auto"/>
            </w:tcBorders>
            <w:shd w:val="clear" w:color="auto" w:fill="F2F2F2" w:themeFill="background1" w:themeFillShade="F2"/>
            <w:noWrap/>
          </w:tcPr>
          <w:p w14:paraId="4F362D94" w14:textId="77777777" w:rsidR="0058789F" w:rsidRPr="007E78B5" w:rsidRDefault="0058789F" w:rsidP="007E78B5">
            <w:pPr>
              <w:pStyle w:val="TableBodyTextrightalign"/>
              <w:rPr>
                <w:rStyle w:val="Characterbold"/>
              </w:rPr>
            </w:pPr>
            <w:r w:rsidRPr="007E78B5">
              <w:rPr>
                <w:rStyle w:val="Characterbold"/>
              </w:rPr>
              <w:t>–</w:t>
            </w:r>
          </w:p>
        </w:tc>
        <w:tc>
          <w:tcPr>
            <w:tcW w:w="1887" w:type="dxa"/>
            <w:tcBorders>
              <w:top w:val="dotted" w:sz="4" w:space="0" w:color="auto"/>
              <w:bottom w:val="single" w:sz="4" w:space="0" w:color="auto"/>
            </w:tcBorders>
            <w:shd w:val="clear" w:color="auto" w:fill="F2F2F2" w:themeFill="background1" w:themeFillShade="F2"/>
            <w:noWrap/>
          </w:tcPr>
          <w:p w14:paraId="6C7F76DB" w14:textId="77777777" w:rsidR="0058789F" w:rsidRPr="007E78B5" w:rsidRDefault="0058789F" w:rsidP="007E78B5">
            <w:pPr>
              <w:pStyle w:val="TableBodyTextrightalign"/>
              <w:rPr>
                <w:rStyle w:val="Characterbold"/>
              </w:rPr>
            </w:pPr>
            <w:r w:rsidRPr="007E78B5">
              <w:rPr>
                <w:rStyle w:val="Characterbold"/>
              </w:rPr>
              <w:t>10,922</w:t>
            </w:r>
          </w:p>
        </w:tc>
        <w:tc>
          <w:tcPr>
            <w:tcW w:w="1608" w:type="dxa"/>
            <w:tcBorders>
              <w:top w:val="dotted" w:sz="4" w:space="0" w:color="auto"/>
              <w:bottom w:val="single" w:sz="4" w:space="0" w:color="auto"/>
            </w:tcBorders>
            <w:shd w:val="clear" w:color="auto" w:fill="F2F2F2" w:themeFill="background1" w:themeFillShade="F2"/>
            <w:noWrap/>
          </w:tcPr>
          <w:p w14:paraId="70FFA591" w14:textId="77777777" w:rsidR="0058789F" w:rsidRPr="007E78B5" w:rsidRDefault="0058789F" w:rsidP="007E78B5">
            <w:pPr>
              <w:pStyle w:val="TableBodyTextrightalign"/>
              <w:rPr>
                <w:rStyle w:val="Characterbold"/>
              </w:rPr>
            </w:pPr>
            <w:r w:rsidRPr="007E78B5">
              <w:rPr>
                <w:rStyle w:val="Characterbold"/>
              </w:rPr>
              <w:t>9,169</w:t>
            </w:r>
          </w:p>
        </w:tc>
        <w:tc>
          <w:tcPr>
            <w:tcW w:w="1718" w:type="dxa"/>
            <w:tcBorders>
              <w:top w:val="dotted" w:sz="4" w:space="0" w:color="auto"/>
              <w:bottom w:val="single" w:sz="4" w:space="0" w:color="auto"/>
            </w:tcBorders>
            <w:shd w:val="clear" w:color="auto" w:fill="F2F2F2" w:themeFill="background1" w:themeFillShade="F2"/>
            <w:noWrap/>
          </w:tcPr>
          <w:p w14:paraId="1A7FAF2D" w14:textId="77777777" w:rsidR="0058789F" w:rsidRPr="007E78B5" w:rsidRDefault="0058789F" w:rsidP="007E78B5">
            <w:pPr>
              <w:pStyle w:val="TableBodyTextrightalign"/>
              <w:rPr>
                <w:rStyle w:val="Characterbold"/>
              </w:rPr>
            </w:pPr>
            <w:r w:rsidRPr="007E78B5">
              <w:rPr>
                <w:rStyle w:val="Characterbold"/>
              </w:rPr>
              <w:t>1,753</w:t>
            </w:r>
          </w:p>
        </w:tc>
      </w:tr>
      <w:tr w:rsidR="0058789F" w:rsidRPr="00EF2AE3" w14:paraId="4ECA91CE" w14:textId="77777777" w:rsidTr="00AD1066">
        <w:trPr>
          <w:trHeight w:val="248"/>
        </w:trPr>
        <w:tc>
          <w:tcPr>
            <w:tcW w:w="9278" w:type="dxa"/>
            <w:gridSpan w:val="5"/>
            <w:tcBorders>
              <w:top w:val="single" w:sz="4" w:space="0" w:color="auto"/>
            </w:tcBorders>
            <w:noWrap/>
          </w:tcPr>
          <w:p w14:paraId="7BF3B097" w14:textId="77777777" w:rsidR="0058789F" w:rsidRPr="00EF2AE3" w:rsidRDefault="0058789F" w:rsidP="00AD1066">
            <w:pPr>
              <w:pStyle w:val="TableBodyTextsmall"/>
            </w:pPr>
          </w:p>
        </w:tc>
      </w:tr>
      <w:tr w:rsidR="0058789F" w:rsidRPr="00EF2AE3" w14:paraId="13EC876E" w14:textId="77777777" w:rsidTr="00AD1066">
        <w:trPr>
          <w:trHeight w:val="248"/>
        </w:trPr>
        <w:tc>
          <w:tcPr>
            <w:tcW w:w="9278" w:type="dxa"/>
            <w:gridSpan w:val="5"/>
            <w:shd w:val="clear" w:color="auto" w:fill="D9D9D9" w:themeFill="background1" w:themeFillShade="D9"/>
            <w:noWrap/>
            <w:hideMark/>
          </w:tcPr>
          <w:p w14:paraId="4C487CE7" w14:textId="77777777" w:rsidR="0058789F" w:rsidRPr="00EF2AE3" w:rsidRDefault="0058789F" w:rsidP="00AD1066">
            <w:pPr>
              <w:pStyle w:val="TableHeading1"/>
            </w:pPr>
            <w:r w:rsidRPr="00EF2AE3">
              <w:t>202</w:t>
            </w:r>
            <w:r>
              <w:t>2</w:t>
            </w:r>
          </w:p>
        </w:tc>
      </w:tr>
      <w:tr w:rsidR="0058789F" w:rsidRPr="00EF2AE3" w14:paraId="4B067ED6" w14:textId="77777777" w:rsidTr="00AD1066">
        <w:trPr>
          <w:trHeight w:val="248"/>
        </w:trPr>
        <w:tc>
          <w:tcPr>
            <w:tcW w:w="9278" w:type="dxa"/>
            <w:gridSpan w:val="5"/>
            <w:noWrap/>
            <w:hideMark/>
          </w:tcPr>
          <w:p w14:paraId="741454CF" w14:textId="77777777" w:rsidR="0058789F" w:rsidRPr="00EF2AE3" w:rsidRDefault="0058789F" w:rsidP="00AD1066">
            <w:pPr>
              <w:pStyle w:val="TableHeading1"/>
            </w:pPr>
            <w:r w:rsidRPr="00EF2AE3">
              <w:t>Financial assets</w:t>
            </w:r>
          </w:p>
        </w:tc>
      </w:tr>
      <w:tr w:rsidR="0058789F" w:rsidRPr="00EF2AE3" w14:paraId="0BFBD358" w14:textId="77777777" w:rsidTr="00AD1066">
        <w:trPr>
          <w:trHeight w:val="248"/>
        </w:trPr>
        <w:tc>
          <w:tcPr>
            <w:tcW w:w="2162" w:type="dxa"/>
            <w:noWrap/>
            <w:hideMark/>
          </w:tcPr>
          <w:p w14:paraId="533CB879" w14:textId="77777777" w:rsidR="0058789F" w:rsidRPr="00EF2AE3" w:rsidRDefault="0058789F" w:rsidP="00AD1066">
            <w:pPr>
              <w:pStyle w:val="TableBodyText"/>
            </w:pPr>
            <w:r w:rsidRPr="00EF2AE3">
              <w:t xml:space="preserve">Cash and cash equivalents </w:t>
            </w:r>
          </w:p>
        </w:tc>
        <w:tc>
          <w:tcPr>
            <w:tcW w:w="1903" w:type="dxa"/>
            <w:noWrap/>
            <w:hideMark/>
          </w:tcPr>
          <w:p w14:paraId="5B7DE6E7" w14:textId="77777777" w:rsidR="0058789F" w:rsidRPr="00EF2AE3" w:rsidRDefault="0058789F" w:rsidP="00AD1066">
            <w:pPr>
              <w:pStyle w:val="TableBodyTextrightalign"/>
            </w:pPr>
            <w:r w:rsidRPr="0030026A">
              <w:t>–</w:t>
            </w:r>
          </w:p>
        </w:tc>
        <w:tc>
          <w:tcPr>
            <w:tcW w:w="1887" w:type="dxa"/>
            <w:noWrap/>
            <w:hideMark/>
          </w:tcPr>
          <w:p w14:paraId="081009CF" w14:textId="77777777" w:rsidR="0058789F" w:rsidRPr="00EF2AE3" w:rsidRDefault="0058789F" w:rsidP="00AD1066">
            <w:pPr>
              <w:pStyle w:val="TableBodyTextrightalign"/>
            </w:pPr>
            <w:r>
              <w:t>48</w:t>
            </w:r>
          </w:p>
        </w:tc>
        <w:tc>
          <w:tcPr>
            <w:tcW w:w="1608" w:type="dxa"/>
            <w:noWrap/>
            <w:hideMark/>
          </w:tcPr>
          <w:p w14:paraId="6A54EE2A" w14:textId="77777777" w:rsidR="0058789F" w:rsidRPr="00EF2AE3" w:rsidRDefault="0058789F" w:rsidP="00AD1066">
            <w:pPr>
              <w:pStyle w:val="TableBodyTextrightalign"/>
            </w:pPr>
            <w:r w:rsidRPr="00B85461">
              <w:t>–</w:t>
            </w:r>
          </w:p>
        </w:tc>
        <w:tc>
          <w:tcPr>
            <w:tcW w:w="1718" w:type="dxa"/>
            <w:noWrap/>
            <w:hideMark/>
          </w:tcPr>
          <w:p w14:paraId="5741A24A" w14:textId="77777777" w:rsidR="0058789F" w:rsidRPr="00EF2AE3" w:rsidRDefault="0058789F" w:rsidP="00AD1066">
            <w:pPr>
              <w:pStyle w:val="TableBodyTextrightalign"/>
            </w:pPr>
            <w:r>
              <w:t>48</w:t>
            </w:r>
          </w:p>
        </w:tc>
      </w:tr>
      <w:tr w:rsidR="0058789F" w:rsidRPr="00EF2AE3" w14:paraId="748F7612" w14:textId="77777777" w:rsidTr="00AD1066">
        <w:trPr>
          <w:trHeight w:val="248"/>
        </w:trPr>
        <w:tc>
          <w:tcPr>
            <w:tcW w:w="2162" w:type="dxa"/>
            <w:tcBorders>
              <w:bottom w:val="dotted" w:sz="4" w:space="0" w:color="auto"/>
            </w:tcBorders>
            <w:noWrap/>
            <w:hideMark/>
          </w:tcPr>
          <w:p w14:paraId="56E77E01" w14:textId="77777777" w:rsidR="0058789F" w:rsidRPr="00EF2AE3" w:rsidRDefault="0058789F" w:rsidP="00AD1066">
            <w:pPr>
              <w:pStyle w:val="TableBodyText"/>
            </w:pPr>
            <w:r w:rsidRPr="00EF2AE3">
              <w:t>Receivables</w:t>
            </w:r>
          </w:p>
        </w:tc>
        <w:tc>
          <w:tcPr>
            <w:tcW w:w="1903" w:type="dxa"/>
            <w:tcBorders>
              <w:bottom w:val="dotted" w:sz="4" w:space="0" w:color="auto"/>
            </w:tcBorders>
            <w:noWrap/>
            <w:hideMark/>
          </w:tcPr>
          <w:p w14:paraId="09D9DE8F" w14:textId="77777777" w:rsidR="0058789F" w:rsidRPr="00EF2AE3" w:rsidRDefault="0058789F" w:rsidP="00AD1066">
            <w:pPr>
              <w:pStyle w:val="TableBodyTextrightalign"/>
            </w:pPr>
            <w:r w:rsidRPr="00B85461">
              <w:t>–</w:t>
            </w:r>
          </w:p>
        </w:tc>
        <w:tc>
          <w:tcPr>
            <w:tcW w:w="1887" w:type="dxa"/>
            <w:tcBorders>
              <w:bottom w:val="dotted" w:sz="4" w:space="0" w:color="auto"/>
            </w:tcBorders>
            <w:noWrap/>
            <w:hideMark/>
          </w:tcPr>
          <w:p w14:paraId="063BC089" w14:textId="77777777" w:rsidR="0058789F" w:rsidRPr="00EF2AE3" w:rsidRDefault="0058789F" w:rsidP="00AD1066">
            <w:pPr>
              <w:pStyle w:val="TableBodyTextrightalign"/>
            </w:pPr>
            <w:r>
              <w:t>2</w:t>
            </w:r>
          </w:p>
        </w:tc>
        <w:tc>
          <w:tcPr>
            <w:tcW w:w="1608" w:type="dxa"/>
            <w:tcBorders>
              <w:bottom w:val="dotted" w:sz="4" w:space="0" w:color="auto"/>
            </w:tcBorders>
            <w:noWrap/>
            <w:hideMark/>
          </w:tcPr>
          <w:p w14:paraId="3D55FE2B" w14:textId="77777777" w:rsidR="0058789F" w:rsidRPr="00EF2AE3" w:rsidRDefault="0058789F" w:rsidP="00AD1066">
            <w:pPr>
              <w:pStyle w:val="TableBodyTextrightalign"/>
            </w:pPr>
            <w:r w:rsidRPr="00B85461">
              <w:t>–</w:t>
            </w:r>
          </w:p>
        </w:tc>
        <w:tc>
          <w:tcPr>
            <w:tcW w:w="1718" w:type="dxa"/>
            <w:tcBorders>
              <w:bottom w:val="dotted" w:sz="4" w:space="0" w:color="auto"/>
            </w:tcBorders>
            <w:noWrap/>
            <w:hideMark/>
          </w:tcPr>
          <w:p w14:paraId="27048C84" w14:textId="77777777" w:rsidR="0058789F" w:rsidRPr="00EF2AE3" w:rsidRDefault="0058789F" w:rsidP="00AD1066">
            <w:pPr>
              <w:pStyle w:val="TableBodyTextrightalign"/>
            </w:pPr>
            <w:r>
              <w:t>2</w:t>
            </w:r>
          </w:p>
        </w:tc>
      </w:tr>
      <w:tr w:rsidR="0058789F" w:rsidRPr="00EF2AE3" w14:paraId="43C9C888" w14:textId="77777777" w:rsidTr="00AD1066">
        <w:trPr>
          <w:trHeight w:val="262"/>
        </w:trPr>
        <w:tc>
          <w:tcPr>
            <w:tcW w:w="2162" w:type="dxa"/>
            <w:tcBorders>
              <w:top w:val="dotted" w:sz="4" w:space="0" w:color="auto"/>
              <w:bottom w:val="single" w:sz="4" w:space="0" w:color="auto"/>
            </w:tcBorders>
            <w:noWrap/>
            <w:hideMark/>
          </w:tcPr>
          <w:p w14:paraId="3EB193BD" w14:textId="77777777" w:rsidR="0058789F" w:rsidRPr="00630F16" w:rsidRDefault="0058789F" w:rsidP="00AD1066">
            <w:pPr>
              <w:pStyle w:val="TableBodyText"/>
              <w:rPr>
                <w:rStyle w:val="Characterbold"/>
              </w:rPr>
            </w:pPr>
            <w:r w:rsidRPr="00630F16">
              <w:rPr>
                <w:rStyle w:val="Characterbold"/>
              </w:rPr>
              <w:t>Total financial assets</w:t>
            </w:r>
          </w:p>
        </w:tc>
        <w:tc>
          <w:tcPr>
            <w:tcW w:w="1903" w:type="dxa"/>
            <w:tcBorders>
              <w:top w:val="dotted" w:sz="4" w:space="0" w:color="auto"/>
              <w:bottom w:val="single" w:sz="4" w:space="0" w:color="auto"/>
            </w:tcBorders>
            <w:noWrap/>
            <w:hideMark/>
          </w:tcPr>
          <w:p w14:paraId="3D7D9599" w14:textId="77777777" w:rsidR="0058789F" w:rsidRPr="00630F16" w:rsidRDefault="0058789F" w:rsidP="00AD1066">
            <w:pPr>
              <w:pStyle w:val="TableBodyTextrightalign"/>
              <w:rPr>
                <w:rStyle w:val="Characterbold"/>
              </w:rPr>
            </w:pPr>
            <w:r w:rsidRPr="007D4AE8">
              <w:rPr>
                <w:rStyle w:val="Characterbold"/>
              </w:rPr>
              <w:t>–</w:t>
            </w:r>
          </w:p>
        </w:tc>
        <w:tc>
          <w:tcPr>
            <w:tcW w:w="1887" w:type="dxa"/>
            <w:tcBorders>
              <w:top w:val="dotted" w:sz="4" w:space="0" w:color="auto"/>
              <w:bottom w:val="single" w:sz="4" w:space="0" w:color="auto"/>
            </w:tcBorders>
            <w:noWrap/>
            <w:hideMark/>
          </w:tcPr>
          <w:p w14:paraId="15E0E38E" w14:textId="77777777" w:rsidR="0058789F" w:rsidRPr="00630F16" w:rsidRDefault="0058789F" w:rsidP="00AD1066">
            <w:pPr>
              <w:pStyle w:val="TableBodyTextrightalign"/>
              <w:rPr>
                <w:rStyle w:val="Characterbold"/>
              </w:rPr>
            </w:pPr>
            <w:r>
              <w:rPr>
                <w:rStyle w:val="Characterbold"/>
              </w:rPr>
              <w:t>50</w:t>
            </w:r>
          </w:p>
        </w:tc>
        <w:tc>
          <w:tcPr>
            <w:tcW w:w="1608" w:type="dxa"/>
            <w:tcBorders>
              <w:top w:val="dotted" w:sz="4" w:space="0" w:color="auto"/>
              <w:bottom w:val="single" w:sz="4" w:space="0" w:color="auto"/>
            </w:tcBorders>
            <w:noWrap/>
            <w:hideMark/>
          </w:tcPr>
          <w:p w14:paraId="6F86714F" w14:textId="77777777" w:rsidR="0058789F" w:rsidRPr="00630F16" w:rsidRDefault="0058789F" w:rsidP="00AD1066">
            <w:pPr>
              <w:pStyle w:val="TableBodyTextrightalign"/>
              <w:rPr>
                <w:rStyle w:val="Characterbold"/>
              </w:rPr>
            </w:pPr>
            <w:r w:rsidRPr="00B85461">
              <w:t>–</w:t>
            </w:r>
          </w:p>
        </w:tc>
        <w:tc>
          <w:tcPr>
            <w:tcW w:w="1718" w:type="dxa"/>
            <w:tcBorders>
              <w:top w:val="dotted" w:sz="4" w:space="0" w:color="auto"/>
              <w:bottom w:val="single" w:sz="4" w:space="0" w:color="auto"/>
            </w:tcBorders>
            <w:noWrap/>
            <w:hideMark/>
          </w:tcPr>
          <w:p w14:paraId="13B5E2C8" w14:textId="77777777" w:rsidR="0058789F" w:rsidRPr="00630F16" w:rsidRDefault="0058789F" w:rsidP="00AD1066">
            <w:pPr>
              <w:pStyle w:val="TableBodyTextrightalign"/>
              <w:rPr>
                <w:rStyle w:val="Characterbold"/>
              </w:rPr>
            </w:pPr>
            <w:r>
              <w:rPr>
                <w:rStyle w:val="Characterbold"/>
              </w:rPr>
              <w:t>50</w:t>
            </w:r>
          </w:p>
        </w:tc>
      </w:tr>
      <w:tr w:rsidR="0058789F" w:rsidRPr="00EF2AE3" w14:paraId="4CB37412" w14:textId="77777777" w:rsidTr="00AD1066">
        <w:trPr>
          <w:trHeight w:val="248"/>
        </w:trPr>
        <w:tc>
          <w:tcPr>
            <w:tcW w:w="9278" w:type="dxa"/>
            <w:gridSpan w:val="5"/>
            <w:tcBorders>
              <w:top w:val="single" w:sz="4" w:space="0" w:color="auto"/>
            </w:tcBorders>
            <w:noWrap/>
            <w:hideMark/>
          </w:tcPr>
          <w:p w14:paraId="2F1ED3E3" w14:textId="77777777" w:rsidR="0058789F" w:rsidRPr="00EF2AE3" w:rsidRDefault="0058789F" w:rsidP="00AD1066">
            <w:pPr>
              <w:pStyle w:val="TableHeading1"/>
            </w:pPr>
            <w:r w:rsidRPr="00EF2AE3">
              <w:t>Financial liabilities</w:t>
            </w:r>
          </w:p>
        </w:tc>
      </w:tr>
      <w:tr w:rsidR="0058789F" w:rsidRPr="00EF2AE3" w14:paraId="0021AA45" w14:textId="77777777" w:rsidTr="00AD1066">
        <w:trPr>
          <w:trHeight w:val="248"/>
        </w:trPr>
        <w:tc>
          <w:tcPr>
            <w:tcW w:w="9278" w:type="dxa"/>
            <w:gridSpan w:val="5"/>
            <w:noWrap/>
            <w:hideMark/>
          </w:tcPr>
          <w:p w14:paraId="1B78B0C1" w14:textId="77777777" w:rsidR="0058789F" w:rsidRPr="00630F16" w:rsidRDefault="0058789F" w:rsidP="00AD1066">
            <w:pPr>
              <w:pStyle w:val="TableBodyText"/>
              <w:rPr>
                <w:rStyle w:val="Characteritalic"/>
              </w:rPr>
            </w:pPr>
            <w:r w:rsidRPr="00630F16">
              <w:rPr>
                <w:rStyle w:val="Characteritalic"/>
              </w:rPr>
              <w:t>Payables</w:t>
            </w:r>
          </w:p>
        </w:tc>
      </w:tr>
      <w:tr w:rsidR="0058789F" w:rsidRPr="00EF2AE3" w14:paraId="034F1BEA" w14:textId="77777777" w:rsidTr="00AD1066">
        <w:trPr>
          <w:trHeight w:val="248"/>
        </w:trPr>
        <w:tc>
          <w:tcPr>
            <w:tcW w:w="2162" w:type="dxa"/>
            <w:noWrap/>
            <w:hideMark/>
          </w:tcPr>
          <w:p w14:paraId="268DB77D" w14:textId="77777777" w:rsidR="0058789F" w:rsidRPr="00EF2AE3" w:rsidRDefault="0058789F" w:rsidP="00AD1066">
            <w:pPr>
              <w:pStyle w:val="TableBodyText"/>
            </w:pPr>
            <w:r w:rsidRPr="00EF2AE3">
              <w:t>Supplies and services</w:t>
            </w:r>
          </w:p>
        </w:tc>
        <w:tc>
          <w:tcPr>
            <w:tcW w:w="1903" w:type="dxa"/>
            <w:noWrap/>
            <w:hideMark/>
          </w:tcPr>
          <w:p w14:paraId="25C50683" w14:textId="77777777" w:rsidR="0058789F" w:rsidRPr="00EF2AE3" w:rsidRDefault="0058789F" w:rsidP="00AD1066">
            <w:pPr>
              <w:pStyle w:val="TableBodyTextrightalign"/>
            </w:pPr>
            <w:r w:rsidRPr="00B85461">
              <w:t>–</w:t>
            </w:r>
          </w:p>
        </w:tc>
        <w:tc>
          <w:tcPr>
            <w:tcW w:w="1887" w:type="dxa"/>
            <w:noWrap/>
            <w:hideMark/>
          </w:tcPr>
          <w:p w14:paraId="12979820" w14:textId="77777777" w:rsidR="0058789F" w:rsidRPr="00EF2AE3" w:rsidRDefault="0058789F" w:rsidP="00AD1066">
            <w:pPr>
              <w:pStyle w:val="TableBodyTextrightalign"/>
            </w:pPr>
            <w:r>
              <w:t>2,729</w:t>
            </w:r>
          </w:p>
        </w:tc>
        <w:tc>
          <w:tcPr>
            <w:tcW w:w="1608" w:type="dxa"/>
            <w:noWrap/>
            <w:hideMark/>
          </w:tcPr>
          <w:p w14:paraId="5CB3B081" w14:textId="77777777" w:rsidR="0058789F" w:rsidRPr="00EF2AE3" w:rsidRDefault="0058789F" w:rsidP="00AD1066">
            <w:pPr>
              <w:pStyle w:val="TableBodyTextrightalign"/>
            </w:pPr>
            <w:r w:rsidRPr="00B85461">
              <w:t>–</w:t>
            </w:r>
          </w:p>
        </w:tc>
        <w:tc>
          <w:tcPr>
            <w:tcW w:w="1718" w:type="dxa"/>
            <w:noWrap/>
            <w:hideMark/>
          </w:tcPr>
          <w:p w14:paraId="74873D7F" w14:textId="77777777" w:rsidR="0058789F" w:rsidRPr="00EF2AE3" w:rsidRDefault="0058789F" w:rsidP="00AD1066">
            <w:pPr>
              <w:pStyle w:val="TableBodyTextrightalign"/>
            </w:pPr>
            <w:r>
              <w:t>2,729</w:t>
            </w:r>
          </w:p>
        </w:tc>
      </w:tr>
      <w:tr w:rsidR="0058789F" w:rsidRPr="00EF2AE3" w14:paraId="36B11854" w14:textId="77777777" w:rsidTr="00AD1066">
        <w:trPr>
          <w:trHeight w:val="248"/>
        </w:trPr>
        <w:tc>
          <w:tcPr>
            <w:tcW w:w="9278" w:type="dxa"/>
            <w:gridSpan w:val="5"/>
            <w:noWrap/>
            <w:hideMark/>
          </w:tcPr>
          <w:p w14:paraId="0CEE8D58" w14:textId="77777777" w:rsidR="0058789F" w:rsidRPr="00630F16" w:rsidRDefault="0058789F" w:rsidP="00AD1066">
            <w:pPr>
              <w:pStyle w:val="TableBodyText"/>
              <w:rPr>
                <w:rStyle w:val="Characteritalic"/>
              </w:rPr>
            </w:pPr>
            <w:r w:rsidRPr="00630F16">
              <w:rPr>
                <w:rStyle w:val="Characteritalic"/>
              </w:rPr>
              <w:t>Borrowings</w:t>
            </w:r>
          </w:p>
        </w:tc>
      </w:tr>
      <w:tr w:rsidR="0058789F" w:rsidRPr="00EF2AE3" w14:paraId="1F194A09" w14:textId="77777777" w:rsidTr="00AD1066">
        <w:trPr>
          <w:trHeight w:val="248"/>
        </w:trPr>
        <w:tc>
          <w:tcPr>
            <w:tcW w:w="2162" w:type="dxa"/>
            <w:noWrap/>
            <w:hideMark/>
          </w:tcPr>
          <w:p w14:paraId="42FF1131" w14:textId="77777777" w:rsidR="0058789F" w:rsidRPr="00EF2AE3" w:rsidRDefault="0058789F" w:rsidP="00AD1066">
            <w:pPr>
              <w:pStyle w:val="TableBodyText"/>
            </w:pPr>
            <w:r w:rsidRPr="00EF2AE3">
              <w:t>Finance lease liabilities</w:t>
            </w:r>
          </w:p>
        </w:tc>
        <w:tc>
          <w:tcPr>
            <w:tcW w:w="1903" w:type="dxa"/>
            <w:noWrap/>
            <w:hideMark/>
          </w:tcPr>
          <w:p w14:paraId="4E4368AE" w14:textId="77777777" w:rsidR="0058789F" w:rsidRPr="00EF2AE3" w:rsidRDefault="0058789F" w:rsidP="00AD1066">
            <w:pPr>
              <w:pStyle w:val="TableBodyTextrightalign"/>
            </w:pPr>
            <w:r>
              <w:t>2.17</w:t>
            </w:r>
          </w:p>
        </w:tc>
        <w:tc>
          <w:tcPr>
            <w:tcW w:w="1887" w:type="dxa"/>
            <w:noWrap/>
            <w:hideMark/>
          </w:tcPr>
          <w:p w14:paraId="0B13B9ED" w14:textId="77777777" w:rsidR="0058789F" w:rsidRPr="00EF2AE3" w:rsidRDefault="0058789F" w:rsidP="00AD1066">
            <w:pPr>
              <w:pStyle w:val="TableBodyTextrightalign"/>
            </w:pPr>
            <w:r>
              <w:t>12,235</w:t>
            </w:r>
          </w:p>
        </w:tc>
        <w:tc>
          <w:tcPr>
            <w:tcW w:w="1608" w:type="dxa"/>
            <w:noWrap/>
            <w:hideMark/>
          </w:tcPr>
          <w:p w14:paraId="0ED05CFE" w14:textId="77777777" w:rsidR="0058789F" w:rsidRPr="00EF2AE3" w:rsidRDefault="0058789F" w:rsidP="00AD1066">
            <w:pPr>
              <w:pStyle w:val="TableBodyTextrightalign"/>
            </w:pPr>
            <w:r>
              <w:t>12,235</w:t>
            </w:r>
          </w:p>
        </w:tc>
        <w:tc>
          <w:tcPr>
            <w:tcW w:w="1718" w:type="dxa"/>
            <w:noWrap/>
            <w:hideMark/>
          </w:tcPr>
          <w:p w14:paraId="6A8C2FF9" w14:textId="77777777" w:rsidR="0058789F" w:rsidRPr="00EF2AE3" w:rsidRDefault="0058789F" w:rsidP="00AD1066">
            <w:pPr>
              <w:pStyle w:val="TableBodyTextrightalign"/>
            </w:pPr>
            <w:r w:rsidRPr="00B85461">
              <w:t>–</w:t>
            </w:r>
          </w:p>
        </w:tc>
      </w:tr>
      <w:tr w:rsidR="0058789F" w:rsidRPr="00EF2AE3" w14:paraId="5B5E3ECC" w14:textId="77777777" w:rsidTr="00AD1066">
        <w:trPr>
          <w:cnfStyle w:val="010000000000" w:firstRow="0" w:lastRow="1" w:firstColumn="0" w:lastColumn="0" w:oddVBand="0" w:evenVBand="0" w:oddHBand="0" w:evenHBand="0" w:firstRowFirstColumn="0" w:firstRowLastColumn="0" w:lastRowFirstColumn="0" w:lastRowLastColumn="0"/>
          <w:trHeight w:val="262"/>
        </w:trPr>
        <w:tc>
          <w:tcPr>
            <w:tcW w:w="2162" w:type="dxa"/>
            <w:noWrap/>
            <w:hideMark/>
          </w:tcPr>
          <w:p w14:paraId="283A084C" w14:textId="77777777" w:rsidR="0058789F" w:rsidRPr="00EF2AE3" w:rsidRDefault="0058789F" w:rsidP="00AD1066">
            <w:pPr>
              <w:pStyle w:val="TableBodyText"/>
            </w:pPr>
            <w:r w:rsidRPr="00EF2AE3">
              <w:t>Total financial liabilities</w:t>
            </w:r>
          </w:p>
        </w:tc>
        <w:tc>
          <w:tcPr>
            <w:tcW w:w="1903" w:type="dxa"/>
            <w:noWrap/>
            <w:hideMark/>
          </w:tcPr>
          <w:p w14:paraId="555D1AF5" w14:textId="77777777" w:rsidR="0058789F" w:rsidRPr="001C69D5" w:rsidRDefault="0058789F" w:rsidP="00AD1066">
            <w:pPr>
              <w:pStyle w:val="TableBodyTextrightalign"/>
            </w:pPr>
            <w:r w:rsidRPr="001C69D5">
              <w:t>–</w:t>
            </w:r>
          </w:p>
        </w:tc>
        <w:tc>
          <w:tcPr>
            <w:tcW w:w="1887" w:type="dxa"/>
            <w:noWrap/>
            <w:hideMark/>
          </w:tcPr>
          <w:p w14:paraId="6FE0108D" w14:textId="77777777" w:rsidR="0058789F" w:rsidRPr="001C69D5" w:rsidRDefault="0058789F" w:rsidP="00AD1066">
            <w:pPr>
              <w:pStyle w:val="TableBodyTextrightalign"/>
            </w:pPr>
            <w:r w:rsidRPr="001C69D5">
              <w:t>14,964</w:t>
            </w:r>
          </w:p>
        </w:tc>
        <w:tc>
          <w:tcPr>
            <w:tcW w:w="1608" w:type="dxa"/>
            <w:noWrap/>
            <w:hideMark/>
          </w:tcPr>
          <w:p w14:paraId="01E7F27A" w14:textId="77777777" w:rsidR="0058789F" w:rsidRPr="001C69D5" w:rsidRDefault="0058789F" w:rsidP="00AD1066">
            <w:pPr>
              <w:pStyle w:val="TableBodyTextrightalign"/>
            </w:pPr>
            <w:r w:rsidRPr="001C69D5">
              <w:t>12,235</w:t>
            </w:r>
          </w:p>
        </w:tc>
        <w:tc>
          <w:tcPr>
            <w:tcW w:w="1718" w:type="dxa"/>
            <w:noWrap/>
            <w:hideMark/>
          </w:tcPr>
          <w:p w14:paraId="3A4DF289" w14:textId="77777777" w:rsidR="0058789F" w:rsidRPr="001C69D5" w:rsidRDefault="0058789F" w:rsidP="00AD1066">
            <w:pPr>
              <w:pStyle w:val="TableBodyTextrightalign"/>
            </w:pPr>
            <w:r w:rsidRPr="001C69D5">
              <w:t>2,729</w:t>
            </w:r>
          </w:p>
        </w:tc>
      </w:tr>
    </w:tbl>
    <w:p w14:paraId="499BFE76" w14:textId="3C1EA734" w:rsidR="0058789F" w:rsidRPr="004056E9" w:rsidRDefault="00465B9C" w:rsidP="0058789F">
      <w:pPr>
        <w:pStyle w:val="TableNote"/>
      </w:pPr>
      <w:r>
        <w:t>Notes</w:t>
      </w:r>
    </w:p>
    <w:p w14:paraId="2BFAD51A" w14:textId="29C4E304" w:rsidR="00625893" w:rsidRPr="00625893" w:rsidRDefault="0058789F" w:rsidP="00625893">
      <w:pPr>
        <w:pStyle w:val="TableNote"/>
      </w:pPr>
      <w:r w:rsidRPr="004056E9">
        <w:rPr>
          <w:rStyle w:val="Charactersuperscript"/>
        </w:rPr>
        <w:t>(a)</w:t>
      </w:r>
      <w:r>
        <w:t xml:space="preserve"> </w:t>
      </w:r>
      <w:r w:rsidRPr="004056E9">
        <w:t>The carrying amounts disclosed here exclude statutory amounts.</w:t>
      </w:r>
    </w:p>
    <w:p w14:paraId="7621FF68" w14:textId="77777777" w:rsidR="0058789F" w:rsidRPr="00D971E7" w:rsidRDefault="0058789F" w:rsidP="00CE2908">
      <w:pPr>
        <w:pStyle w:val="NotesHeading2"/>
      </w:pPr>
      <w:r w:rsidRPr="00D971E7">
        <w:t xml:space="preserve">Contingent assets </w:t>
      </w:r>
      <w:r w:rsidRPr="00CE2908">
        <w:t>and</w:t>
      </w:r>
      <w:r w:rsidRPr="00D971E7">
        <w:t xml:space="preserve"> contingent liabilities</w:t>
      </w:r>
    </w:p>
    <w:p w14:paraId="11501F36" w14:textId="77777777" w:rsidR="0058789F" w:rsidRPr="00D971E7" w:rsidRDefault="0058789F" w:rsidP="0058789F">
      <w:pPr>
        <w:pStyle w:val="BodyText"/>
      </w:pPr>
      <w:r w:rsidRPr="00D971E7">
        <w:t xml:space="preserve">Contingent assets and contingent liabilities are not recognised in the balance sheet, but are disclosed by way of a note and, if quantifiable, are measured at nominal value. Contingent assets and liabilities are presented </w:t>
      </w:r>
      <w:r>
        <w:t>inclusive</w:t>
      </w:r>
      <w:r w:rsidRPr="00D971E7">
        <w:t xml:space="preserve"> of GST receivable or payable respectively.</w:t>
      </w:r>
    </w:p>
    <w:p w14:paraId="49CA2552" w14:textId="77777777" w:rsidR="0058789F" w:rsidRPr="00D971E7" w:rsidRDefault="0058789F" w:rsidP="0058789F">
      <w:pPr>
        <w:pStyle w:val="Heading5"/>
      </w:pPr>
      <w:r w:rsidRPr="00D971E7">
        <w:t>Contingent assets</w:t>
      </w:r>
    </w:p>
    <w:p w14:paraId="6B06984C" w14:textId="77777777" w:rsidR="0058789F" w:rsidRPr="00D971E7" w:rsidRDefault="0058789F" w:rsidP="0058789F">
      <w:pPr>
        <w:pStyle w:val="BodyText"/>
      </w:pPr>
      <w:r w:rsidRPr="00D971E7">
        <w:t>Contingent assets are possible assets that arise from past events, whose existence will be confirmed only by the occurrence or non-occurrence of one or more uncertain future events not wholly within the control of the entity.</w:t>
      </w:r>
    </w:p>
    <w:p w14:paraId="770D8FD2" w14:textId="0EB83C6E" w:rsidR="0058789F" w:rsidRPr="00D971E7" w:rsidRDefault="0058789F" w:rsidP="0058789F">
      <w:pPr>
        <w:pStyle w:val="BodyText"/>
      </w:pPr>
      <w:r w:rsidRPr="0040759F">
        <w:t>During 2022/23, IBAC was awarded legal cost</w:t>
      </w:r>
      <w:r w:rsidR="002E46DA">
        <w:t>s</w:t>
      </w:r>
      <w:r w:rsidRPr="0040759F">
        <w:t xml:space="preserve"> related to two proceedings. One court order relating to part of one proceeding in the amount of $15,933 was received </w:t>
      </w:r>
      <w:r w:rsidR="000B590C">
        <w:t>after the</w:t>
      </w:r>
      <w:r w:rsidRPr="0040759F">
        <w:t xml:space="preserve"> reporting period. It is not possible to reliably measure </w:t>
      </w:r>
      <w:r w:rsidR="000B590C">
        <w:t xml:space="preserve">the </w:t>
      </w:r>
      <w:r w:rsidRPr="0040759F">
        <w:t>remainder of the legal costs owed to IBAC (2022: $0).</w:t>
      </w:r>
    </w:p>
    <w:p w14:paraId="5E536100" w14:textId="77777777" w:rsidR="0058789F" w:rsidRPr="00D971E7" w:rsidRDefault="0058789F" w:rsidP="0058789F">
      <w:pPr>
        <w:pStyle w:val="Heading5"/>
      </w:pPr>
      <w:r w:rsidRPr="00D971E7">
        <w:t>Contingent liabilities</w:t>
      </w:r>
    </w:p>
    <w:p w14:paraId="3FBD24A0" w14:textId="77777777" w:rsidR="0058789F" w:rsidRPr="00D971E7" w:rsidRDefault="0058789F" w:rsidP="0058789F">
      <w:r w:rsidRPr="00D971E7">
        <w:t>Contingent liabilities are</w:t>
      </w:r>
      <w:r>
        <w:t>:</w:t>
      </w:r>
    </w:p>
    <w:p w14:paraId="5632EFFB" w14:textId="77777777" w:rsidR="0058789F" w:rsidRPr="00D971E7" w:rsidRDefault="0058789F" w:rsidP="0058789F">
      <w:pPr>
        <w:pStyle w:val="ListBullet"/>
        <w:ind w:left="357" w:hanging="357"/>
      </w:pPr>
      <w:r w:rsidRPr="00D971E7">
        <w:t>possible obligations that arise from past events, whose existence will be confirmed only by the occurrence or non-occurrence of one or more uncertain future events not wholly within the control of the entity</w:t>
      </w:r>
    </w:p>
    <w:p w14:paraId="7B2D5290" w14:textId="77777777" w:rsidR="0058789F" w:rsidRPr="00D971E7" w:rsidRDefault="0058789F" w:rsidP="0058789F">
      <w:pPr>
        <w:pStyle w:val="ListBullet"/>
        <w:ind w:left="357" w:hanging="357"/>
      </w:pPr>
      <w:r w:rsidRPr="00D971E7">
        <w:t>present obligations that arise from past events</w:t>
      </w:r>
      <w:r>
        <w:t>,</w:t>
      </w:r>
      <w:r w:rsidRPr="00D971E7">
        <w:t xml:space="preserve"> but are not recognised because:</w:t>
      </w:r>
    </w:p>
    <w:p w14:paraId="14C54B1D" w14:textId="77777777" w:rsidR="0058789F" w:rsidRPr="00D971E7" w:rsidRDefault="0058789F" w:rsidP="0058789F">
      <w:pPr>
        <w:pStyle w:val="ListBullet2"/>
        <w:numPr>
          <w:ilvl w:val="1"/>
          <w:numId w:val="11"/>
        </w:numPr>
      </w:pPr>
      <w:r w:rsidRPr="00D971E7">
        <w:t>it is not probable that an outflow of resources embodying economic benefits will be required to settle the obligations</w:t>
      </w:r>
    </w:p>
    <w:p w14:paraId="6FDF411E" w14:textId="77777777" w:rsidR="0058789F" w:rsidRPr="00D971E7" w:rsidRDefault="0058789F" w:rsidP="0058789F">
      <w:pPr>
        <w:pStyle w:val="ListBullet2"/>
        <w:numPr>
          <w:ilvl w:val="1"/>
          <w:numId w:val="11"/>
        </w:numPr>
      </w:pPr>
      <w:r w:rsidRPr="00D971E7">
        <w:t>the amount of the obligations cannot be measured with sufficient reliability.</w:t>
      </w:r>
    </w:p>
    <w:p w14:paraId="62D214D5" w14:textId="77777777" w:rsidR="0058789F" w:rsidRDefault="0058789F" w:rsidP="0058789F">
      <w:pPr>
        <w:pStyle w:val="Caption"/>
      </w:pPr>
      <w:r w:rsidRPr="00D94F33">
        <w:t>Quantifiable</w:t>
      </w:r>
      <w:r>
        <w:t xml:space="preserve"> c</w:t>
      </w:r>
      <w:r w:rsidRPr="00BE51ED">
        <w:t>ontingent liabilities</w:t>
      </w:r>
    </w:p>
    <w:tbl>
      <w:tblPr>
        <w:tblStyle w:val="CustomTabledetailed"/>
        <w:tblW w:w="5000" w:type="pct"/>
        <w:tblLook w:val="0660" w:firstRow="1" w:lastRow="1" w:firstColumn="0" w:lastColumn="0" w:noHBand="1" w:noVBand="1"/>
      </w:tblPr>
      <w:tblGrid>
        <w:gridCol w:w="4135"/>
        <w:gridCol w:w="2446"/>
        <w:gridCol w:w="2446"/>
      </w:tblGrid>
      <w:tr w:rsidR="0058789F" w:rsidRPr="000B397C" w14:paraId="489E9D9D" w14:textId="77777777" w:rsidTr="00AD1066">
        <w:trPr>
          <w:cnfStyle w:val="100000000000" w:firstRow="1" w:lastRow="0" w:firstColumn="0" w:lastColumn="0" w:oddVBand="0" w:evenVBand="0" w:oddHBand="0" w:evenHBand="0" w:firstRowFirstColumn="0" w:firstRowLastColumn="0" w:lastRowFirstColumn="0" w:lastRowLastColumn="0"/>
          <w:trHeight w:val="300"/>
        </w:trPr>
        <w:tc>
          <w:tcPr>
            <w:tcW w:w="2290" w:type="pct"/>
            <w:noWrap/>
            <w:hideMark/>
          </w:tcPr>
          <w:p w14:paraId="30760FD0" w14:textId="77777777" w:rsidR="0058789F" w:rsidRPr="000B397C" w:rsidRDefault="0058789F" w:rsidP="00AD1066">
            <w:pPr>
              <w:pStyle w:val="TableBodyText"/>
            </w:pPr>
          </w:p>
        </w:tc>
        <w:tc>
          <w:tcPr>
            <w:tcW w:w="1355" w:type="pct"/>
          </w:tcPr>
          <w:p w14:paraId="3C496FA3" w14:textId="77777777" w:rsidR="0058789F" w:rsidRDefault="0058789F" w:rsidP="00AD1066">
            <w:pPr>
              <w:pStyle w:val="TableHeading3rightalign"/>
            </w:pPr>
            <w:r w:rsidRPr="000B397C">
              <w:t>202</w:t>
            </w:r>
            <w:r>
              <w:t>3</w:t>
            </w:r>
          </w:p>
          <w:p w14:paraId="684C8838" w14:textId="77777777" w:rsidR="0058789F" w:rsidRPr="000B397C" w:rsidRDefault="0058789F" w:rsidP="00AD1066">
            <w:pPr>
              <w:pStyle w:val="TableHeading3rightalign"/>
            </w:pPr>
            <w:r>
              <w:t>(</w:t>
            </w:r>
            <w:r w:rsidRPr="009E0746">
              <w:t>$’000</w:t>
            </w:r>
            <w:r>
              <w:t>)</w:t>
            </w:r>
          </w:p>
        </w:tc>
        <w:tc>
          <w:tcPr>
            <w:tcW w:w="1355" w:type="pct"/>
          </w:tcPr>
          <w:p w14:paraId="5B12BB89" w14:textId="77777777" w:rsidR="0058789F" w:rsidRDefault="0058789F" w:rsidP="00AD1066">
            <w:pPr>
              <w:pStyle w:val="TableHeading3rightalign"/>
            </w:pPr>
            <w:r>
              <w:t>2022</w:t>
            </w:r>
          </w:p>
          <w:p w14:paraId="78B165E3" w14:textId="77777777" w:rsidR="0058789F" w:rsidRPr="000B397C" w:rsidRDefault="0058789F" w:rsidP="00AD1066">
            <w:pPr>
              <w:pStyle w:val="TableHeading3rightalign"/>
            </w:pPr>
            <w:r>
              <w:t>(</w:t>
            </w:r>
            <w:r w:rsidRPr="009E0746">
              <w:t>$’000</w:t>
            </w:r>
            <w:r>
              <w:t>)</w:t>
            </w:r>
          </w:p>
        </w:tc>
      </w:tr>
      <w:tr w:rsidR="0058789F" w:rsidRPr="000B397C" w14:paraId="21E067FA" w14:textId="77777777" w:rsidTr="00AD1066">
        <w:trPr>
          <w:trHeight w:val="300"/>
        </w:trPr>
        <w:tc>
          <w:tcPr>
            <w:tcW w:w="5000" w:type="pct"/>
            <w:gridSpan w:val="3"/>
            <w:noWrap/>
          </w:tcPr>
          <w:p w14:paraId="08117C76" w14:textId="77777777" w:rsidR="0058789F" w:rsidRPr="00AF27E4" w:rsidRDefault="0058789F" w:rsidP="00AD1066">
            <w:pPr>
              <w:pStyle w:val="TableBodyTextsmall"/>
            </w:pPr>
          </w:p>
        </w:tc>
      </w:tr>
      <w:tr w:rsidR="0058789F" w:rsidRPr="000B397C" w14:paraId="188C4A2E" w14:textId="77777777" w:rsidTr="00AD1066">
        <w:trPr>
          <w:trHeight w:val="300"/>
        </w:trPr>
        <w:tc>
          <w:tcPr>
            <w:tcW w:w="2290" w:type="pct"/>
            <w:noWrap/>
            <w:hideMark/>
          </w:tcPr>
          <w:p w14:paraId="3901A2A2" w14:textId="77777777" w:rsidR="0058789F" w:rsidRPr="000B397C" w:rsidRDefault="0058789F" w:rsidP="00AD1066">
            <w:pPr>
              <w:pStyle w:val="TableBodyText"/>
            </w:pPr>
            <w:r>
              <w:t>Make good, leased premises</w:t>
            </w:r>
            <w:r w:rsidRPr="007211D6">
              <w:rPr>
                <w:rStyle w:val="Charactersuperscript"/>
              </w:rPr>
              <w:t>(a)</w:t>
            </w:r>
          </w:p>
        </w:tc>
        <w:tc>
          <w:tcPr>
            <w:tcW w:w="1355" w:type="pct"/>
            <w:shd w:val="clear" w:color="auto" w:fill="auto"/>
          </w:tcPr>
          <w:p w14:paraId="0EC8FF44" w14:textId="77777777" w:rsidR="0058789F" w:rsidRPr="00AF27E4" w:rsidRDefault="0058789F" w:rsidP="00AD1066">
            <w:pPr>
              <w:pStyle w:val="TableBodyTextrightalign"/>
            </w:pPr>
            <w:r w:rsidRPr="00AF27E4">
              <w:t>685</w:t>
            </w:r>
          </w:p>
        </w:tc>
        <w:tc>
          <w:tcPr>
            <w:tcW w:w="1355" w:type="pct"/>
          </w:tcPr>
          <w:p w14:paraId="4FF58215" w14:textId="77777777" w:rsidR="0058789F" w:rsidRPr="00AF27E4" w:rsidRDefault="0058789F" w:rsidP="00AD1066">
            <w:pPr>
              <w:pStyle w:val="TableBodyTextrightalign"/>
            </w:pPr>
            <w:r w:rsidRPr="00AF27E4">
              <w:t>636</w:t>
            </w:r>
          </w:p>
        </w:tc>
      </w:tr>
      <w:tr w:rsidR="0058789F" w:rsidRPr="000B397C" w14:paraId="070A1CF5" w14:textId="77777777" w:rsidTr="00AD1066">
        <w:trPr>
          <w:trHeight w:val="300"/>
        </w:trPr>
        <w:tc>
          <w:tcPr>
            <w:tcW w:w="2290" w:type="pct"/>
            <w:noWrap/>
          </w:tcPr>
          <w:p w14:paraId="5906856D" w14:textId="77777777" w:rsidR="0058789F" w:rsidRDefault="0058789F" w:rsidP="00AD1066">
            <w:pPr>
              <w:pStyle w:val="TableBodyText"/>
            </w:pPr>
            <w:r>
              <w:t>Legal proceeding</w:t>
            </w:r>
          </w:p>
        </w:tc>
        <w:tc>
          <w:tcPr>
            <w:tcW w:w="1355" w:type="pct"/>
          </w:tcPr>
          <w:p w14:paraId="6A3981B5" w14:textId="77777777" w:rsidR="0058789F" w:rsidRPr="000B397C" w:rsidRDefault="0058789F" w:rsidP="00AD1066">
            <w:pPr>
              <w:pStyle w:val="TableBodyTextrightalign"/>
            </w:pPr>
            <w:r w:rsidRPr="003115CA">
              <w:t>–</w:t>
            </w:r>
          </w:p>
        </w:tc>
        <w:tc>
          <w:tcPr>
            <w:tcW w:w="1355" w:type="pct"/>
          </w:tcPr>
          <w:p w14:paraId="3B31F829" w14:textId="77777777" w:rsidR="0058789F" w:rsidRDefault="0058789F" w:rsidP="00AD1066">
            <w:pPr>
              <w:pStyle w:val="TableBodyTextrightalign"/>
            </w:pPr>
            <w:r>
              <w:t>27</w:t>
            </w:r>
          </w:p>
        </w:tc>
      </w:tr>
      <w:tr w:rsidR="0058789F" w:rsidRPr="000B397C" w14:paraId="6A5C55CE" w14:textId="77777777" w:rsidTr="00AD1066">
        <w:trPr>
          <w:cnfStyle w:val="010000000000" w:firstRow="0" w:lastRow="1" w:firstColumn="0" w:lastColumn="0" w:oddVBand="0" w:evenVBand="0" w:oddHBand="0" w:evenHBand="0" w:firstRowFirstColumn="0" w:firstRowLastColumn="0" w:lastRowFirstColumn="0" w:lastRowLastColumn="0"/>
          <w:trHeight w:val="315"/>
        </w:trPr>
        <w:tc>
          <w:tcPr>
            <w:tcW w:w="2290" w:type="pct"/>
            <w:noWrap/>
            <w:hideMark/>
          </w:tcPr>
          <w:p w14:paraId="2A05913D" w14:textId="77777777" w:rsidR="0058789F" w:rsidRPr="00906B08" w:rsidRDefault="0058789F" w:rsidP="00AD1066">
            <w:pPr>
              <w:pStyle w:val="TableBodyText"/>
            </w:pPr>
            <w:r w:rsidRPr="009166FA">
              <w:t xml:space="preserve">Total </w:t>
            </w:r>
            <w:r>
              <w:t>c</w:t>
            </w:r>
            <w:r w:rsidRPr="009166FA">
              <w:t xml:space="preserve">ontingent </w:t>
            </w:r>
            <w:r>
              <w:t>l</w:t>
            </w:r>
            <w:r w:rsidRPr="009166FA">
              <w:t>iabilities</w:t>
            </w:r>
          </w:p>
        </w:tc>
        <w:tc>
          <w:tcPr>
            <w:tcW w:w="1355" w:type="pct"/>
          </w:tcPr>
          <w:p w14:paraId="32A18769" w14:textId="77777777" w:rsidR="0058789F" w:rsidRPr="000B397C" w:rsidRDefault="0058789F" w:rsidP="00AD1066">
            <w:pPr>
              <w:pStyle w:val="TableBodyTextrightalign"/>
            </w:pPr>
            <w:r>
              <w:t>685</w:t>
            </w:r>
          </w:p>
        </w:tc>
        <w:tc>
          <w:tcPr>
            <w:tcW w:w="1355" w:type="pct"/>
          </w:tcPr>
          <w:p w14:paraId="79D48E19" w14:textId="77777777" w:rsidR="0058789F" w:rsidRDefault="0058789F" w:rsidP="00AD1066">
            <w:pPr>
              <w:pStyle w:val="TableBodyTextrightalign"/>
            </w:pPr>
            <w:r>
              <w:t>663</w:t>
            </w:r>
          </w:p>
        </w:tc>
      </w:tr>
    </w:tbl>
    <w:p w14:paraId="7354C26F" w14:textId="6DCA4838" w:rsidR="0058789F" w:rsidRPr="001D384A" w:rsidRDefault="00465B9C" w:rsidP="0058789F">
      <w:pPr>
        <w:pStyle w:val="TableNote"/>
      </w:pPr>
      <w:r>
        <w:t>Notes</w:t>
      </w:r>
    </w:p>
    <w:p w14:paraId="15B40D2B" w14:textId="77777777" w:rsidR="0058789F" w:rsidRDefault="0058789F" w:rsidP="0058789F">
      <w:pPr>
        <w:pStyle w:val="TableNote"/>
      </w:pPr>
      <w:r w:rsidRPr="001D384A">
        <w:rPr>
          <w:rStyle w:val="Charactersuperscript"/>
        </w:rPr>
        <w:t>(a)</w:t>
      </w:r>
      <w:r>
        <w:t xml:space="preserve"> </w:t>
      </w:r>
      <w:r w:rsidRPr="001D384A">
        <w:t xml:space="preserve">The make good leased premises contingent liability relates to IBAC’s current office accommodation. Under the terms, if IBAC vacates </w:t>
      </w:r>
      <w:r>
        <w:t xml:space="preserve">the </w:t>
      </w:r>
      <w:r w:rsidRPr="001D384A">
        <w:t xml:space="preserve">current premises, IBAC may be required to make good for the non-structural office modifications. The liability is contingent on lease extension options and subject to negotiation with the landlord on the extent of </w:t>
      </w:r>
      <w:r>
        <w:t xml:space="preserve">the </w:t>
      </w:r>
      <w:r w:rsidRPr="001D384A">
        <w:t>make good require</w:t>
      </w:r>
      <w:r>
        <w:t>ment</w:t>
      </w:r>
      <w:r w:rsidRPr="001D384A">
        <w:t>.</w:t>
      </w:r>
    </w:p>
    <w:p w14:paraId="3769F361" w14:textId="77777777" w:rsidR="0058789F" w:rsidRDefault="0058789F" w:rsidP="0058789F">
      <w:pPr>
        <w:pStyle w:val="TableNote"/>
      </w:pPr>
    </w:p>
    <w:p w14:paraId="76AA9206" w14:textId="77777777" w:rsidR="0058789F" w:rsidRDefault="0058789F" w:rsidP="0058789F">
      <w:pPr>
        <w:pStyle w:val="Heading5"/>
      </w:pPr>
      <w:r>
        <w:t>Unq</w:t>
      </w:r>
      <w:r w:rsidRPr="00D94F33">
        <w:t>uantifiable</w:t>
      </w:r>
      <w:r>
        <w:t xml:space="preserve"> c</w:t>
      </w:r>
      <w:r w:rsidRPr="00BE51ED">
        <w:t>ontingent liabilities</w:t>
      </w:r>
    </w:p>
    <w:p w14:paraId="08B0DC74" w14:textId="77777777" w:rsidR="0058789F" w:rsidRPr="00367F23" w:rsidRDefault="0058789F" w:rsidP="0058789F">
      <w:pPr>
        <w:pStyle w:val="BodyText"/>
      </w:pPr>
      <w:r w:rsidRPr="0040759F">
        <w:t>A party successful in a legal action may be compensated for their legal costs through a court order against the opposing party.</w:t>
      </w:r>
      <w:r>
        <w:t xml:space="preserve"> The outcome of legal proceedings may result in </w:t>
      </w:r>
      <w:r w:rsidRPr="0040759F">
        <w:t>potential payments to</w:t>
      </w:r>
      <w:r>
        <w:t>,</w:t>
      </w:r>
      <w:r w:rsidRPr="0040759F">
        <w:t xml:space="preserve"> or potential cost recoveries from</w:t>
      </w:r>
      <w:r>
        <w:t xml:space="preserve"> </w:t>
      </w:r>
      <w:r w:rsidRPr="0040759F">
        <w:t>opposing litigants.</w:t>
      </w:r>
    </w:p>
    <w:p w14:paraId="040613C1" w14:textId="77777777" w:rsidR="0058789F" w:rsidRDefault="0058789F" w:rsidP="0058789F">
      <w:pPr>
        <w:pStyle w:val="BodyText"/>
      </w:pPr>
      <w:r w:rsidRPr="0040759F">
        <w:t xml:space="preserve">For the reporting period 2022/23, IBAC was involved in two legal proceedings that are ongoing and which may, depending upon outcomes, result in IBAC having to pay </w:t>
      </w:r>
      <w:r>
        <w:t>another</w:t>
      </w:r>
      <w:r w:rsidRPr="0040759F">
        <w:t xml:space="preserve"> party’s legal costs. Due to the uncertainty over the outcome and the legal costs of the opposing party, IBAC is unable to reliably estimate </w:t>
      </w:r>
      <w:r>
        <w:t>any potential liabilities.</w:t>
      </w:r>
    </w:p>
    <w:p w14:paraId="78307CC5" w14:textId="77777777" w:rsidR="0058789F" w:rsidRPr="00D971E7" w:rsidRDefault="0058789F" w:rsidP="00CE2908">
      <w:pPr>
        <w:pStyle w:val="NotesHeading2"/>
      </w:pPr>
      <w:bookmarkStart w:id="196" w:name="_Ref145067241"/>
      <w:r>
        <w:t>F</w:t>
      </w:r>
      <w:r w:rsidRPr="00D971E7">
        <w:t>air value determination</w:t>
      </w:r>
      <w:bookmarkEnd w:id="196"/>
    </w:p>
    <w:p w14:paraId="772F9177" w14:textId="77777777" w:rsidR="0058789F" w:rsidRPr="002A7154" w:rsidRDefault="0058789F" w:rsidP="0058789F">
      <w:pPr>
        <w:pStyle w:val="Heading5"/>
      </w:pPr>
      <w:r w:rsidRPr="002A7154">
        <w:t>How this section is structured</w:t>
      </w:r>
    </w:p>
    <w:p w14:paraId="76EC84D4" w14:textId="77777777" w:rsidR="0058789F" w:rsidRPr="00D971E7" w:rsidRDefault="0058789F" w:rsidP="0058789F">
      <w:pPr>
        <w:pStyle w:val="BodyText"/>
      </w:pPr>
      <w:r w:rsidRPr="00D971E7">
        <w:t>For those assets and liabilities for which fair values are determined, the disclosures</w:t>
      </w:r>
      <w:r>
        <w:t xml:space="preserve"> that</w:t>
      </w:r>
      <w:r w:rsidRPr="00D971E7">
        <w:t xml:space="preserve"> are provided</w:t>
      </w:r>
      <w:r>
        <w:t xml:space="preserve"> are</w:t>
      </w:r>
      <w:r w:rsidRPr="00D971E7">
        <w:t>:</w:t>
      </w:r>
    </w:p>
    <w:p w14:paraId="6AB0A9EE" w14:textId="77777777" w:rsidR="0058789F" w:rsidRPr="00D971E7" w:rsidRDefault="0058789F" w:rsidP="0058789F">
      <w:pPr>
        <w:pStyle w:val="ListBullet"/>
        <w:ind w:left="357" w:hanging="357"/>
      </w:pPr>
      <w:r>
        <w:t xml:space="preserve">the </w:t>
      </w:r>
      <w:r w:rsidRPr="00D971E7">
        <w:t>carrying amount and the fair value (which would be the same for those assets measured at fair value)</w:t>
      </w:r>
    </w:p>
    <w:p w14:paraId="1674057A" w14:textId="77777777" w:rsidR="0058789F" w:rsidRPr="00D971E7" w:rsidRDefault="0058789F" w:rsidP="0058789F">
      <w:pPr>
        <w:pStyle w:val="ListBullet"/>
        <w:ind w:left="357" w:hanging="357"/>
      </w:pPr>
      <w:r w:rsidRPr="00D971E7">
        <w:t xml:space="preserve">in respect of those assets and liabilities subject to fair value determination using </w:t>
      </w:r>
      <w:r>
        <w:t>l</w:t>
      </w:r>
      <w:r w:rsidRPr="00D971E7">
        <w:t xml:space="preserve">evel 3 (refer </w:t>
      </w:r>
      <w:r>
        <w:t xml:space="preserve">to </w:t>
      </w:r>
      <w:r>
        <w:fldChar w:fldCharType="begin"/>
      </w:r>
      <w:r>
        <w:instrText xml:space="preserve"> REF _Ref82100755 \h </w:instrText>
      </w:r>
      <w:r>
        <w:fldChar w:fldCharType="separate"/>
      </w:r>
      <w:r w:rsidRPr="00431D30">
        <w:t>Fair value hierarchy</w:t>
      </w:r>
      <w:r>
        <w:fldChar w:fldCharType="end"/>
      </w:r>
      <w:r w:rsidRPr="00D971E7">
        <w:t>) inputs:</w:t>
      </w:r>
    </w:p>
    <w:p w14:paraId="7C02D004" w14:textId="77777777" w:rsidR="0058789F" w:rsidRPr="00D971E7" w:rsidRDefault="0058789F" w:rsidP="0058789F">
      <w:pPr>
        <w:pStyle w:val="ListBullet2"/>
        <w:numPr>
          <w:ilvl w:val="1"/>
          <w:numId w:val="11"/>
        </w:numPr>
      </w:pPr>
      <w:r w:rsidRPr="00D971E7">
        <w:t>a reconciliation of the movements in fair values from the beginning of the year to the end</w:t>
      </w:r>
    </w:p>
    <w:p w14:paraId="12F31A39" w14:textId="77777777" w:rsidR="0058789F" w:rsidRPr="00D971E7" w:rsidRDefault="0058789F" w:rsidP="0058789F">
      <w:pPr>
        <w:pStyle w:val="ListBullet2"/>
        <w:numPr>
          <w:ilvl w:val="1"/>
          <w:numId w:val="11"/>
        </w:numPr>
      </w:pPr>
      <w:r w:rsidRPr="00D971E7">
        <w:t>details of significant unobservable inputs used in the fair value determination.</w:t>
      </w:r>
    </w:p>
    <w:p w14:paraId="1341BE6C" w14:textId="77777777" w:rsidR="0058789F" w:rsidRPr="00F81D42" w:rsidRDefault="0058789F" w:rsidP="0058789F">
      <w:pPr>
        <w:pStyle w:val="BodyText"/>
      </w:pPr>
      <w:r w:rsidRPr="00F81D42">
        <w:t>This section is divided between disclosures in connection with fair value determination for financial instruments (refer to</w:t>
      </w:r>
      <w:r>
        <w:t xml:space="preserve"> Note</w:t>
      </w:r>
      <w:r w:rsidRPr="00F81D42">
        <w:t xml:space="preserve"> </w:t>
      </w:r>
      <w:r>
        <w:fldChar w:fldCharType="begin"/>
      </w:r>
      <w:r>
        <w:instrText xml:space="preserve"> REF _Ref82089960 \r \h </w:instrText>
      </w:r>
      <w:r>
        <w:fldChar w:fldCharType="separate"/>
      </w:r>
      <w:r>
        <w:t>7.3.1</w:t>
      </w:r>
      <w:r>
        <w:fldChar w:fldCharType="end"/>
      </w:r>
      <w:r w:rsidRPr="00F81D42">
        <w:t>) and non-financial physical assets (refer to</w:t>
      </w:r>
      <w:r>
        <w:t xml:space="preserve"> Note</w:t>
      </w:r>
      <w:r w:rsidRPr="00F81D42">
        <w:t xml:space="preserve"> </w:t>
      </w:r>
      <w:r>
        <w:fldChar w:fldCharType="begin"/>
      </w:r>
      <w:r>
        <w:instrText xml:space="preserve"> REF _Ref82089981 \r \h </w:instrText>
      </w:r>
      <w:r>
        <w:fldChar w:fldCharType="separate"/>
      </w:r>
      <w:r>
        <w:t>7.3.2</w:t>
      </w:r>
      <w:r>
        <w:fldChar w:fldCharType="end"/>
      </w:r>
      <w:r w:rsidRPr="00F81D42">
        <w:t>).</w:t>
      </w:r>
    </w:p>
    <w:p w14:paraId="5C32F42C" w14:textId="77777777" w:rsidR="0058789F" w:rsidRPr="002A7154" w:rsidRDefault="0058789F" w:rsidP="0058789F">
      <w:pPr>
        <w:pStyle w:val="Heading5"/>
      </w:pPr>
      <w:r w:rsidRPr="002A7154">
        <w:t xml:space="preserve">Significant judgement: </w:t>
      </w:r>
      <w:r>
        <w:t>f</w:t>
      </w:r>
      <w:r w:rsidRPr="002A7154">
        <w:t>air value measurement of assets and liabilities</w:t>
      </w:r>
    </w:p>
    <w:p w14:paraId="29CE2C01" w14:textId="77777777" w:rsidR="0058789F" w:rsidRPr="00D971E7" w:rsidRDefault="0058789F" w:rsidP="0058789F">
      <w:pPr>
        <w:pStyle w:val="BodyText"/>
      </w:pPr>
      <w:r w:rsidRPr="00D971E7">
        <w:t>Fair value determination requires judgement and the use of assumptions. This section discloses the most significant assumptions used in determining fair values. Changes to assumptions could have a material impact on the results and financial position of IBAC.</w:t>
      </w:r>
    </w:p>
    <w:p w14:paraId="657AEB0B" w14:textId="77777777" w:rsidR="0058789F" w:rsidRDefault="0058789F" w:rsidP="0058789F">
      <w:pPr>
        <w:pStyle w:val="BodyText"/>
      </w:pPr>
      <w:r w:rsidRPr="00D971E7">
        <w:t>This section sets out information on how IBAC determined fair value for financial reporting purposes. Fair value is the price that would be received to sell an asset or paid to transfer a liability in an orderly transaction between market participants at the measurement date.</w:t>
      </w:r>
    </w:p>
    <w:p w14:paraId="3797E62E" w14:textId="77777777" w:rsidR="0058789F" w:rsidRPr="00D971E7" w:rsidRDefault="0058789F" w:rsidP="0058789F">
      <w:r w:rsidRPr="00D971E7">
        <w:t>The assets and liabilities carried at fair value</w:t>
      </w:r>
      <w:r>
        <w:t xml:space="preserve"> are</w:t>
      </w:r>
      <w:r w:rsidRPr="00D971E7">
        <w:t>:</w:t>
      </w:r>
    </w:p>
    <w:p w14:paraId="59663CBD" w14:textId="77777777" w:rsidR="0058789F" w:rsidRPr="00D971E7" w:rsidRDefault="0058789F" w:rsidP="0058789F">
      <w:pPr>
        <w:pStyle w:val="ListBullet"/>
        <w:ind w:left="357" w:hanging="357"/>
      </w:pPr>
      <w:r w:rsidRPr="00D971E7">
        <w:t>financial assets and liabilities at fair value through profit and loss</w:t>
      </w:r>
    </w:p>
    <w:p w14:paraId="42350A2F" w14:textId="77777777" w:rsidR="0058789F" w:rsidRPr="00D971E7" w:rsidRDefault="0058789F" w:rsidP="0058789F">
      <w:pPr>
        <w:pStyle w:val="ListBullet"/>
        <w:ind w:left="357" w:hanging="357"/>
      </w:pPr>
      <w:r w:rsidRPr="00D971E7">
        <w:t>property, plant and equipment</w:t>
      </w:r>
      <w:r>
        <w:t>.</w:t>
      </w:r>
    </w:p>
    <w:p w14:paraId="07D479A8" w14:textId="77777777" w:rsidR="0058789F" w:rsidRPr="00D971E7" w:rsidRDefault="0058789F" w:rsidP="0058789F">
      <w:pPr>
        <w:pStyle w:val="BodyText"/>
      </w:pPr>
      <w:r w:rsidRPr="00D971E7">
        <w:t>In addition, the fair values of other assets and liabilities that are carried at amortised cost also need to be determined for disclosure purposes.</w:t>
      </w:r>
    </w:p>
    <w:p w14:paraId="7D4BC791" w14:textId="77777777" w:rsidR="0058789F" w:rsidRPr="00D971E7" w:rsidRDefault="0058789F" w:rsidP="0058789F">
      <w:pPr>
        <w:pStyle w:val="BodyText"/>
      </w:pPr>
      <w:r w:rsidRPr="00D971E7">
        <w:t>IBAC determines the policies and procedures for determining fair values for both financial and non-financial assets and liabilities as required.</w:t>
      </w:r>
    </w:p>
    <w:p w14:paraId="5F3405F4" w14:textId="77777777" w:rsidR="0058789F" w:rsidRPr="00431D30" w:rsidRDefault="0058789F" w:rsidP="0058789F">
      <w:pPr>
        <w:pStyle w:val="Heading5"/>
      </w:pPr>
      <w:bookmarkStart w:id="197" w:name="_Ref82100755"/>
      <w:r w:rsidRPr="00431D30">
        <w:t>Fair value hierarchy</w:t>
      </w:r>
      <w:bookmarkEnd w:id="197"/>
    </w:p>
    <w:p w14:paraId="69D53A47" w14:textId="77777777" w:rsidR="0058789F" w:rsidRPr="00D971E7" w:rsidRDefault="0058789F" w:rsidP="0058789F">
      <w:pPr>
        <w:pStyle w:val="BodyText"/>
      </w:pPr>
      <w:r w:rsidRPr="00D971E7">
        <w:t>In determining fair values</w:t>
      </w:r>
      <w:r>
        <w:t>,</w:t>
      </w:r>
      <w:r w:rsidRPr="00D971E7">
        <w:t xml:space="preserve"> a number of inputs are used.</w:t>
      </w:r>
    </w:p>
    <w:p w14:paraId="3429B16D" w14:textId="77777777" w:rsidR="0058789F" w:rsidRPr="00D971E7" w:rsidRDefault="0058789F" w:rsidP="0058789F">
      <w:pPr>
        <w:pStyle w:val="BodyText"/>
      </w:pPr>
      <w:r w:rsidRPr="00D971E7">
        <w:t>The levels are as follows:</w:t>
      </w:r>
    </w:p>
    <w:p w14:paraId="3E887133" w14:textId="353A64C4" w:rsidR="0058789F" w:rsidRPr="00D971E7" w:rsidRDefault="001241D5" w:rsidP="0058789F">
      <w:pPr>
        <w:pStyle w:val="ListBullet"/>
        <w:ind w:left="357" w:hanging="357"/>
      </w:pPr>
      <w:r>
        <w:t>L</w:t>
      </w:r>
      <w:r w:rsidR="0058789F" w:rsidRPr="00D971E7">
        <w:t>evel 1 – quoted (unadjusted) market prices in active markets for identical assets or liabilities</w:t>
      </w:r>
    </w:p>
    <w:p w14:paraId="136B79C3" w14:textId="1F7CF6A4" w:rsidR="0058789F" w:rsidRPr="00D971E7" w:rsidRDefault="001241D5" w:rsidP="0058789F">
      <w:pPr>
        <w:pStyle w:val="ListBullet"/>
        <w:ind w:left="357" w:hanging="357"/>
      </w:pPr>
      <w:r>
        <w:t>L</w:t>
      </w:r>
      <w:r w:rsidR="0058789F" w:rsidRPr="00D971E7">
        <w:t>evel 2 – valuation techniques for which the lowest level input that is significant to the fair value measurement is directly or indirectly observable</w:t>
      </w:r>
    </w:p>
    <w:p w14:paraId="1D2AE537" w14:textId="02B0A1A8" w:rsidR="0058789F" w:rsidRPr="00D971E7" w:rsidRDefault="001241D5" w:rsidP="0058789F">
      <w:pPr>
        <w:pStyle w:val="ListBullet"/>
        <w:ind w:left="357" w:hanging="357"/>
      </w:pPr>
      <w:r>
        <w:t>L</w:t>
      </w:r>
      <w:r w:rsidR="0058789F" w:rsidRPr="00D971E7">
        <w:t>evel 3 – valuation techniques for which the lowest level input that is significant to the fair value measurement is unobservable.</w:t>
      </w:r>
    </w:p>
    <w:p w14:paraId="11A82B60" w14:textId="77777777" w:rsidR="0058789F" w:rsidRPr="00D971E7" w:rsidRDefault="0058789F" w:rsidP="0058789F">
      <w:pPr>
        <w:pStyle w:val="BodyText"/>
      </w:pPr>
      <w:r w:rsidRPr="00D971E7">
        <w:t xml:space="preserve">IBAC only uses </w:t>
      </w:r>
      <w:r>
        <w:t>l</w:t>
      </w:r>
      <w:r w:rsidRPr="00D971E7">
        <w:t>evel 3 unobservable inputs for all assets</w:t>
      </w:r>
      <w:r>
        <w:t>,</w:t>
      </w:r>
      <w:r w:rsidRPr="00D971E7">
        <w:t xml:space="preserve"> with the exception of</w:t>
      </w:r>
      <w:r>
        <w:t xml:space="preserve"> right-of-use assets</w:t>
      </w:r>
      <w:r w:rsidRPr="00D971E7">
        <w:t>. Significant unobservable inputs have remained unchanged since June 2017.</w:t>
      </w:r>
    </w:p>
    <w:p w14:paraId="7B94C4C8" w14:textId="77777777" w:rsidR="0058789F" w:rsidRPr="003115CA" w:rsidRDefault="0058789F" w:rsidP="00CE2908">
      <w:pPr>
        <w:pStyle w:val="NotesHeading3"/>
      </w:pPr>
      <w:bookmarkStart w:id="198" w:name="_Ref82089960"/>
      <w:r w:rsidRPr="007211D6">
        <w:t xml:space="preserve"> </w:t>
      </w:r>
      <w:r w:rsidRPr="003115CA">
        <w:t>Fair value determination: financial assets and liabilities</w:t>
      </w:r>
      <w:bookmarkEnd w:id="198"/>
    </w:p>
    <w:p w14:paraId="154E34BB" w14:textId="77777777" w:rsidR="0058789F" w:rsidRPr="00D971E7" w:rsidRDefault="0058789F" w:rsidP="0058789F">
      <w:r w:rsidRPr="00D971E7">
        <w:t xml:space="preserve">The carrying amounts of financial assets and financial liabilities recognised in the balance sheet, which consist of cash and cash equivalents (see </w:t>
      </w:r>
      <w:r>
        <w:t>N</w:t>
      </w:r>
      <w:r w:rsidRPr="00D971E7">
        <w:t xml:space="preserve">ote </w:t>
      </w:r>
      <w:r>
        <w:fldChar w:fldCharType="begin"/>
      </w:r>
      <w:r>
        <w:instrText xml:space="preserve"> REF _Ref82072460 \r \h </w:instrText>
      </w:r>
      <w:r>
        <w:fldChar w:fldCharType="separate"/>
      </w:r>
      <w:r>
        <w:t>6.2</w:t>
      </w:r>
      <w:r>
        <w:fldChar w:fldCharType="end"/>
      </w:r>
      <w:r w:rsidRPr="00D971E7">
        <w:t xml:space="preserve">), receivables (see </w:t>
      </w:r>
      <w:r>
        <w:t>N</w:t>
      </w:r>
      <w:r w:rsidRPr="00D971E7">
        <w:t xml:space="preserve">ote </w:t>
      </w:r>
      <w:r>
        <w:fldChar w:fldCharType="begin"/>
      </w:r>
      <w:r>
        <w:instrText xml:space="preserve"> REF _Ref82072502 \r \h </w:instrText>
      </w:r>
      <w:r>
        <w:fldChar w:fldCharType="separate"/>
      </w:r>
      <w:r>
        <w:t>5.1</w:t>
      </w:r>
      <w:r>
        <w:fldChar w:fldCharType="end"/>
      </w:r>
      <w:r w:rsidRPr="00D971E7">
        <w:t xml:space="preserve">), payables (see </w:t>
      </w:r>
      <w:r>
        <w:t>N</w:t>
      </w:r>
      <w:r w:rsidRPr="00D971E7">
        <w:t xml:space="preserve">ote </w:t>
      </w:r>
      <w:r>
        <w:fldChar w:fldCharType="begin"/>
      </w:r>
      <w:r>
        <w:instrText xml:space="preserve"> REF _Ref82072561 \n \h </w:instrText>
      </w:r>
      <w:r>
        <w:fldChar w:fldCharType="separate"/>
      </w:r>
      <w:r>
        <w:t>5.2</w:t>
      </w:r>
      <w:r>
        <w:fldChar w:fldCharType="end"/>
      </w:r>
      <w:r w:rsidRPr="00D971E7">
        <w:t xml:space="preserve">) and borrowings (see </w:t>
      </w:r>
      <w:r>
        <w:t>N</w:t>
      </w:r>
      <w:r w:rsidRPr="00D971E7">
        <w:t xml:space="preserve">ote </w:t>
      </w:r>
      <w:r>
        <w:fldChar w:fldCharType="begin"/>
      </w:r>
      <w:r>
        <w:instrText xml:space="preserve"> REF _Ref82072568 \r \h </w:instrText>
      </w:r>
      <w:r>
        <w:fldChar w:fldCharType="separate"/>
      </w:r>
      <w:r>
        <w:t>6.1</w:t>
      </w:r>
      <w:r>
        <w:fldChar w:fldCharType="end"/>
      </w:r>
      <w:r w:rsidRPr="00D971E7">
        <w:t>), are a reasonable approximation of fair value, either due to their short-term nature or with the expectation that they will be paid in full.</w:t>
      </w:r>
    </w:p>
    <w:p w14:paraId="74499803" w14:textId="77777777" w:rsidR="0058789F" w:rsidRPr="003115CA" w:rsidRDefault="0058789F" w:rsidP="00CE2908">
      <w:pPr>
        <w:pStyle w:val="NotesHeading3"/>
      </w:pPr>
      <w:bookmarkStart w:id="199" w:name="_Ref82089981"/>
      <w:r w:rsidRPr="007211D6">
        <w:t xml:space="preserve"> </w:t>
      </w:r>
      <w:r w:rsidRPr="003115CA">
        <w:t>Fair value determination: non-financial physical assets</w:t>
      </w:r>
      <w:bookmarkEnd w:id="199"/>
    </w:p>
    <w:p w14:paraId="4659A021" w14:textId="77777777" w:rsidR="0058789F" w:rsidRPr="00D971E7" w:rsidRDefault="0058789F" w:rsidP="0058789F">
      <w:pPr>
        <w:pStyle w:val="BodyText"/>
      </w:pPr>
      <w:r w:rsidRPr="00D971E7">
        <w:t xml:space="preserve">The fair value of non-financial physical assets (plant, equipment and vehicles) are normally determined by reference to the asset’s </w:t>
      </w:r>
      <w:r>
        <w:t>current</w:t>
      </w:r>
      <w:r w:rsidRPr="00D971E7">
        <w:t xml:space="preserve"> replacement cost. Existing depreciated historical cost is generally a reasonable proxy for depreciated replacement cost</w:t>
      </w:r>
      <w:r>
        <w:t>,</w:t>
      </w:r>
      <w:r w:rsidRPr="00D971E7">
        <w:t xml:space="preserve"> because of the short lives of the assets concerned.</w:t>
      </w:r>
    </w:p>
    <w:p w14:paraId="7760E156" w14:textId="77777777" w:rsidR="0058789F" w:rsidRDefault="0058789F" w:rsidP="0058789F">
      <w:pPr>
        <w:pStyle w:val="BodyText"/>
      </w:pPr>
      <w:r w:rsidRPr="00D971E7">
        <w:t xml:space="preserve">IBAC applies only </w:t>
      </w:r>
      <w:r>
        <w:t>l</w:t>
      </w:r>
      <w:r w:rsidRPr="00D971E7">
        <w:t>evel 3 valuation techniques, using significant unobservable inputs, such as useful life, depreciation method and cost</w:t>
      </w:r>
      <w:r>
        <w:t xml:space="preserve"> per unit</w:t>
      </w:r>
      <w:r w:rsidRPr="00D971E7">
        <w:t>, to determine the fair values of its non-financial physical assets. There have been no transfers between levels and no changes in significant unobservable inputs during the period.</w:t>
      </w:r>
    </w:p>
    <w:p w14:paraId="5AB187CB" w14:textId="77777777" w:rsidR="0058789F" w:rsidRPr="004A7C00" w:rsidRDefault="0058789F" w:rsidP="0058789F">
      <w:pPr>
        <w:pStyle w:val="BodyText"/>
      </w:pPr>
      <w:r>
        <w:t>The fair value of right-of-use assets is linked to the lease payments. The Department of Treasury and Finance assesses the current lease payments under the lease contract to approximate current market rentals, in comparison to equivalent properties that would be paid in the current market. The fair value of the leased assets is determined with reference to the amounts that will have to be paid to replace the current service capacity of the asset.</w:t>
      </w:r>
      <w:r>
        <w:br w:type="page"/>
      </w:r>
    </w:p>
    <w:p w14:paraId="67B351C8" w14:textId="77777777" w:rsidR="0058789F" w:rsidRDefault="0058789F" w:rsidP="0058789F">
      <w:pPr>
        <w:pStyle w:val="NotesHeading1"/>
        <w:numPr>
          <w:ilvl w:val="0"/>
          <w:numId w:val="22"/>
        </w:numPr>
      </w:pPr>
      <w:bookmarkStart w:id="200" w:name="_Ref120788347"/>
      <w:r>
        <w:t>Other disclosures</w:t>
      </w:r>
      <w:bookmarkEnd w:id="200"/>
    </w:p>
    <w:p w14:paraId="166E2EE7" w14:textId="63502829" w:rsidR="0058789F" w:rsidRPr="00CE2908" w:rsidRDefault="0058789F" w:rsidP="00CE2908">
      <w:pPr>
        <w:pStyle w:val="BodyText"/>
      </w:pPr>
      <w:r w:rsidRPr="00B92A7D">
        <w:t>This section includes additional material disclosures required by accounting standards or otherwise, for the understanding of this financial report.</w:t>
      </w:r>
    </w:p>
    <w:p w14:paraId="1C0A01C7" w14:textId="77777777" w:rsidR="0058789F" w:rsidRPr="00A042EA" w:rsidRDefault="0058789F" w:rsidP="00CE2908">
      <w:pPr>
        <w:pStyle w:val="NotesHeading2"/>
      </w:pPr>
      <w:bookmarkStart w:id="201" w:name="_Ref149163727"/>
      <w:r w:rsidRPr="00A042EA">
        <w:t>Ex gratia expenses</w:t>
      </w:r>
      <w:bookmarkEnd w:id="201"/>
    </w:p>
    <w:p w14:paraId="46F2E910" w14:textId="77777777" w:rsidR="0058789F" w:rsidRDefault="0058789F" w:rsidP="0058789F">
      <w:pPr>
        <w:pStyle w:val="BodyText"/>
      </w:pPr>
      <w:r w:rsidRPr="00B92A7D">
        <w:t>Ex gratia expenses are the voluntary payments of money or other non-monetary benefit (</w:t>
      </w:r>
      <w:r>
        <w:t xml:space="preserve">for example, </w:t>
      </w:r>
      <w:r w:rsidRPr="00B92A7D">
        <w:t>a write</w:t>
      </w:r>
      <w:r>
        <w:t>-</w:t>
      </w:r>
      <w:r w:rsidRPr="00B92A7D">
        <w:t xml:space="preserve">off) that </w:t>
      </w:r>
      <w:r>
        <w:t>are</w:t>
      </w:r>
      <w:r w:rsidRPr="00B92A7D">
        <w:t xml:space="preserve"> not made either to acquire goods, services or other benefits for the entity or to meet a legal liability</w:t>
      </w:r>
      <w:r>
        <w:t>,</w:t>
      </w:r>
      <w:r w:rsidRPr="00B92A7D">
        <w:t xml:space="preserve"> or settle or resolve a possible legal liability of or claim against the entity.</w:t>
      </w:r>
    </w:p>
    <w:p w14:paraId="6FE3E65F" w14:textId="77777777" w:rsidR="0058789F" w:rsidRPr="00764113" w:rsidRDefault="0058789F" w:rsidP="007211D6">
      <w:pPr>
        <w:pStyle w:val="BodyText"/>
        <w:rPr>
          <w:bCs/>
        </w:rPr>
      </w:pPr>
      <w:bookmarkStart w:id="202" w:name="_Ref82070705"/>
      <w:r w:rsidRPr="00764113">
        <w:t xml:space="preserve"> There w</w:t>
      </w:r>
      <w:r>
        <w:t xml:space="preserve">ere </w:t>
      </w:r>
      <w:r w:rsidRPr="00764113">
        <w:t>no ex</w:t>
      </w:r>
      <w:r>
        <w:t xml:space="preserve"> </w:t>
      </w:r>
      <w:r w:rsidRPr="00764113">
        <w:t xml:space="preserve">gratia </w:t>
      </w:r>
      <w:r>
        <w:t xml:space="preserve">expenses </w:t>
      </w:r>
      <w:r w:rsidRPr="00764113">
        <w:t>for the reporting period.</w:t>
      </w:r>
    </w:p>
    <w:p w14:paraId="1509C95E" w14:textId="77777777" w:rsidR="0058789F" w:rsidRPr="00EE75AE" w:rsidRDefault="0058789F" w:rsidP="00CE2908">
      <w:pPr>
        <w:pStyle w:val="NotesHeading2"/>
      </w:pPr>
      <w:bookmarkStart w:id="203" w:name="_Ref145061363"/>
      <w:r w:rsidRPr="00EE75AE">
        <w:t>Other economic flows included in net result</w:t>
      </w:r>
      <w:bookmarkEnd w:id="202"/>
      <w:bookmarkEnd w:id="203"/>
    </w:p>
    <w:p w14:paraId="337EE28E" w14:textId="77777777" w:rsidR="0058789F" w:rsidRPr="00EE75AE" w:rsidRDefault="0058789F" w:rsidP="0058789F">
      <w:pPr>
        <w:pStyle w:val="BodyText"/>
      </w:pPr>
      <w:r w:rsidRPr="00EE75AE">
        <w:t>Other economic flows are changes in volume or value of assets or liabilities that do not result from transactions. Other gains or losses from other economic flows include gains or losses from:</w:t>
      </w:r>
    </w:p>
    <w:p w14:paraId="25C63F66" w14:textId="51F95EE8" w:rsidR="0058789F" w:rsidRPr="00EE75AE" w:rsidRDefault="0058789F" w:rsidP="0058789F">
      <w:pPr>
        <w:pStyle w:val="ListBullet"/>
        <w:ind w:left="357" w:hanging="357"/>
      </w:pPr>
      <w:r w:rsidRPr="00EE75AE">
        <w:t xml:space="preserve">the revaluation of the present value of </w:t>
      </w:r>
      <w:r w:rsidR="00BE2D17">
        <w:t>LSL</w:t>
      </w:r>
      <w:r w:rsidRPr="00EE75AE">
        <w:t xml:space="preserve"> liability due to changes in discount rates (bond interest rates)</w:t>
      </w:r>
    </w:p>
    <w:p w14:paraId="417AEF6A" w14:textId="77777777" w:rsidR="0058789F" w:rsidRDefault="0058789F" w:rsidP="0058789F">
      <w:pPr>
        <w:pStyle w:val="ListBullet"/>
        <w:ind w:left="357" w:hanging="357"/>
      </w:pPr>
      <w:r w:rsidRPr="00EE75AE">
        <w:t>disposal of property, plant and equipment.</w:t>
      </w:r>
    </w:p>
    <w:p w14:paraId="243F9AAA" w14:textId="77777777" w:rsidR="0058789F" w:rsidRDefault="0058789F" w:rsidP="0058789F">
      <w:pPr>
        <w:pStyle w:val="Caption"/>
      </w:pPr>
      <w:r w:rsidRPr="00BA6BC4">
        <w:t>Other gains/(losses) from other economic flows</w:t>
      </w:r>
    </w:p>
    <w:tbl>
      <w:tblPr>
        <w:tblStyle w:val="CustomTabledetailed"/>
        <w:tblW w:w="5000" w:type="pct"/>
        <w:tblLook w:val="0660" w:firstRow="1" w:lastRow="1" w:firstColumn="0" w:lastColumn="0" w:noHBand="1" w:noVBand="1"/>
      </w:tblPr>
      <w:tblGrid>
        <w:gridCol w:w="5301"/>
        <w:gridCol w:w="1863"/>
        <w:gridCol w:w="1863"/>
      </w:tblGrid>
      <w:tr w:rsidR="0058789F" w:rsidRPr="009E0746" w14:paraId="4743F905"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936" w:type="pct"/>
            <w:noWrap/>
            <w:hideMark/>
          </w:tcPr>
          <w:p w14:paraId="371D277A" w14:textId="77777777" w:rsidR="0058789F" w:rsidRPr="009E0746" w:rsidRDefault="0058789F" w:rsidP="00AD1066">
            <w:pPr>
              <w:pStyle w:val="TableBodyText"/>
            </w:pPr>
            <w:r>
              <w:t xml:space="preserve"> </w:t>
            </w:r>
            <w:r w:rsidRPr="009E0746">
              <w:t> </w:t>
            </w:r>
          </w:p>
        </w:tc>
        <w:tc>
          <w:tcPr>
            <w:tcW w:w="1032" w:type="pct"/>
            <w:noWrap/>
            <w:hideMark/>
          </w:tcPr>
          <w:p w14:paraId="7480443D" w14:textId="77777777" w:rsidR="0058789F" w:rsidRDefault="0058789F" w:rsidP="00AD1066">
            <w:pPr>
              <w:pStyle w:val="TableHeading3rightalign"/>
            </w:pPr>
            <w:r w:rsidRPr="000B397C">
              <w:t>202</w:t>
            </w:r>
            <w:r>
              <w:t>3</w:t>
            </w:r>
          </w:p>
          <w:p w14:paraId="77C6DEF4" w14:textId="77777777" w:rsidR="0058789F" w:rsidRPr="009E0746" w:rsidRDefault="0058789F" w:rsidP="00AD1066">
            <w:pPr>
              <w:pStyle w:val="TableHeading3rightalign"/>
            </w:pPr>
            <w:r>
              <w:t>(</w:t>
            </w:r>
            <w:r w:rsidRPr="009E0746">
              <w:t>$’000</w:t>
            </w:r>
            <w:r>
              <w:t>)</w:t>
            </w:r>
          </w:p>
        </w:tc>
        <w:tc>
          <w:tcPr>
            <w:tcW w:w="1032" w:type="pct"/>
            <w:noWrap/>
            <w:hideMark/>
          </w:tcPr>
          <w:p w14:paraId="23642E27" w14:textId="77777777" w:rsidR="0058789F" w:rsidRDefault="0058789F" w:rsidP="00AD1066">
            <w:pPr>
              <w:pStyle w:val="TableHeading3rightalign"/>
            </w:pPr>
            <w:r w:rsidRPr="000B397C">
              <w:t>202</w:t>
            </w:r>
            <w:r>
              <w:t>2</w:t>
            </w:r>
          </w:p>
          <w:p w14:paraId="554B5D37" w14:textId="77777777" w:rsidR="0058789F" w:rsidRPr="009E0746" w:rsidRDefault="0058789F" w:rsidP="00AD1066">
            <w:pPr>
              <w:pStyle w:val="TableHeading3rightalign"/>
            </w:pPr>
            <w:r>
              <w:t>(</w:t>
            </w:r>
            <w:r w:rsidRPr="009E0746">
              <w:t>$’000</w:t>
            </w:r>
            <w:r>
              <w:t>)</w:t>
            </w:r>
          </w:p>
        </w:tc>
      </w:tr>
      <w:tr w:rsidR="0058789F" w:rsidRPr="009E0746" w14:paraId="60A0B670" w14:textId="77777777" w:rsidTr="00AD1066">
        <w:trPr>
          <w:trHeight w:val="255"/>
        </w:trPr>
        <w:tc>
          <w:tcPr>
            <w:tcW w:w="5000" w:type="pct"/>
            <w:gridSpan w:val="3"/>
            <w:noWrap/>
            <w:hideMark/>
          </w:tcPr>
          <w:p w14:paraId="15B52031" w14:textId="77777777" w:rsidR="0058789F" w:rsidRPr="009E0746" w:rsidRDefault="0058789F" w:rsidP="00AD1066">
            <w:pPr>
              <w:pStyle w:val="TableBodyTextsmall"/>
            </w:pPr>
          </w:p>
        </w:tc>
      </w:tr>
      <w:tr w:rsidR="0058789F" w:rsidRPr="009E0746" w14:paraId="38670EA5" w14:textId="77777777" w:rsidTr="00AD1066">
        <w:trPr>
          <w:trHeight w:val="355"/>
        </w:trPr>
        <w:tc>
          <w:tcPr>
            <w:tcW w:w="2936" w:type="pct"/>
            <w:hideMark/>
          </w:tcPr>
          <w:p w14:paraId="1083E133" w14:textId="77777777" w:rsidR="0058789F" w:rsidRPr="009E0746" w:rsidRDefault="0058789F" w:rsidP="00AD1066">
            <w:pPr>
              <w:pStyle w:val="TableBodyText"/>
            </w:pPr>
            <w:r w:rsidRPr="009E0746">
              <w:t>Net gain/(loss) arising from revaluation of annual leave and long service liability</w:t>
            </w:r>
          </w:p>
        </w:tc>
        <w:tc>
          <w:tcPr>
            <w:tcW w:w="1032" w:type="pct"/>
            <w:shd w:val="clear" w:color="auto" w:fill="F2F2F2" w:themeFill="background1" w:themeFillShade="F2"/>
            <w:noWrap/>
          </w:tcPr>
          <w:p w14:paraId="2E631455" w14:textId="77777777" w:rsidR="0058789F" w:rsidRPr="009E0746" w:rsidRDefault="0058789F" w:rsidP="00AD1066">
            <w:pPr>
              <w:pStyle w:val="TableBodyTextrightalign"/>
            </w:pPr>
            <w:r>
              <w:t>(308)</w:t>
            </w:r>
          </w:p>
        </w:tc>
        <w:tc>
          <w:tcPr>
            <w:tcW w:w="1032" w:type="pct"/>
            <w:noWrap/>
            <w:hideMark/>
          </w:tcPr>
          <w:p w14:paraId="2A0FBA33" w14:textId="77777777" w:rsidR="0058789F" w:rsidRPr="009E0746" w:rsidRDefault="0058789F" w:rsidP="00AD1066">
            <w:pPr>
              <w:pStyle w:val="TableBodyTextrightalign"/>
            </w:pPr>
            <w:r>
              <w:t>232</w:t>
            </w:r>
          </w:p>
        </w:tc>
      </w:tr>
      <w:tr w:rsidR="0058789F" w:rsidRPr="009E0746" w14:paraId="165B23F5" w14:textId="77777777" w:rsidTr="00AD1066">
        <w:trPr>
          <w:trHeight w:val="300"/>
        </w:trPr>
        <w:tc>
          <w:tcPr>
            <w:tcW w:w="2936" w:type="pct"/>
            <w:tcBorders>
              <w:bottom w:val="single" w:sz="4" w:space="0" w:color="auto"/>
            </w:tcBorders>
            <w:hideMark/>
          </w:tcPr>
          <w:p w14:paraId="64A99ACB" w14:textId="77777777" w:rsidR="0058789F" w:rsidRPr="009E0746" w:rsidRDefault="0058789F" w:rsidP="00AD1066">
            <w:pPr>
              <w:pStyle w:val="TableBodyText"/>
            </w:pPr>
            <w:r w:rsidRPr="009E0746">
              <w:t>Net gain/(loss) from disposal of property, plant and equipment</w:t>
            </w:r>
          </w:p>
        </w:tc>
        <w:tc>
          <w:tcPr>
            <w:tcW w:w="1032" w:type="pct"/>
            <w:tcBorders>
              <w:bottom w:val="single" w:sz="4" w:space="0" w:color="auto"/>
            </w:tcBorders>
            <w:shd w:val="clear" w:color="auto" w:fill="F2F2F2" w:themeFill="background1" w:themeFillShade="F2"/>
            <w:noWrap/>
          </w:tcPr>
          <w:p w14:paraId="59A44931" w14:textId="77777777" w:rsidR="0058789F" w:rsidRPr="009E0746" w:rsidRDefault="0058789F" w:rsidP="00AD1066">
            <w:pPr>
              <w:pStyle w:val="TableBodyTextrightalign"/>
            </w:pPr>
            <w:r>
              <w:t>133</w:t>
            </w:r>
          </w:p>
        </w:tc>
        <w:tc>
          <w:tcPr>
            <w:tcW w:w="1032" w:type="pct"/>
            <w:tcBorders>
              <w:bottom w:val="single" w:sz="4" w:space="0" w:color="auto"/>
            </w:tcBorders>
            <w:noWrap/>
            <w:hideMark/>
          </w:tcPr>
          <w:p w14:paraId="0E98C8C7" w14:textId="77777777" w:rsidR="0058789F" w:rsidRPr="009E0746" w:rsidRDefault="0058789F" w:rsidP="00AD1066">
            <w:pPr>
              <w:pStyle w:val="TableBodyTextrightalign"/>
            </w:pPr>
            <w:r>
              <w:t>140</w:t>
            </w:r>
          </w:p>
        </w:tc>
      </w:tr>
      <w:tr w:rsidR="0058789F" w:rsidRPr="009E0746" w14:paraId="3F00BA31"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2936" w:type="pct"/>
            <w:tcBorders>
              <w:top w:val="single" w:sz="4" w:space="0" w:color="auto"/>
            </w:tcBorders>
            <w:noWrap/>
            <w:hideMark/>
          </w:tcPr>
          <w:p w14:paraId="417F212E" w14:textId="77777777" w:rsidR="0058789F" w:rsidRPr="009E0746" w:rsidRDefault="0058789F" w:rsidP="00AD1066">
            <w:pPr>
              <w:pStyle w:val="TableBodyText"/>
            </w:pPr>
            <w:r w:rsidRPr="009E0746">
              <w:t>Total other gains/(losses) from other economic flows</w:t>
            </w:r>
          </w:p>
        </w:tc>
        <w:tc>
          <w:tcPr>
            <w:tcW w:w="1032" w:type="pct"/>
            <w:tcBorders>
              <w:top w:val="single" w:sz="4" w:space="0" w:color="auto"/>
            </w:tcBorders>
            <w:shd w:val="clear" w:color="auto" w:fill="F2F2F2" w:themeFill="background1" w:themeFillShade="F2"/>
            <w:noWrap/>
          </w:tcPr>
          <w:p w14:paraId="4528BDDF" w14:textId="77777777" w:rsidR="0058789F" w:rsidRPr="009E0746" w:rsidRDefault="0058789F" w:rsidP="00AD1066">
            <w:pPr>
              <w:pStyle w:val="TableBodyTextrightalign"/>
            </w:pPr>
            <w:r>
              <w:t>(176)</w:t>
            </w:r>
          </w:p>
        </w:tc>
        <w:tc>
          <w:tcPr>
            <w:tcW w:w="1032" w:type="pct"/>
            <w:tcBorders>
              <w:top w:val="single" w:sz="4" w:space="0" w:color="auto"/>
            </w:tcBorders>
            <w:noWrap/>
            <w:hideMark/>
          </w:tcPr>
          <w:p w14:paraId="4708FDE3" w14:textId="77777777" w:rsidR="0058789F" w:rsidRPr="009E0746" w:rsidRDefault="0058789F" w:rsidP="00AD1066">
            <w:pPr>
              <w:pStyle w:val="TableBodyTextrightalign"/>
            </w:pPr>
            <w:r>
              <w:t>371</w:t>
            </w:r>
          </w:p>
        </w:tc>
      </w:tr>
    </w:tbl>
    <w:p w14:paraId="19F3C3A4" w14:textId="77777777" w:rsidR="0058789F" w:rsidRDefault="0058789F" w:rsidP="0058789F">
      <w:pPr>
        <w:pStyle w:val="TableNote"/>
      </w:pPr>
    </w:p>
    <w:p w14:paraId="37A53C40" w14:textId="77777777" w:rsidR="0058789F" w:rsidRDefault="0058789F" w:rsidP="00CE2908">
      <w:pPr>
        <w:pStyle w:val="NotesHeading2"/>
      </w:pPr>
      <w:bookmarkStart w:id="204" w:name="_Ref149136305"/>
      <w:r w:rsidRPr="00EE75AE">
        <w:t xml:space="preserve">Remuneration of </w:t>
      </w:r>
      <w:r w:rsidRPr="00CE2908">
        <w:t>executives</w:t>
      </w:r>
      <w:r w:rsidRPr="00EE75AE">
        <w:t xml:space="preserve"> and other personnel</w:t>
      </w:r>
      <w:bookmarkEnd w:id="204"/>
    </w:p>
    <w:p w14:paraId="38F42DCE" w14:textId="28E6C83D" w:rsidR="0058789F" w:rsidRDefault="0058789F" w:rsidP="00184054">
      <w:pPr>
        <w:pStyle w:val="BodyText"/>
      </w:pPr>
      <w:r>
        <w:rPr>
          <w:szCs w:val="40"/>
        </w:rPr>
        <w:t xml:space="preserve"> </w:t>
      </w:r>
      <w:r>
        <w:t xml:space="preserve">The number of executive officers, other than ministers and the </w:t>
      </w:r>
      <w:r w:rsidR="00BE2D17">
        <w:t>a</w:t>
      </w:r>
      <w:r>
        <w:t xml:space="preserve">ccountable </w:t>
      </w:r>
      <w:r w:rsidR="00BE2D17">
        <w:t>o</w:t>
      </w:r>
      <w:r>
        <w:t>fficer, and their total remuneration during the reporting period, are shown in table below. Total annualised employee equivalents provide a measure of full-time equivalent executive officers over the reporting period.</w:t>
      </w:r>
    </w:p>
    <w:p w14:paraId="0A8E0398" w14:textId="77777777" w:rsidR="0058789F" w:rsidRDefault="0058789F" w:rsidP="0058789F">
      <w:pPr>
        <w:pStyle w:val="BodyText"/>
      </w:pPr>
      <w:r>
        <w:t>Remuneration comprises employee benefits in all forms of consideration paid, payable or provided by the entity, or on behalf of the entity, in exchange for services rendered. Remuneration is determined on an accruals basis, and is disclosed in the following categories:</w:t>
      </w:r>
    </w:p>
    <w:p w14:paraId="052C83D6" w14:textId="77777777" w:rsidR="0058789F" w:rsidRDefault="0058789F" w:rsidP="0058789F">
      <w:pPr>
        <w:pStyle w:val="ListBullet"/>
        <w:ind w:left="357" w:hanging="357"/>
      </w:pPr>
      <w:r w:rsidRPr="00160506">
        <w:rPr>
          <w:rStyle w:val="Characterbold"/>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17CA6344" w14:textId="77777777" w:rsidR="0058789F" w:rsidRDefault="0058789F" w:rsidP="0058789F">
      <w:pPr>
        <w:pStyle w:val="ListBullet"/>
        <w:ind w:left="357" w:hanging="357"/>
      </w:pPr>
      <w:r w:rsidRPr="00160506">
        <w:rPr>
          <w:rStyle w:val="Characterbold"/>
        </w:rPr>
        <w:t>Post-employment benefits</w:t>
      </w:r>
      <w:r>
        <w:t xml:space="preserve"> include pensions and other retirement benefits paid or payable on a discrete basis when employment has ceased.</w:t>
      </w:r>
    </w:p>
    <w:p w14:paraId="4A4ED5DC" w14:textId="09F0ECF7" w:rsidR="0058789F" w:rsidRDefault="0058789F" w:rsidP="0058789F">
      <w:pPr>
        <w:pStyle w:val="ListBullet"/>
        <w:ind w:left="357" w:hanging="357"/>
      </w:pPr>
      <w:r w:rsidRPr="00160506">
        <w:rPr>
          <w:rStyle w:val="Characterbold"/>
        </w:rPr>
        <w:t>Other long-term benefits</w:t>
      </w:r>
      <w:r>
        <w:t xml:space="preserve"> include </w:t>
      </w:r>
      <w:r w:rsidR="00F82E06">
        <w:t>LSL</w:t>
      </w:r>
      <w:r>
        <w:t>, other long-service benefit or deferred compensation.</w:t>
      </w:r>
    </w:p>
    <w:p w14:paraId="4D6F2E90" w14:textId="77777777" w:rsidR="0058789F" w:rsidRDefault="0058789F" w:rsidP="0058789F">
      <w:pPr>
        <w:pStyle w:val="ListBullet"/>
        <w:ind w:left="357" w:hanging="357"/>
      </w:pPr>
      <w:r w:rsidRPr="00160506">
        <w:rPr>
          <w:rStyle w:val="Characterbold"/>
        </w:rPr>
        <w:t>Termination benefits</w:t>
      </w:r>
      <w:r>
        <w:t xml:space="preserve"> include termination of employment payments, such as severance packages.</w:t>
      </w:r>
    </w:p>
    <w:tbl>
      <w:tblPr>
        <w:tblStyle w:val="CustomTabledetailed"/>
        <w:tblW w:w="5000" w:type="pct"/>
        <w:tblLook w:val="0660" w:firstRow="1" w:lastRow="1" w:firstColumn="0" w:lastColumn="0" w:noHBand="1" w:noVBand="1"/>
      </w:tblPr>
      <w:tblGrid>
        <w:gridCol w:w="4993"/>
        <w:gridCol w:w="2017"/>
        <w:gridCol w:w="2017"/>
      </w:tblGrid>
      <w:tr w:rsidR="0058789F" w:rsidRPr="0013070F" w14:paraId="6BB54482" w14:textId="77777777" w:rsidTr="00AD1066">
        <w:trPr>
          <w:cnfStyle w:val="100000000000" w:firstRow="1" w:lastRow="0" w:firstColumn="0" w:lastColumn="0" w:oddVBand="0" w:evenVBand="0" w:oddHBand="0" w:evenHBand="0" w:firstRowFirstColumn="0" w:firstRowLastColumn="0" w:lastRowFirstColumn="0" w:lastRowLastColumn="0"/>
          <w:trHeight w:val="300"/>
        </w:trPr>
        <w:tc>
          <w:tcPr>
            <w:tcW w:w="2766" w:type="pct"/>
            <w:noWrap/>
            <w:hideMark/>
          </w:tcPr>
          <w:p w14:paraId="3D5A3BC1" w14:textId="77777777" w:rsidR="0058789F" w:rsidRPr="0013070F" w:rsidRDefault="0058789F" w:rsidP="00AD1066">
            <w:pPr>
              <w:pStyle w:val="TableBodyText"/>
            </w:pPr>
            <w:r>
              <w:t xml:space="preserve"> </w:t>
            </w:r>
          </w:p>
        </w:tc>
        <w:tc>
          <w:tcPr>
            <w:tcW w:w="1117" w:type="pct"/>
            <w:noWrap/>
            <w:hideMark/>
          </w:tcPr>
          <w:p w14:paraId="49B3351A" w14:textId="77777777" w:rsidR="0058789F" w:rsidRDefault="0058789F" w:rsidP="00AD1066">
            <w:pPr>
              <w:pStyle w:val="TableHeading3rightalign"/>
            </w:pPr>
            <w:r w:rsidRPr="000B397C">
              <w:t>202</w:t>
            </w:r>
            <w:r>
              <w:t>3</w:t>
            </w:r>
          </w:p>
          <w:p w14:paraId="7B09060D" w14:textId="77777777" w:rsidR="0058789F" w:rsidRPr="0013070F" w:rsidRDefault="0058789F" w:rsidP="00AD1066">
            <w:pPr>
              <w:pStyle w:val="TableHeading3rightalign"/>
            </w:pPr>
            <w:r>
              <w:t>(</w:t>
            </w:r>
            <w:r w:rsidRPr="009E0746">
              <w:t>$’000</w:t>
            </w:r>
            <w:r>
              <w:t>)</w:t>
            </w:r>
          </w:p>
        </w:tc>
        <w:tc>
          <w:tcPr>
            <w:tcW w:w="1117" w:type="pct"/>
            <w:noWrap/>
            <w:hideMark/>
          </w:tcPr>
          <w:p w14:paraId="243A183C" w14:textId="77777777" w:rsidR="0058789F" w:rsidRDefault="0058789F" w:rsidP="00AD1066">
            <w:pPr>
              <w:pStyle w:val="TableHeading3rightalign"/>
            </w:pPr>
            <w:r w:rsidRPr="000B397C">
              <w:t>202</w:t>
            </w:r>
            <w:r>
              <w:t>2</w:t>
            </w:r>
          </w:p>
          <w:p w14:paraId="63C084D8" w14:textId="77777777" w:rsidR="0058789F" w:rsidRPr="0013070F" w:rsidRDefault="0058789F" w:rsidP="00AD1066">
            <w:pPr>
              <w:pStyle w:val="TableHeading3rightalign"/>
            </w:pPr>
            <w:r>
              <w:t>(</w:t>
            </w:r>
            <w:r w:rsidRPr="009E0746">
              <w:t>$’000</w:t>
            </w:r>
            <w:r>
              <w:t>)</w:t>
            </w:r>
          </w:p>
        </w:tc>
      </w:tr>
      <w:tr w:rsidR="0058789F" w:rsidRPr="0013070F" w14:paraId="659344A9" w14:textId="77777777" w:rsidTr="00AD1066">
        <w:trPr>
          <w:trHeight w:val="255"/>
        </w:trPr>
        <w:tc>
          <w:tcPr>
            <w:tcW w:w="5000" w:type="pct"/>
            <w:gridSpan w:val="3"/>
            <w:noWrap/>
            <w:hideMark/>
          </w:tcPr>
          <w:p w14:paraId="24121A9A" w14:textId="77777777" w:rsidR="0058789F" w:rsidRPr="0013070F" w:rsidRDefault="0058789F" w:rsidP="00AD1066">
            <w:pPr>
              <w:pStyle w:val="TableBodyText"/>
            </w:pPr>
          </w:p>
        </w:tc>
      </w:tr>
      <w:tr w:rsidR="0058789F" w:rsidRPr="0013070F" w14:paraId="2F5ED538" w14:textId="77777777" w:rsidTr="00AD1066">
        <w:trPr>
          <w:trHeight w:val="255"/>
        </w:trPr>
        <w:tc>
          <w:tcPr>
            <w:tcW w:w="2766" w:type="pct"/>
            <w:noWrap/>
            <w:hideMark/>
          </w:tcPr>
          <w:p w14:paraId="5DBDE281" w14:textId="77777777" w:rsidR="0058789F" w:rsidRPr="0013070F" w:rsidRDefault="0058789F" w:rsidP="00AD1066">
            <w:pPr>
              <w:pStyle w:val="TableBodyText"/>
            </w:pPr>
            <w:r w:rsidRPr="0013070F">
              <w:t xml:space="preserve"> Short-term employee benefits </w:t>
            </w:r>
          </w:p>
        </w:tc>
        <w:tc>
          <w:tcPr>
            <w:tcW w:w="1117" w:type="pct"/>
            <w:shd w:val="clear" w:color="auto" w:fill="F2F2F2" w:themeFill="background1" w:themeFillShade="F2"/>
            <w:noWrap/>
          </w:tcPr>
          <w:p w14:paraId="58A76A45" w14:textId="77777777" w:rsidR="0058789F" w:rsidRPr="0013070F" w:rsidRDefault="0058789F" w:rsidP="00AD1066">
            <w:pPr>
              <w:pStyle w:val="TableBodyTextrightalign"/>
            </w:pPr>
            <w:r>
              <w:t>3,605</w:t>
            </w:r>
          </w:p>
        </w:tc>
        <w:tc>
          <w:tcPr>
            <w:tcW w:w="1117" w:type="pct"/>
            <w:noWrap/>
            <w:hideMark/>
          </w:tcPr>
          <w:p w14:paraId="29A4B920" w14:textId="77777777" w:rsidR="0058789F" w:rsidRPr="0013070F" w:rsidRDefault="0058789F" w:rsidP="00AD1066">
            <w:pPr>
              <w:pStyle w:val="TableBodyTextrightalign"/>
            </w:pPr>
            <w:r>
              <w:t>3,012</w:t>
            </w:r>
          </w:p>
        </w:tc>
      </w:tr>
      <w:tr w:rsidR="0058789F" w:rsidRPr="0013070F" w14:paraId="590FA705" w14:textId="77777777" w:rsidTr="00AD1066">
        <w:trPr>
          <w:trHeight w:val="255"/>
        </w:trPr>
        <w:tc>
          <w:tcPr>
            <w:tcW w:w="2766" w:type="pct"/>
            <w:noWrap/>
            <w:hideMark/>
          </w:tcPr>
          <w:p w14:paraId="6426A1F4" w14:textId="77777777" w:rsidR="0058789F" w:rsidRPr="0013070F" w:rsidRDefault="0058789F" w:rsidP="00AD1066">
            <w:pPr>
              <w:pStyle w:val="TableBodyText"/>
            </w:pPr>
            <w:r w:rsidRPr="0013070F">
              <w:t xml:space="preserve"> Post-employment benefits </w:t>
            </w:r>
          </w:p>
        </w:tc>
        <w:tc>
          <w:tcPr>
            <w:tcW w:w="1117" w:type="pct"/>
            <w:shd w:val="clear" w:color="auto" w:fill="F2F2F2" w:themeFill="background1" w:themeFillShade="F2"/>
            <w:noWrap/>
          </w:tcPr>
          <w:p w14:paraId="391FFAF6" w14:textId="77777777" w:rsidR="0058789F" w:rsidRPr="0013070F" w:rsidRDefault="0058789F" w:rsidP="00AD1066">
            <w:pPr>
              <w:pStyle w:val="TableBodyTextrightalign"/>
            </w:pPr>
            <w:r>
              <w:t>366</w:t>
            </w:r>
          </w:p>
        </w:tc>
        <w:tc>
          <w:tcPr>
            <w:tcW w:w="1117" w:type="pct"/>
            <w:noWrap/>
            <w:hideMark/>
          </w:tcPr>
          <w:p w14:paraId="1AEB89BC" w14:textId="77777777" w:rsidR="0058789F" w:rsidRPr="0013070F" w:rsidRDefault="0058789F" w:rsidP="00AD1066">
            <w:pPr>
              <w:pStyle w:val="TableBodyTextrightalign"/>
            </w:pPr>
            <w:r>
              <w:t>293</w:t>
            </w:r>
          </w:p>
        </w:tc>
      </w:tr>
      <w:tr w:rsidR="0058789F" w:rsidRPr="0013070F" w14:paraId="73FEBB6A" w14:textId="77777777" w:rsidTr="00AD1066">
        <w:trPr>
          <w:trHeight w:val="255"/>
        </w:trPr>
        <w:tc>
          <w:tcPr>
            <w:tcW w:w="2766" w:type="pct"/>
            <w:noWrap/>
            <w:hideMark/>
          </w:tcPr>
          <w:p w14:paraId="48874DB9" w14:textId="77777777" w:rsidR="0058789F" w:rsidRPr="0013070F" w:rsidRDefault="0058789F" w:rsidP="00AD1066">
            <w:pPr>
              <w:pStyle w:val="TableBodyText"/>
            </w:pPr>
            <w:r w:rsidRPr="0013070F">
              <w:t xml:space="preserve"> Other long-term benefits </w:t>
            </w:r>
          </w:p>
        </w:tc>
        <w:tc>
          <w:tcPr>
            <w:tcW w:w="1117" w:type="pct"/>
            <w:shd w:val="clear" w:color="auto" w:fill="F2F2F2" w:themeFill="background1" w:themeFillShade="F2"/>
            <w:noWrap/>
          </w:tcPr>
          <w:p w14:paraId="09BD830F" w14:textId="77777777" w:rsidR="0058789F" w:rsidRPr="0013070F" w:rsidRDefault="0058789F" w:rsidP="00AD1066">
            <w:pPr>
              <w:pStyle w:val="TableBodyTextrightalign"/>
            </w:pPr>
            <w:r>
              <w:t>85</w:t>
            </w:r>
          </w:p>
        </w:tc>
        <w:tc>
          <w:tcPr>
            <w:tcW w:w="1117" w:type="pct"/>
            <w:noWrap/>
            <w:hideMark/>
          </w:tcPr>
          <w:p w14:paraId="4659898D" w14:textId="77777777" w:rsidR="0058789F" w:rsidRPr="0013070F" w:rsidRDefault="0058789F" w:rsidP="00AD1066">
            <w:pPr>
              <w:pStyle w:val="TableBodyTextrightalign"/>
            </w:pPr>
            <w:r>
              <w:t>67</w:t>
            </w:r>
          </w:p>
        </w:tc>
      </w:tr>
      <w:tr w:rsidR="0058789F" w:rsidRPr="0013070F" w14:paraId="41A162E2" w14:textId="77777777" w:rsidTr="00AD1066">
        <w:trPr>
          <w:trHeight w:val="255"/>
        </w:trPr>
        <w:tc>
          <w:tcPr>
            <w:tcW w:w="2766" w:type="pct"/>
            <w:tcBorders>
              <w:bottom w:val="dotted" w:sz="4" w:space="0" w:color="auto"/>
            </w:tcBorders>
            <w:noWrap/>
            <w:hideMark/>
          </w:tcPr>
          <w:p w14:paraId="0E68BF82" w14:textId="77777777" w:rsidR="0058789F" w:rsidRPr="0013070F" w:rsidRDefault="0058789F" w:rsidP="00AD1066">
            <w:pPr>
              <w:pStyle w:val="TableBodyText"/>
            </w:pPr>
            <w:r w:rsidRPr="0013070F">
              <w:t xml:space="preserve"> Termination benefits </w:t>
            </w:r>
          </w:p>
        </w:tc>
        <w:tc>
          <w:tcPr>
            <w:tcW w:w="1117" w:type="pct"/>
            <w:tcBorders>
              <w:bottom w:val="dotted" w:sz="4" w:space="0" w:color="auto"/>
            </w:tcBorders>
            <w:shd w:val="clear" w:color="auto" w:fill="F2F2F2" w:themeFill="background1" w:themeFillShade="F2"/>
            <w:noWrap/>
          </w:tcPr>
          <w:p w14:paraId="63878437" w14:textId="77777777" w:rsidR="0058789F" w:rsidRPr="0013070F" w:rsidRDefault="0058789F" w:rsidP="00AD1066">
            <w:pPr>
              <w:pStyle w:val="TableBodyTextrightalign"/>
            </w:pPr>
            <w:r w:rsidRPr="00E3729D">
              <w:t>–</w:t>
            </w:r>
          </w:p>
        </w:tc>
        <w:tc>
          <w:tcPr>
            <w:tcW w:w="1117" w:type="pct"/>
            <w:tcBorders>
              <w:bottom w:val="dotted" w:sz="4" w:space="0" w:color="auto"/>
            </w:tcBorders>
            <w:noWrap/>
            <w:hideMark/>
          </w:tcPr>
          <w:p w14:paraId="60E80F57" w14:textId="77777777" w:rsidR="0058789F" w:rsidRPr="0013070F" w:rsidRDefault="0058789F" w:rsidP="00AD1066">
            <w:pPr>
              <w:pStyle w:val="TableBodyTextrightalign"/>
            </w:pPr>
            <w:r w:rsidRPr="00E3729D">
              <w:t>–</w:t>
            </w:r>
          </w:p>
        </w:tc>
      </w:tr>
      <w:tr w:rsidR="0058789F" w:rsidRPr="0013070F" w14:paraId="225F6706" w14:textId="77777777" w:rsidTr="00AD1066">
        <w:trPr>
          <w:trHeight w:val="255"/>
        </w:trPr>
        <w:tc>
          <w:tcPr>
            <w:tcW w:w="2766" w:type="pct"/>
            <w:tcBorders>
              <w:top w:val="dotted" w:sz="4" w:space="0" w:color="auto"/>
              <w:bottom w:val="single" w:sz="4" w:space="0" w:color="auto"/>
            </w:tcBorders>
            <w:noWrap/>
            <w:hideMark/>
          </w:tcPr>
          <w:p w14:paraId="675B4F9E" w14:textId="77777777" w:rsidR="0058789F" w:rsidRPr="008F6729" w:rsidRDefault="0058789F" w:rsidP="00AD1066">
            <w:pPr>
              <w:pStyle w:val="TableBodyText"/>
              <w:rPr>
                <w:rStyle w:val="Characterbold"/>
              </w:rPr>
            </w:pPr>
            <w:r w:rsidRPr="008F6729">
              <w:rPr>
                <w:rStyle w:val="Characterbold"/>
              </w:rPr>
              <w:t xml:space="preserve">Total </w:t>
            </w:r>
            <w:r>
              <w:rPr>
                <w:rStyle w:val="Characterbold"/>
              </w:rPr>
              <w:t>r</w:t>
            </w:r>
            <w:r w:rsidRPr="008F6729">
              <w:rPr>
                <w:rStyle w:val="Characterbold"/>
              </w:rPr>
              <w:t>emuneration</w:t>
            </w:r>
          </w:p>
        </w:tc>
        <w:tc>
          <w:tcPr>
            <w:tcW w:w="1117" w:type="pct"/>
            <w:tcBorders>
              <w:top w:val="dotted" w:sz="4" w:space="0" w:color="auto"/>
              <w:bottom w:val="single" w:sz="4" w:space="0" w:color="auto"/>
            </w:tcBorders>
            <w:shd w:val="clear" w:color="auto" w:fill="F2F2F2" w:themeFill="background1" w:themeFillShade="F2"/>
            <w:noWrap/>
          </w:tcPr>
          <w:p w14:paraId="350A403C" w14:textId="77777777" w:rsidR="0058789F" w:rsidRPr="007E78B5" w:rsidRDefault="0058789F" w:rsidP="007E78B5">
            <w:pPr>
              <w:pStyle w:val="TableBodyTextrightalign"/>
              <w:rPr>
                <w:rStyle w:val="Characterbold"/>
              </w:rPr>
            </w:pPr>
            <w:r w:rsidRPr="007E78B5">
              <w:rPr>
                <w:rStyle w:val="Characterbold"/>
              </w:rPr>
              <w:t>4,056</w:t>
            </w:r>
          </w:p>
        </w:tc>
        <w:tc>
          <w:tcPr>
            <w:tcW w:w="1117" w:type="pct"/>
            <w:tcBorders>
              <w:top w:val="dotted" w:sz="4" w:space="0" w:color="auto"/>
              <w:bottom w:val="single" w:sz="4" w:space="0" w:color="auto"/>
            </w:tcBorders>
            <w:noWrap/>
            <w:hideMark/>
          </w:tcPr>
          <w:p w14:paraId="654EFD7C" w14:textId="77777777" w:rsidR="0058789F" w:rsidRPr="008F6729" w:rsidRDefault="0058789F" w:rsidP="00AD1066">
            <w:pPr>
              <w:pStyle w:val="TableBodyTextrightalign"/>
              <w:rPr>
                <w:rStyle w:val="Characterbold"/>
              </w:rPr>
            </w:pPr>
            <w:r>
              <w:rPr>
                <w:rStyle w:val="Characterbold"/>
              </w:rPr>
              <w:t>3,372</w:t>
            </w:r>
          </w:p>
        </w:tc>
      </w:tr>
      <w:tr w:rsidR="0058789F" w:rsidRPr="0013070F" w14:paraId="7D51548E" w14:textId="77777777" w:rsidTr="00AD1066">
        <w:trPr>
          <w:trHeight w:val="255"/>
        </w:trPr>
        <w:tc>
          <w:tcPr>
            <w:tcW w:w="2766" w:type="pct"/>
            <w:tcBorders>
              <w:top w:val="single" w:sz="4" w:space="0" w:color="auto"/>
              <w:bottom w:val="single" w:sz="4" w:space="0" w:color="auto"/>
            </w:tcBorders>
            <w:noWrap/>
            <w:hideMark/>
          </w:tcPr>
          <w:p w14:paraId="41001703" w14:textId="77777777" w:rsidR="0058789F" w:rsidRPr="008F6729" w:rsidRDefault="0058789F" w:rsidP="00AD1066">
            <w:pPr>
              <w:pStyle w:val="TableBodyText"/>
              <w:rPr>
                <w:rStyle w:val="Characterbold"/>
              </w:rPr>
            </w:pPr>
            <w:r w:rsidRPr="008F6729">
              <w:rPr>
                <w:rStyle w:val="Characterbold"/>
              </w:rPr>
              <w:t xml:space="preserve">Total number of executives </w:t>
            </w:r>
          </w:p>
        </w:tc>
        <w:tc>
          <w:tcPr>
            <w:tcW w:w="1117" w:type="pct"/>
            <w:tcBorders>
              <w:top w:val="single" w:sz="4" w:space="0" w:color="auto"/>
              <w:bottom w:val="single" w:sz="4" w:space="0" w:color="auto"/>
            </w:tcBorders>
            <w:shd w:val="clear" w:color="auto" w:fill="F2F2F2" w:themeFill="background1" w:themeFillShade="F2"/>
            <w:noWrap/>
          </w:tcPr>
          <w:p w14:paraId="3B7FB305" w14:textId="77777777" w:rsidR="0058789F" w:rsidRPr="007E78B5" w:rsidRDefault="0058789F" w:rsidP="007E78B5">
            <w:pPr>
              <w:pStyle w:val="TableBodyTextrightalign"/>
              <w:rPr>
                <w:rStyle w:val="Characterbold"/>
              </w:rPr>
            </w:pPr>
            <w:r w:rsidRPr="007E78B5">
              <w:rPr>
                <w:rStyle w:val="Characterbold"/>
              </w:rPr>
              <w:t>17</w:t>
            </w:r>
          </w:p>
        </w:tc>
        <w:tc>
          <w:tcPr>
            <w:tcW w:w="1117" w:type="pct"/>
            <w:tcBorders>
              <w:top w:val="single" w:sz="4" w:space="0" w:color="auto"/>
              <w:bottom w:val="single" w:sz="4" w:space="0" w:color="auto"/>
            </w:tcBorders>
            <w:noWrap/>
            <w:hideMark/>
          </w:tcPr>
          <w:p w14:paraId="2D0393FE" w14:textId="77777777" w:rsidR="0058789F" w:rsidRPr="008F6729" w:rsidRDefault="0058789F" w:rsidP="00AD1066">
            <w:pPr>
              <w:pStyle w:val="TableBodyTextrightalign"/>
              <w:rPr>
                <w:rStyle w:val="Characterbold"/>
              </w:rPr>
            </w:pPr>
            <w:r>
              <w:rPr>
                <w:rStyle w:val="Characterbold"/>
              </w:rPr>
              <w:t>14.5</w:t>
            </w:r>
          </w:p>
        </w:tc>
      </w:tr>
      <w:tr w:rsidR="0058789F" w:rsidRPr="0013070F" w14:paraId="4260E559" w14:textId="77777777" w:rsidTr="00AD1066">
        <w:trPr>
          <w:cnfStyle w:val="010000000000" w:firstRow="0" w:lastRow="1" w:firstColumn="0" w:lastColumn="0" w:oddVBand="0" w:evenVBand="0" w:oddHBand="0" w:evenHBand="0" w:firstRowFirstColumn="0" w:firstRowLastColumn="0" w:lastRowFirstColumn="0" w:lastRowLastColumn="0"/>
          <w:trHeight w:val="315"/>
        </w:trPr>
        <w:tc>
          <w:tcPr>
            <w:tcW w:w="2766" w:type="pct"/>
            <w:tcBorders>
              <w:top w:val="single" w:sz="4" w:space="0" w:color="auto"/>
            </w:tcBorders>
            <w:noWrap/>
            <w:hideMark/>
          </w:tcPr>
          <w:p w14:paraId="3425D142" w14:textId="77777777" w:rsidR="0058789F" w:rsidRPr="0013070F" w:rsidRDefault="0058789F" w:rsidP="00AD1066">
            <w:pPr>
              <w:pStyle w:val="TableBodyText"/>
            </w:pPr>
            <w:r w:rsidRPr="0013070F">
              <w:t>Total annualised employee equivalents (AEE)</w:t>
            </w:r>
            <w:r w:rsidRPr="002E1CEF">
              <w:rPr>
                <w:rStyle w:val="Charactersuperscript"/>
              </w:rPr>
              <w:t xml:space="preserve">(a) </w:t>
            </w:r>
          </w:p>
        </w:tc>
        <w:tc>
          <w:tcPr>
            <w:tcW w:w="1117" w:type="pct"/>
            <w:tcBorders>
              <w:top w:val="single" w:sz="4" w:space="0" w:color="auto"/>
            </w:tcBorders>
            <w:shd w:val="clear" w:color="auto" w:fill="F2F2F2" w:themeFill="background1" w:themeFillShade="F2"/>
            <w:noWrap/>
          </w:tcPr>
          <w:p w14:paraId="29D9AC9E" w14:textId="77777777" w:rsidR="0058789F" w:rsidRPr="004D5DB0" w:rsidRDefault="0058789F" w:rsidP="00AD1066">
            <w:pPr>
              <w:pStyle w:val="TableBodyTextrightalign"/>
              <w:rPr>
                <w:bCs w:val="0"/>
              </w:rPr>
            </w:pPr>
            <w:r>
              <w:rPr>
                <w:bCs w:val="0"/>
              </w:rPr>
              <w:t>15.8</w:t>
            </w:r>
          </w:p>
        </w:tc>
        <w:tc>
          <w:tcPr>
            <w:tcW w:w="1117" w:type="pct"/>
            <w:tcBorders>
              <w:top w:val="single" w:sz="4" w:space="0" w:color="auto"/>
            </w:tcBorders>
            <w:noWrap/>
            <w:hideMark/>
          </w:tcPr>
          <w:p w14:paraId="1EBFE27F" w14:textId="77777777" w:rsidR="0058789F" w:rsidRPr="0013070F" w:rsidRDefault="0058789F" w:rsidP="00AD1066">
            <w:pPr>
              <w:pStyle w:val="TableBodyTextrightalign"/>
            </w:pPr>
            <w:r>
              <w:t>14.2</w:t>
            </w:r>
          </w:p>
        </w:tc>
      </w:tr>
    </w:tbl>
    <w:p w14:paraId="1A4B5E8D" w14:textId="5F5E03C3" w:rsidR="0058789F" w:rsidRPr="00E40F27" w:rsidRDefault="00465B9C" w:rsidP="0058789F">
      <w:pPr>
        <w:pStyle w:val="TableNote"/>
      </w:pPr>
      <w:r>
        <w:t>Notes</w:t>
      </w:r>
    </w:p>
    <w:p w14:paraId="58770B2E" w14:textId="77777777" w:rsidR="0058789F" w:rsidRDefault="0058789F" w:rsidP="0058789F">
      <w:pPr>
        <w:pStyle w:val="TableNote"/>
      </w:pPr>
      <w:r w:rsidRPr="00E40F27">
        <w:rPr>
          <w:rStyle w:val="Charactersuperscript"/>
        </w:rPr>
        <w:t>(a)</w:t>
      </w:r>
      <w:r w:rsidRPr="00E40F27">
        <w:t xml:space="preserve"> AEE is based on paid working hours of 38 ordinary hours per week over 52 weeks for a reporting period.</w:t>
      </w:r>
    </w:p>
    <w:p w14:paraId="69F4DA3F" w14:textId="77777777" w:rsidR="0058789F" w:rsidRPr="009E2935" w:rsidRDefault="0058789F" w:rsidP="00CE2908">
      <w:pPr>
        <w:pStyle w:val="NotesHeading2"/>
      </w:pPr>
      <w:bookmarkStart w:id="205" w:name="_Ref149136340"/>
      <w:bookmarkStart w:id="206" w:name="_Hlk111021394"/>
      <w:r w:rsidRPr="009E2935">
        <w:t xml:space="preserve">Responsible </w:t>
      </w:r>
      <w:r w:rsidRPr="00CE2908">
        <w:t>persons</w:t>
      </w:r>
      <w:bookmarkEnd w:id="205"/>
    </w:p>
    <w:p w14:paraId="71658A5C" w14:textId="3CFF4F47" w:rsidR="0058789F" w:rsidRPr="009E2935" w:rsidRDefault="0058789F" w:rsidP="0058789F">
      <w:pPr>
        <w:pStyle w:val="BodyText"/>
      </w:pPr>
      <w:r w:rsidRPr="009E2935">
        <w:t xml:space="preserve">In accordance with the Ministerial Directions issued by the </w:t>
      </w:r>
      <w:r w:rsidRPr="003C761F">
        <w:t>Assistant Treasurer</w:t>
      </w:r>
      <w:r>
        <w:t xml:space="preserve"> </w:t>
      </w:r>
      <w:r w:rsidRPr="009E2935">
        <w:t xml:space="preserve">under the </w:t>
      </w:r>
      <w:r>
        <w:t>FM</w:t>
      </w:r>
      <w:r w:rsidR="00F82E06">
        <w:t xml:space="preserve"> </w:t>
      </w:r>
      <w:r>
        <w:t>A</w:t>
      </w:r>
      <w:r w:rsidR="00F82E06">
        <w:t>ct</w:t>
      </w:r>
      <w:r w:rsidRPr="009E2935">
        <w:t>, the following disclosures are made regarding responsible persons for the reporting period.</w:t>
      </w:r>
    </w:p>
    <w:p w14:paraId="5F79E5B4" w14:textId="77777777" w:rsidR="0058789F" w:rsidRPr="009E2935" w:rsidRDefault="0058789F" w:rsidP="0058789F">
      <w:pPr>
        <w:pStyle w:val="Heading5"/>
      </w:pPr>
      <w:r w:rsidRPr="009E2935">
        <w:t>Names</w:t>
      </w:r>
    </w:p>
    <w:p w14:paraId="626E1503" w14:textId="77777777" w:rsidR="0058789F" w:rsidRDefault="0058789F" w:rsidP="0058789F">
      <w:pPr>
        <w:pStyle w:val="BodyText"/>
      </w:pPr>
      <w:r w:rsidRPr="007C40AF">
        <w:t xml:space="preserve">The persons who held the positions of Minister, </w:t>
      </w:r>
      <w:r>
        <w:t>r</w:t>
      </w:r>
      <w:r w:rsidRPr="007C40AF">
        <w:t xml:space="preserve">esponsible </w:t>
      </w:r>
      <w:r>
        <w:t>p</w:t>
      </w:r>
      <w:r w:rsidRPr="007C40AF">
        <w:t xml:space="preserve">erson and </w:t>
      </w:r>
      <w:r>
        <w:t>a</w:t>
      </w:r>
      <w:r w:rsidRPr="007C40AF">
        <w:t xml:space="preserve">ccountable </w:t>
      </w:r>
      <w:r>
        <w:t>o</w:t>
      </w:r>
      <w:r w:rsidRPr="007C40AF">
        <w:t>fficer in IBAC are as follows:</w:t>
      </w:r>
    </w:p>
    <w:tbl>
      <w:tblPr>
        <w:tblStyle w:val="CustomTableplaceholder"/>
        <w:tblW w:w="9209" w:type="dxa"/>
        <w:tblLook w:val="04A0" w:firstRow="1" w:lastRow="0" w:firstColumn="1" w:lastColumn="0" w:noHBand="0" w:noVBand="1"/>
      </w:tblPr>
      <w:tblGrid>
        <w:gridCol w:w="2122"/>
        <w:gridCol w:w="2698"/>
        <w:gridCol w:w="1843"/>
        <w:gridCol w:w="845"/>
        <w:gridCol w:w="1701"/>
      </w:tblGrid>
      <w:tr w:rsidR="0058789F" w:rsidRPr="00352B44" w14:paraId="65E6E8CA" w14:textId="77777777" w:rsidTr="005D4C05">
        <w:trPr>
          <w:trHeight w:val="347"/>
        </w:trPr>
        <w:tc>
          <w:tcPr>
            <w:tcW w:w="2122" w:type="dxa"/>
          </w:tcPr>
          <w:bookmarkEnd w:id="206"/>
          <w:p w14:paraId="1F05D580" w14:textId="77777777" w:rsidR="0058789F" w:rsidRPr="00352B44" w:rsidRDefault="0058789F" w:rsidP="00AD1066">
            <w:pPr>
              <w:pStyle w:val="BodyText"/>
            </w:pPr>
            <w:r w:rsidRPr="00352B44">
              <w:t>Attorney-General</w:t>
            </w:r>
          </w:p>
        </w:tc>
        <w:tc>
          <w:tcPr>
            <w:tcW w:w="2698" w:type="dxa"/>
          </w:tcPr>
          <w:p w14:paraId="3DDC4F90" w14:textId="526D77BB" w:rsidR="0058789F" w:rsidRPr="00352B44" w:rsidRDefault="0058789F" w:rsidP="00AD1066">
            <w:pPr>
              <w:pStyle w:val="BodyText"/>
            </w:pPr>
            <w:r w:rsidRPr="00352B44">
              <w:t>The Hon</w:t>
            </w:r>
            <w:r w:rsidR="005D4C05">
              <w:t>ourable</w:t>
            </w:r>
            <w:r w:rsidRPr="00352B44">
              <w:t xml:space="preserve"> Jaclyn Symes, MP</w:t>
            </w:r>
          </w:p>
        </w:tc>
        <w:tc>
          <w:tcPr>
            <w:tcW w:w="1843" w:type="dxa"/>
          </w:tcPr>
          <w:p w14:paraId="47E52CC4" w14:textId="77777777" w:rsidR="0058789F" w:rsidRPr="00352B44" w:rsidRDefault="0058789F" w:rsidP="005D4C05">
            <w:pPr>
              <w:pStyle w:val="BodyText"/>
              <w:jc w:val="right"/>
            </w:pPr>
            <w:r w:rsidRPr="00352B44">
              <w:t>1 July 2022</w:t>
            </w:r>
          </w:p>
        </w:tc>
        <w:tc>
          <w:tcPr>
            <w:tcW w:w="845" w:type="dxa"/>
          </w:tcPr>
          <w:p w14:paraId="3DF332CB" w14:textId="77777777" w:rsidR="0058789F" w:rsidRPr="00352B44" w:rsidRDefault="0058789F" w:rsidP="00AD1066">
            <w:pPr>
              <w:pStyle w:val="BodyText"/>
              <w:jc w:val="center"/>
            </w:pPr>
            <w:r w:rsidRPr="00352B44">
              <w:t>to</w:t>
            </w:r>
          </w:p>
        </w:tc>
        <w:tc>
          <w:tcPr>
            <w:tcW w:w="1701" w:type="dxa"/>
          </w:tcPr>
          <w:p w14:paraId="35F07C8C" w14:textId="77777777" w:rsidR="0058789F" w:rsidRPr="00352B44" w:rsidRDefault="0058789F" w:rsidP="00AD1066">
            <w:pPr>
              <w:pStyle w:val="BodyText"/>
            </w:pPr>
            <w:r w:rsidRPr="00352B44">
              <w:t>30 June 2023</w:t>
            </w:r>
          </w:p>
        </w:tc>
      </w:tr>
      <w:tr w:rsidR="0058789F" w:rsidRPr="00352B44" w14:paraId="03B07A69" w14:textId="77777777" w:rsidTr="005D4C05">
        <w:trPr>
          <w:trHeight w:val="333"/>
        </w:trPr>
        <w:tc>
          <w:tcPr>
            <w:tcW w:w="2122" w:type="dxa"/>
          </w:tcPr>
          <w:p w14:paraId="667D76BB" w14:textId="77777777" w:rsidR="0058789F" w:rsidRPr="00352B44" w:rsidRDefault="0058789F" w:rsidP="00AD1066">
            <w:pPr>
              <w:pStyle w:val="TableBodyTextsmall"/>
            </w:pPr>
          </w:p>
        </w:tc>
        <w:tc>
          <w:tcPr>
            <w:tcW w:w="2698" w:type="dxa"/>
          </w:tcPr>
          <w:p w14:paraId="7640CC9B" w14:textId="77777777" w:rsidR="0058789F" w:rsidRPr="00352B44" w:rsidRDefault="0058789F" w:rsidP="00AD1066">
            <w:pPr>
              <w:pStyle w:val="TableBodyTextsmall"/>
            </w:pPr>
          </w:p>
        </w:tc>
        <w:tc>
          <w:tcPr>
            <w:tcW w:w="1843" w:type="dxa"/>
          </w:tcPr>
          <w:p w14:paraId="2EF64CFF" w14:textId="77777777" w:rsidR="0058789F" w:rsidRPr="00352B44" w:rsidRDefault="0058789F" w:rsidP="005D4C05">
            <w:pPr>
              <w:pStyle w:val="TableBodyTextsmall"/>
              <w:jc w:val="right"/>
            </w:pPr>
          </w:p>
        </w:tc>
        <w:tc>
          <w:tcPr>
            <w:tcW w:w="845" w:type="dxa"/>
          </w:tcPr>
          <w:p w14:paraId="39F4A1B0" w14:textId="77777777" w:rsidR="0058789F" w:rsidRPr="00352B44" w:rsidRDefault="0058789F" w:rsidP="00AD1066">
            <w:pPr>
              <w:pStyle w:val="TableBodyTextsmall"/>
            </w:pPr>
          </w:p>
        </w:tc>
        <w:tc>
          <w:tcPr>
            <w:tcW w:w="1701" w:type="dxa"/>
          </w:tcPr>
          <w:p w14:paraId="78EBA89D" w14:textId="77777777" w:rsidR="0058789F" w:rsidRPr="00352B44" w:rsidRDefault="0058789F" w:rsidP="00AD1066">
            <w:pPr>
              <w:pStyle w:val="TableBodyTextsmall"/>
            </w:pPr>
          </w:p>
        </w:tc>
      </w:tr>
      <w:tr w:rsidR="0058789F" w:rsidRPr="00352B44" w14:paraId="23012D2C" w14:textId="77777777" w:rsidTr="005D4C05">
        <w:trPr>
          <w:trHeight w:val="570"/>
        </w:trPr>
        <w:tc>
          <w:tcPr>
            <w:tcW w:w="2122" w:type="dxa"/>
            <w:vMerge w:val="restart"/>
          </w:tcPr>
          <w:p w14:paraId="2454CCDD" w14:textId="77777777" w:rsidR="0058789F" w:rsidRPr="00352B44" w:rsidRDefault="0058789F" w:rsidP="00AD1066">
            <w:pPr>
              <w:pStyle w:val="BodyText"/>
            </w:pPr>
            <w:r w:rsidRPr="00352B44">
              <w:t>Acting Attorney-General</w:t>
            </w:r>
          </w:p>
        </w:tc>
        <w:tc>
          <w:tcPr>
            <w:tcW w:w="2698" w:type="dxa"/>
          </w:tcPr>
          <w:p w14:paraId="6443EF08" w14:textId="77777777" w:rsidR="0058789F" w:rsidRPr="00352B44" w:rsidRDefault="0058789F" w:rsidP="00AD1066">
            <w:pPr>
              <w:pStyle w:val="BodyText"/>
            </w:pPr>
            <w:r w:rsidRPr="00352B44">
              <w:t>The Honourable Anthony Carbines, MP</w:t>
            </w:r>
          </w:p>
        </w:tc>
        <w:tc>
          <w:tcPr>
            <w:tcW w:w="1843" w:type="dxa"/>
          </w:tcPr>
          <w:p w14:paraId="1D360151" w14:textId="77777777" w:rsidR="0058789F" w:rsidRPr="00352B44" w:rsidRDefault="0058789F" w:rsidP="005D4C05">
            <w:pPr>
              <w:pStyle w:val="BodyText"/>
              <w:jc w:val="right"/>
            </w:pPr>
            <w:r w:rsidRPr="00352B44">
              <w:t>23 September 2022</w:t>
            </w:r>
          </w:p>
        </w:tc>
        <w:tc>
          <w:tcPr>
            <w:tcW w:w="845" w:type="dxa"/>
          </w:tcPr>
          <w:p w14:paraId="3BDD3A1F" w14:textId="77777777" w:rsidR="0058789F" w:rsidRPr="00352B44" w:rsidRDefault="0058789F" w:rsidP="00AD1066">
            <w:pPr>
              <w:pStyle w:val="BodyText"/>
              <w:jc w:val="center"/>
            </w:pPr>
            <w:r w:rsidRPr="00352B44">
              <w:t>to</w:t>
            </w:r>
          </w:p>
        </w:tc>
        <w:tc>
          <w:tcPr>
            <w:tcW w:w="1701" w:type="dxa"/>
          </w:tcPr>
          <w:p w14:paraId="310B8BDB" w14:textId="77777777" w:rsidR="0058789F" w:rsidRPr="00352B44" w:rsidRDefault="0058789F" w:rsidP="00AD1066">
            <w:pPr>
              <w:pStyle w:val="BodyText"/>
            </w:pPr>
            <w:r w:rsidRPr="00352B44">
              <w:t>2 October 2022</w:t>
            </w:r>
          </w:p>
        </w:tc>
      </w:tr>
      <w:tr w:rsidR="0058789F" w:rsidRPr="00352B44" w14:paraId="28F97254" w14:textId="77777777" w:rsidTr="005D4C05">
        <w:trPr>
          <w:trHeight w:val="570"/>
        </w:trPr>
        <w:tc>
          <w:tcPr>
            <w:tcW w:w="2122" w:type="dxa"/>
            <w:vMerge/>
          </w:tcPr>
          <w:p w14:paraId="7F2EB7F0" w14:textId="77777777" w:rsidR="0058789F" w:rsidRPr="00352B44" w:rsidRDefault="0058789F" w:rsidP="00AD1066">
            <w:pPr>
              <w:pStyle w:val="BodyText"/>
            </w:pPr>
          </w:p>
        </w:tc>
        <w:tc>
          <w:tcPr>
            <w:tcW w:w="2698" w:type="dxa"/>
          </w:tcPr>
          <w:p w14:paraId="3E5372EA" w14:textId="77777777" w:rsidR="0058789F" w:rsidRPr="00352B44" w:rsidRDefault="0058789F" w:rsidP="00AD1066">
            <w:pPr>
              <w:pStyle w:val="BodyText"/>
            </w:pPr>
            <w:r w:rsidRPr="00352B44">
              <w:t>The Honourable Anthony Carbines, MP</w:t>
            </w:r>
          </w:p>
        </w:tc>
        <w:tc>
          <w:tcPr>
            <w:tcW w:w="1843" w:type="dxa"/>
          </w:tcPr>
          <w:p w14:paraId="226C573F" w14:textId="77777777" w:rsidR="0058789F" w:rsidRPr="00352B44" w:rsidRDefault="0058789F" w:rsidP="005D4C05">
            <w:pPr>
              <w:pStyle w:val="BodyText"/>
              <w:jc w:val="right"/>
            </w:pPr>
            <w:r w:rsidRPr="00352B44">
              <w:t>28 December 2022</w:t>
            </w:r>
          </w:p>
        </w:tc>
        <w:tc>
          <w:tcPr>
            <w:tcW w:w="845" w:type="dxa"/>
          </w:tcPr>
          <w:p w14:paraId="315BD65E" w14:textId="77777777" w:rsidR="0058789F" w:rsidRPr="00352B44" w:rsidRDefault="0058789F" w:rsidP="00AD1066">
            <w:pPr>
              <w:pStyle w:val="BodyText"/>
              <w:jc w:val="center"/>
            </w:pPr>
            <w:r w:rsidRPr="00352B44">
              <w:t>to</w:t>
            </w:r>
          </w:p>
        </w:tc>
        <w:tc>
          <w:tcPr>
            <w:tcW w:w="1701" w:type="dxa"/>
          </w:tcPr>
          <w:p w14:paraId="2B3B9CC1" w14:textId="77777777" w:rsidR="0058789F" w:rsidRPr="00352B44" w:rsidRDefault="0058789F" w:rsidP="00AD1066">
            <w:pPr>
              <w:pStyle w:val="BodyText"/>
            </w:pPr>
            <w:r w:rsidRPr="00352B44">
              <w:t>14 January 2023</w:t>
            </w:r>
          </w:p>
        </w:tc>
      </w:tr>
      <w:tr w:rsidR="0058789F" w:rsidRPr="00352B44" w14:paraId="63F129D8" w14:textId="77777777" w:rsidTr="005D4C05">
        <w:trPr>
          <w:trHeight w:val="347"/>
        </w:trPr>
        <w:tc>
          <w:tcPr>
            <w:tcW w:w="2122" w:type="dxa"/>
            <w:vMerge/>
          </w:tcPr>
          <w:p w14:paraId="04A3CEAB" w14:textId="77777777" w:rsidR="0058789F" w:rsidRPr="00352B44" w:rsidRDefault="0058789F" w:rsidP="00AD1066">
            <w:pPr>
              <w:pStyle w:val="BodyText"/>
            </w:pPr>
          </w:p>
        </w:tc>
        <w:tc>
          <w:tcPr>
            <w:tcW w:w="2698" w:type="dxa"/>
          </w:tcPr>
          <w:p w14:paraId="1B3C3AE8" w14:textId="77777777" w:rsidR="0058789F" w:rsidRPr="00352B44" w:rsidRDefault="0058789F" w:rsidP="00AD1066">
            <w:pPr>
              <w:pStyle w:val="BodyText"/>
            </w:pPr>
            <w:r w:rsidRPr="00352B44">
              <w:t>The Honourable Anthony Carbines, MP</w:t>
            </w:r>
          </w:p>
        </w:tc>
        <w:tc>
          <w:tcPr>
            <w:tcW w:w="1843" w:type="dxa"/>
          </w:tcPr>
          <w:p w14:paraId="70ACA660" w14:textId="77777777" w:rsidR="0058789F" w:rsidRPr="00352B44" w:rsidRDefault="0058789F" w:rsidP="005D4C05">
            <w:pPr>
              <w:pStyle w:val="BodyText"/>
              <w:jc w:val="right"/>
            </w:pPr>
            <w:r w:rsidRPr="00352B44">
              <w:t>29 April 2023</w:t>
            </w:r>
          </w:p>
        </w:tc>
        <w:tc>
          <w:tcPr>
            <w:tcW w:w="845" w:type="dxa"/>
          </w:tcPr>
          <w:p w14:paraId="2A77B7BF" w14:textId="77777777" w:rsidR="0058789F" w:rsidRPr="00352B44" w:rsidRDefault="0058789F" w:rsidP="00AD1066">
            <w:pPr>
              <w:pStyle w:val="BodyText"/>
              <w:jc w:val="center"/>
            </w:pPr>
            <w:r w:rsidRPr="00352B44">
              <w:t>to</w:t>
            </w:r>
          </w:p>
        </w:tc>
        <w:tc>
          <w:tcPr>
            <w:tcW w:w="1701" w:type="dxa"/>
          </w:tcPr>
          <w:p w14:paraId="4DD0F26D" w14:textId="77777777" w:rsidR="0058789F" w:rsidRPr="00352B44" w:rsidRDefault="0058789F" w:rsidP="00AD1066">
            <w:pPr>
              <w:pStyle w:val="BodyText"/>
            </w:pPr>
            <w:r w:rsidRPr="00352B44">
              <w:t>30 April 2023</w:t>
            </w:r>
          </w:p>
        </w:tc>
      </w:tr>
      <w:tr w:rsidR="0058789F" w:rsidRPr="00352B44" w14:paraId="14F9E603" w14:textId="77777777" w:rsidTr="005D4C05">
        <w:trPr>
          <w:trHeight w:val="347"/>
        </w:trPr>
        <w:tc>
          <w:tcPr>
            <w:tcW w:w="2122" w:type="dxa"/>
            <w:vMerge/>
          </w:tcPr>
          <w:p w14:paraId="35DF330A" w14:textId="77777777" w:rsidR="0058789F" w:rsidRPr="00352B44" w:rsidRDefault="0058789F" w:rsidP="00AD1066">
            <w:pPr>
              <w:pStyle w:val="BodyText"/>
            </w:pPr>
          </w:p>
        </w:tc>
        <w:tc>
          <w:tcPr>
            <w:tcW w:w="2698" w:type="dxa"/>
          </w:tcPr>
          <w:p w14:paraId="4EB5CBDE" w14:textId="77777777" w:rsidR="0058789F" w:rsidRPr="00352B44" w:rsidRDefault="0058789F" w:rsidP="00AD1066">
            <w:pPr>
              <w:pStyle w:val="BodyText"/>
            </w:pPr>
            <w:r w:rsidRPr="00352B44">
              <w:t>The Honourable Anthony Carbines, MP</w:t>
            </w:r>
          </w:p>
        </w:tc>
        <w:tc>
          <w:tcPr>
            <w:tcW w:w="1843" w:type="dxa"/>
          </w:tcPr>
          <w:p w14:paraId="2F5AD732" w14:textId="77777777" w:rsidR="0058789F" w:rsidRPr="00352B44" w:rsidRDefault="0058789F" w:rsidP="005D4C05">
            <w:pPr>
              <w:pStyle w:val="BodyText"/>
              <w:jc w:val="right"/>
            </w:pPr>
            <w:r w:rsidRPr="00352B44">
              <w:t>30 June 2023</w:t>
            </w:r>
          </w:p>
        </w:tc>
        <w:tc>
          <w:tcPr>
            <w:tcW w:w="845" w:type="dxa"/>
          </w:tcPr>
          <w:p w14:paraId="4AFE60F2" w14:textId="77777777" w:rsidR="0058789F" w:rsidRPr="00352B44" w:rsidRDefault="0058789F" w:rsidP="00AD1066">
            <w:pPr>
              <w:pStyle w:val="BodyText"/>
              <w:jc w:val="center"/>
            </w:pPr>
            <w:r w:rsidRPr="00352B44">
              <w:t>to</w:t>
            </w:r>
          </w:p>
        </w:tc>
        <w:tc>
          <w:tcPr>
            <w:tcW w:w="1701" w:type="dxa"/>
          </w:tcPr>
          <w:p w14:paraId="1BD9FE35" w14:textId="77777777" w:rsidR="0058789F" w:rsidRPr="00352B44" w:rsidRDefault="0058789F" w:rsidP="00AD1066">
            <w:pPr>
              <w:pStyle w:val="BodyText"/>
            </w:pPr>
            <w:r w:rsidRPr="00352B44">
              <w:t>30 June 2023</w:t>
            </w:r>
          </w:p>
        </w:tc>
      </w:tr>
      <w:tr w:rsidR="0058789F" w:rsidRPr="00352B44" w14:paraId="6247E489" w14:textId="77777777" w:rsidTr="005D4C05">
        <w:trPr>
          <w:trHeight w:val="347"/>
        </w:trPr>
        <w:tc>
          <w:tcPr>
            <w:tcW w:w="2122" w:type="dxa"/>
          </w:tcPr>
          <w:p w14:paraId="51F9C1C1" w14:textId="77777777" w:rsidR="0058789F" w:rsidRPr="00352B44" w:rsidRDefault="0058789F" w:rsidP="00AD1066">
            <w:pPr>
              <w:pStyle w:val="TableBodyTextsmall"/>
            </w:pPr>
          </w:p>
        </w:tc>
        <w:tc>
          <w:tcPr>
            <w:tcW w:w="2698" w:type="dxa"/>
          </w:tcPr>
          <w:p w14:paraId="758AD995" w14:textId="77777777" w:rsidR="0058789F" w:rsidRPr="00352B44" w:rsidRDefault="0058789F" w:rsidP="00AD1066">
            <w:pPr>
              <w:pStyle w:val="TableBodyTextsmall"/>
            </w:pPr>
          </w:p>
        </w:tc>
        <w:tc>
          <w:tcPr>
            <w:tcW w:w="1843" w:type="dxa"/>
          </w:tcPr>
          <w:p w14:paraId="6ACA2C7A" w14:textId="77777777" w:rsidR="0058789F" w:rsidRPr="00352B44" w:rsidRDefault="0058789F" w:rsidP="005D4C05">
            <w:pPr>
              <w:pStyle w:val="TableBodyTextsmall"/>
              <w:jc w:val="right"/>
            </w:pPr>
          </w:p>
        </w:tc>
        <w:tc>
          <w:tcPr>
            <w:tcW w:w="845" w:type="dxa"/>
          </w:tcPr>
          <w:p w14:paraId="69192E31" w14:textId="77777777" w:rsidR="0058789F" w:rsidRPr="00352B44" w:rsidRDefault="0058789F" w:rsidP="00AD1066">
            <w:pPr>
              <w:pStyle w:val="TableBodyTextsmall"/>
            </w:pPr>
          </w:p>
        </w:tc>
        <w:tc>
          <w:tcPr>
            <w:tcW w:w="1701" w:type="dxa"/>
          </w:tcPr>
          <w:p w14:paraId="060E00F8" w14:textId="77777777" w:rsidR="0058789F" w:rsidRPr="00352B44" w:rsidRDefault="0058789F" w:rsidP="00AD1066">
            <w:pPr>
              <w:pStyle w:val="TableBodyTextsmall"/>
            </w:pPr>
          </w:p>
        </w:tc>
      </w:tr>
      <w:tr w:rsidR="0058789F" w:rsidRPr="00352B44" w14:paraId="5ADABA46" w14:textId="77777777" w:rsidTr="005D4C05">
        <w:trPr>
          <w:trHeight w:val="333"/>
        </w:trPr>
        <w:tc>
          <w:tcPr>
            <w:tcW w:w="2122" w:type="dxa"/>
          </w:tcPr>
          <w:p w14:paraId="7B174FAE" w14:textId="77777777" w:rsidR="0058789F" w:rsidRPr="00352B44" w:rsidRDefault="0058789F" w:rsidP="00AD1066">
            <w:pPr>
              <w:pStyle w:val="BodyText"/>
            </w:pPr>
            <w:r w:rsidRPr="00352B44">
              <w:t xml:space="preserve">Commissioner </w:t>
            </w:r>
          </w:p>
        </w:tc>
        <w:tc>
          <w:tcPr>
            <w:tcW w:w="2698" w:type="dxa"/>
          </w:tcPr>
          <w:p w14:paraId="4858C657" w14:textId="77777777" w:rsidR="0058789F" w:rsidRPr="00352B44" w:rsidRDefault="0058789F" w:rsidP="00AD1066">
            <w:pPr>
              <w:pStyle w:val="BodyText"/>
            </w:pPr>
            <w:r w:rsidRPr="00352B44">
              <w:t>The Honourable Robert Redlich AM, KC</w:t>
            </w:r>
          </w:p>
        </w:tc>
        <w:tc>
          <w:tcPr>
            <w:tcW w:w="1843" w:type="dxa"/>
          </w:tcPr>
          <w:p w14:paraId="10BDC276" w14:textId="77777777" w:rsidR="0058789F" w:rsidRPr="00352B44" w:rsidRDefault="0058789F" w:rsidP="005D4C05">
            <w:pPr>
              <w:pStyle w:val="BodyText"/>
              <w:jc w:val="right"/>
            </w:pPr>
            <w:r w:rsidRPr="00352B44">
              <w:t>1 July 2022</w:t>
            </w:r>
          </w:p>
        </w:tc>
        <w:tc>
          <w:tcPr>
            <w:tcW w:w="845" w:type="dxa"/>
          </w:tcPr>
          <w:p w14:paraId="5AD9EDF3" w14:textId="77777777" w:rsidR="0058789F" w:rsidRPr="00352B44" w:rsidRDefault="0058789F" w:rsidP="00AD1066">
            <w:pPr>
              <w:pStyle w:val="BodyText"/>
              <w:jc w:val="center"/>
            </w:pPr>
            <w:r w:rsidRPr="00352B44">
              <w:t>to</w:t>
            </w:r>
          </w:p>
        </w:tc>
        <w:tc>
          <w:tcPr>
            <w:tcW w:w="1701" w:type="dxa"/>
          </w:tcPr>
          <w:p w14:paraId="758A6F3F" w14:textId="77777777" w:rsidR="0058789F" w:rsidRPr="00352B44" w:rsidRDefault="0058789F" w:rsidP="00AD1066">
            <w:pPr>
              <w:pStyle w:val="BodyText"/>
            </w:pPr>
            <w:r w:rsidRPr="00352B44">
              <w:t>16 December 2022</w:t>
            </w:r>
          </w:p>
        </w:tc>
      </w:tr>
      <w:tr w:rsidR="0058789F" w:rsidRPr="00352B44" w14:paraId="0490C669" w14:textId="77777777" w:rsidTr="005D4C05">
        <w:trPr>
          <w:trHeight w:val="347"/>
        </w:trPr>
        <w:tc>
          <w:tcPr>
            <w:tcW w:w="2122" w:type="dxa"/>
          </w:tcPr>
          <w:p w14:paraId="1428E8F9" w14:textId="77777777" w:rsidR="0058789F" w:rsidRPr="00352B44" w:rsidRDefault="0058789F" w:rsidP="00AD1066">
            <w:pPr>
              <w:pStyle w:val="TableBodyTextsmall"/>
            </w:pPr>
          </w:p>
        </w:tc>
        <w:tc>
          <w:tcPr>
            <w:tcW w:w="2698" w:type="dxa"/>
          </w:tcPr>
          <w:p w14:paraId="007E4E42" w14:textId="77777777" w:rsidR="0058789F" w:rsidRPr="00352B44" w:rsidRDefault="0058789F" w:rsidP="00AD1066">
            <w:pPr>
              <w:pStyle w:val="TableBodyTextsmall"/>
            </w:pPr>
          </w:p>
        </w:tc>
        <w:tc>
          <w:tcPr>
            <w:tcW w:w="1843" w:type="dxa"/>
          </w:tcPr>
          <w:p w14:paraId="088CFD7E" w14:textId="77777777" w:rsidR="0058789F" w:rsidRPr="00352B44" w:rsidRDefault="0058789F" w:rsidP="005D4C05">
            <w:pPr>
              <w:pStyle w:val="TableBodyTextsmall"/>
              <w:jc w:val="right"/>
            </w:pPr>
          </w:p>
        </w:tc>
        <w:tc>
          <w:tcPr>
            <w:tcW w:w="845" w:type="dxa"/>
          </w:tcPr>
          <w:p w14:paraId="23E57124" w14:textId="77777777" w:rsidR="0058789F" w:rsidRPr="00352B44" w:rsidRDefault="0058789F" w:rsidP="00AD1066">
            <w:pPr>
              <w:pStyle w:val="TableBodyTextsmall"/>
            </w:pPr>
          </w:p>
        </w:tc>
        <w:tc>
          <w:tcPr>
            <w:tcW w:w="1701" w:type="dxa"/>
          </w:tcPr>
          <w:p w14:paraId="3432310E" w14:textId="77777777" w:rsidR="0058789F" w:rsidRPr="00352B44" w:rsidRDefault="0058789F" w:rsidP="00AD1066">
            <w:pPr>
              <w:pStyle w:val="TableBodyTextsmall"/>
            </w:pPr>
          </w:p>
        </w:tc>
      </w:tr>
      <w:tr w:rsidR="0058789F" w:rsidRPr="00352B44" w14:paraId="20E41BA7" w14:textId="77777777" w:rsidTr="005D4C05">
        <w:trPr>
          <w:trHeight w:val="570"/>
        </w:trPr>
        <w:tc>
          <w:tcPr>
            <w:tcW w:w="2122" w:type="dxa"/>
          </w:tcPr>
          <w:p w14:paraId="41185D95" w14:textId="77777777" w:rsidR="0058789F" w:rsidRPr="00352B44" w:rsidRDefault="0058789F" w:rsidP="00AD1066">
            <w:pPr>
              <w:pStyle w:val="BodyText"/>
            </w:pPr>
            <w:r w:rsidRPr="00352B44">
              <w:t xml:space="preserve">Acting Commissioner </w:t>
            </w:r>
          </w:p>
        </w:tc>
        <w:tc>
          <w:tcPr>
            <w:tcW w:w="2698" w:type="dxa"/>
          </w:tcPr>
          <w:p w14:paraId="5ECAFE7F" w14:textId="77777777" w:rsidR="0058789F" w:rsidRPr="00352B44" w:rsidRDefault="0058789F" w:rsidP="00AD1066">
            <w:pPr>
              <w:pStyle w:val="BodyText"/>
            </w:pPr>
            <w:r w:rsidRPr="00352B44">
              <w:t>Stephen Farrow</w:t>
            </w:r>
          </w:p>
        </w:tc>
        <w:tc>
          <w:tcPr>
            <w:tcW w:w="1843" w:type="dxa"/>
          </w:tcPr>
          <w:p w14:paraId="2C923CBB" w14:textId="77777777" w:rsidR="0058789F" w:rsidRPr="00352B44" w:rsidRDefault="0058789F" w:rsidP="005D4C05">
            <w:pPr>
              <w:pStyle w:val="BodyText"/>
              <w:jc w:val="right"/>
            </w:pPr>
            <w:r w:rsidRPr="00352B44">
              <w:t>17 December 2022</w:t>
            </w:r>
          </w:p>
        </w:tc>
        <w:tc>
          <w:tcPr>
            <w:tcW w:w="845" w:type="dxa"/>
          </w:tcPr>
          <w:p w14:paraId="0130AFAC" w14:textId="77777777" w:rsidR="0058789F" w:rsidRPr="00352B44" w:rsidRDefault="0058789F" w:rsidP="00AD1066">
            <w:pPr>
              <w:pStyle w:val="BodyText"/>
              <w:jc w:val="center"/>
            </w:pPr>
            <w:r w:rsidRPr="00352B44">
              <w:t>to</w:t>
            </w:r>
          </w:p>
        </w:tc>
        <w:tc>
          <w:tcPr>
            <w:tcW w:w="1701" w:type="dxa"/>
          </w:tcPr>
          <w:p w14:paraId="43D015E0" w14:textId="77777777" w:rsidR="0058789F" w:rsidRPr="00352B44" w:rsidRDefault="0058789F" w:rsidP="00AD1066">
            <w:pPr>
              <w:pStyle w:val="BodyText"/>
            </w:pPr>
            <w:r w:rsidRPr="00352B44">
              <w:t>30 June 2023</w:t>
            </w:r>
          </w:p>
        </w:tc>
      </w:tr>
      <w:tr w:rsidR="0058789F" w:rsidRPr="00352B44" w14:paraId="16AEF004" w14:textId="77777777" w:rsidTr="005D4C05">
        <w:trPr>
          <w:trHeight w:val="347"/>
        </w:trPr>
        <w:tc>
          <w:tcPr>
            <w:tcW w:w="2122" w:type="dxa"/>
          </w:tcPr>
          <w:p w14:paraId="6A059C79" w14:textId="77777777" w:rsidR="0058789F" w:rsidRPr="00352B44" w:rsidRDefault="0058789F" w:rsidP="00AD1066">
            <w:pPr>
              <w:pStyle w:val="TableBodyTextsmall"/>
            </w:pPr>
          </w:p>
        </w:tc>
        <w:tc>
          <w:tcPr>
            <w:tcW w:w="2698" w:type="dxa"/>
          </w:tcPr>
          <w:p w14:paraId="7450C0BF" w14:textId="77777777" w:rsidR="0058789F" w:rsidRPr="00352B44" w:rsidRDefault="0058789F" w:rsidP="00AD1066">
            <w:pPr>
              <w:pStyle w:val="TableBodyTextsmall"/>
            </w:pPr>
          </w:p>
        </w:tc>
        <w:tc>
          <w:tcPr>
            <w:tcW w:w="1843" w:type="dxa"/>
          </w:tcPr>
          <w:p w14:paraId="58FF43B7" w14:textId="77777777" w:rsidR="0058789F" w:rsidRPr="00352B44" w:rsidRDefault="0058789F" w:rsidP="005D4C05">
            <w:pPr>
              <w:pStyle w:val="TableBodyTextsmall"/>
              <w:jc w:val="right"/>
            </w:pPr>
          </w:p>
        </w:tc>
        <w:tc>
          <w:tcPr>
            <w:tcW w:w="845" w:type="dxa"/>
          </w:tcPr>
          <w:p w14:paraId="53D5A5B6" w14:textId="77777777" w:rsidR="0058789F" w:rsidRPr="00352B44" w:rsidRDefault="0058789F" w:rsidP="00AD1066">
            <w:pPr>
              <w:pStyle w:val="TableBodyTextsmall"/>
            </w:pPr>
          </w:p>
        </w:tc>
        <w:tc>
          <w:tcPr>
            <w:tcW w:w="1701" w:type="dxa"/>
          </w:tcPr>
          <w:p w14:paraId="464315FA" w14:textId="77777777" w:rsidR="0058789F" w:rsidRPr="00352B44" w:rsidRDefault="0058789F" w:rsidP="00AD1066">
            <w:pPr>
              <w:pStyle w:val="TableBodyTextsmall"/>
            </w:pPr>
          </w:p>
        </w:tc>
      </w:tr>
      <w:tr w:rsidR="0058789F" w:rsidRPr="00352B44" w14:paraId="08D34223" w14:textId="77777777" w:rsidTr="005D4C05">
        <w:trPr>
          <w:trHeight w:val="333"/>
        </w:trPr>
        <w:tc>
          <w:tcPr>
            <w:tcW w:w="2122" w:type="dxa"/>
          </w:tcPr>
          <w:p w14:paraId="503A74E9" w14:textId="77777777" w:rsidR="0058789F" w:rsidRPr="00352B44" w:rsidRDefault="0058789F" w:rsidP="00AD1066">
            <w:pPr>
              <w:pStyle w:val="BodyText"/>
            </w:pPr>
            <w:r w:rsidRPr="00352B44">
              <w:t>Chief Executive Officer</w:t>
            </w:r>
          </w:p>
        </w:tc>
        <w:tc>
          <w:tcPr>
            <w:tcW w:w="2698" w:type="dxa"/>
          </w:tcPr>
          <w:p w14:paraId="6DA3F5F8" w14:textId="77777777" w:rsidR="0058789F" w:rsidRPr="00352B44" w:rsidRDefault="0058789F" w:rsidP="00AD1066">
            <w:pPr>
              <w:pStyle w:val="BodyText"/>
            </w:pPr>
            <w:r w:rsidRPr="00352B44">
              <w:t xml:space="preserve">Marlo Baragwanath </w:t>
            </w:r>
          </w:p>
        </w:tc>
        <w:tc>
          <w:tcPr>
            <w:tcW w:w="1843" w:type="dxa"/>
          </w:tcPr>
          <w:p w14:paraId="46201771" w14:textId="77777777" w:rsidR="0058789F" w:rsidRPr="00352B44" w:rsidRDefault="0058789F" w:rsidP="005D4C05">
            <w:pPr>
              <w:pStyle w:val="BodyText"/>
              <w:jc w:val="right"/>
            </w:pPr>
            <w:r w:rsidRPr="00352B44">
              <w:t>1 July 2022</w:t>
            </w:r>
          </w:p>
        </w:tc>
        <w:tc>
          <w:tcPr>
            <w:tcW w:w="845" w:type="dxa"/>
          </w:tcPr>
          <w:p w14:paraId="583016B4" w14:textId="77777777" w:rsidR="0058789F" w:rsidRPr="00352B44" w:rsidRDefault="0058789F" w:rsidP="00AD1066">
            <w:pPr>
              <w:pStyle w:val="BodyText"/>
              <w:jc w:val="center"/>
            </w:pPr>
            <w:r w:rsidRPr="00352B44">
              <w:t>to</w:t>
            </w:r>
          </w:p>
        </w:tc>
        <w:tc>
          <w:tcPr>
            <w:tcW w:w="1701" w:type="dxa"/>
          </w:tcPr>
          <w:p w14:paraId="47E3CA43" w14:textId="77777777" w:rsidR="0058789F" w:rsidRPr="00352B44" w:rsidRDefault="0058789F" w:rsidP="00AD1066">
            <w:pPr>
              <w:pStyle w:val="BodyText"/>
            </w:pPr>
            <w:r w:rsidRPr="00352B44">
              <w:t>30 June 2023</w:t>
            </w:r>
          </w:p>
        </w:tc>
      </w:tr>
      <w:tr w:rsidR="0058789F" w:rsidRPr="00352B44" w14:paraId="58FFBA65" w14:textId="77777777" w:rsidTr="005D4C05">
        <w:trPr>
          <w:trHeight w:val="347"/>
        </w:trPr>
        <w:tc>
          <w:tcPr>
            <w:tcW w:w="2122" w:type="dxa"/>
          </w:tcPr>
          <w:p w14:paraId="2B9CEB5E" w14:textId="77777777" w:rsidR="0058789F" w:rsidRPr="00352B44" w:rsidRDefault="0058789F" w:rsidP="00AD1066">
            <w:pPr>
              <w:pStyle w:val="TableBodyTextsmall"/>
            </w:pPr>
          </w:p>
        </w:tc>
        <w:tc>
          <w:tcPr>
            <w:tcW w:w="2698" w:type="dxa"/>
          </w:tcPr>
          <w:p w14:paraId="3DFE46E5" w14:textId="77777777" w:rsidR="0058789F" w:rsidRPr="00352B44" w:rsidRDefault="0058789F" w:rsidP="00AD1066">
            <w:pPr>
              <w:pStyle w:val="TableBodyTextsmall"/>
            </w:pPr>
          </w:p>
        </w:tc>
        <w:tc>
          <w:tcPr>
            <w:tcW w:w="1843" w:type="dxa"/>
          </w:tcPr>
          <w:p w14:paraId="5EF29F8C" w14:textId="77777777" w:rsidR="0058789F" w:rsidRPr="00352B44" w:rsidRDefault="0058789F" w:rsidP="005D4C05">
            <w:pPr>
              <w:pStyle w:val="TableBodyTextsmall"/>
              <w:jc w:val="right"/>
            </w:pPr>
          </w:p>
        </w:tc>
        <w:tc>
          <w:tcPr>
            <w:tcW w:w="845" w:type="dxa"/>
          </w:tcPr>
          <w:p w14:paraId="1CDFAE54" w14:textId="77777777" w:rsidR="0058789F" w:rsidRPr="00352B44" w:rsidRDefault="0058789F" w:rsidP="00AD1066">
            <w:pPr>
              <w:pStyle w:val="TableBodyTextsmall"/>
            </w:pPr>
          </w:p>
        </w:tc>
        <w:tc>
          <w:tcPr>
            <w:tcW w:w="1701" w:type="dxa"/>
          </w:tcPr>
          <w:p w14:paraId="4C2F98A4" w14:textId="77777777" w:rsidR="0058789F" w:rsidRPr="00352B44" w:rsidRDefault="0058789F" w:rsidP="00AD1066">
            <w:pPr>
              <w:pStyle w:val="TableBodyTextsmall"/>
            </w:pPr>
          </w:p>
        </w:tc>
      </w:tr>
      <w:tr w:rsidR="0058789F" w:rsidRPr="00352B44" w14:paraId="667A4AF1" w14:textId="77777777" w:rsidTr="005D4C05">
        <w:trPr>
          <w:trHeight w:val="570"/>
        </w:trPr>
        <w:tc>
          <w:tcPr>
            <w:tcW w:w="2122" w:type="dxa"/>
            <w:vMerge w:val="restart"/>
          </w:tcPr>
          <w:p w14:paraId="659EA754" w14:textId="77777777" w:rsidR="0058789F" w:rsidRPr="00352B44" w:rsidRDefault="0058789F" w:rsidP="00AD1066">
            <w:pPr>
              <w:pStyle w:val="BodyText"/>
            </w:pPr>
            <w:r w:rsidRPr="00352B44">
              <w:t>Acting Chief Executive Officer</w:t>
            </w:r>
          </w:p>
        </w:tc>
        <w:tc>
          <w:tcPr>
            <w:tcW w:w="2698" w:type="dxa"/>
          </w:tcPr>
          <w:p w14:paraId="12863E46" w14:textId="77777777" w:rsidR="0058789F" w:rsidRPr="00352B44" w:rsidRDefault="0058789F" w:rsidP="00AD1066">
            <w:pPr>
              <w:pStyle w:val="BodyText"/>
            </w:pPr>
            <w:r w:rsidRPr="00352B44">
              <w:t>Glenn Ockerby</w:t>
            </w:r>
          </w:p>
        </w:tc>
        <w:tc>
          <w:tcPr>
            <w:tcW w:w="1843" w:type="dxa"/>
          </w:tcPr>
          <w:p w14:paraId="430FC777" w14:textId="77777777" w:rsidR="0058789F" w:rsidRPr="00352B44" w:rsidRDefault="0058789F" w:rsidP="005D4C05">
            <w:pPr>
              <w:pStyle w:val="BodyText"/>
              <w:jc w:val="right"/>
            </w:pPr>
            <w:r w:rsidRPr="00352B44">
              <w:t>18 July 2022</w:t>
            </w:r>
          </w:p>
        </w:tc>
        <w:tc>
          <w:tcPr>
            <w:tcW w:w="845" w:type="dxa"/>
          </w:tcPr>
          <w:p w14:paraId="4F63F75F" w14:textId="77777777" w:rsidR="0058789F" w:rsidRPr="00352B44" w:rsidRDefault="0058789F" w:rsidP="00AD1066">
            <w:pPr>
              <w:pStyle w:val="BodyText"/>
              <w:jc w:val="center"/>
            </w:pPr>
            <w:r w:rsidRPr="00352B44">
              <w:t>to</w:t>
            </w:r>
          </w:p>
        </w:tc>
        <w:tc>
          <w:tcPr>
            <w:tcW w:w="1701" w:type="dxa"/>
          </w:tcPr>
          <w:p w14:paraId="4915DADE" w14:textId="77777777" w:rsidR="0058789F" w:rsidRPr="00352B44" w:rsidRDefault="0058789F" w:rsidP="00AD1066">
            <w:pPr>
              <w:pStyle w:val="BodyText"/>
            </w:pPr>
            <w:r w:rsidRPr="00352B44">
              <w:t>22 July 2022</w:t>
            </w:r>
          </w:p>
        </w:tc>
      </w:tr>
      <w:tr w:rsidR="0058789F" w:rsidRPr="00352B44" w14:paraId="6B683939" w14:textId="77777777" w:rsidTr="005D4C05">
        <w:trPr>
          <w:trHeight w:val="347"/>
        </w:trPr>
        <w:tc>
          <w:tcPr>
            <w:tcW w:w="2122" w:type="dxa"/>
            <w:vMerge/>
          </w:tcPr>
          <w:p w14:paraId="7C99E6A6" w14:textId="77777777" w:rsidR="0058789F" w:rsidRPr="00352B44" w:rsidRDefault="0058789F" w:rsidP="00AD1066">
            <w:pPr>
              <w:pStyle w:val="BodyText"/>
            </w:pPr>
          </w:p>
        </w:tc>
        <w:tc>
          <w:tcPr>
            <w:tcW w:w="2698" w:type="dxa"/>
          </w:tcPr>
          <w:p w14:paraId="37326C1C" w14:textId="77777777" w:rsidR="0058789F" w:rsidRPr="00352B44" w:rsidRDefault="0058789F" w:rsidP="00AD1066">
            <w:pPr>
              <w:pStyle w:val="BodyText"/>
            </w:pPr>
            <w:r w:rsidRPr="00352B44">
              <w:t>Glenn Ockerby</w:t>
            </w:r>
          </w:p>
        </w:tc>
        <w:tc>
          <w:tcPr>
            <w:tcW w:w="1843" w:type="dxa"/>
          </w:tcPr>
          <w:p w14:paraId="246A471D" w14:textId="77777777" w:rsidR="0058789F" w:rsidRPr="00352B44" w:rsidRDefault="0058789F" w:rsidP="005D4C05">
            <w:pPr>
              <w:pStyle w:val="BodyText"/>
              <w:jc w:val="right"/>
            </w:pPr>
            <w:r w:rsidRPr="00352B44">
              <w:t>17 August 2022</w:t>
            </w:r>
          </w:p>
        </w:tc>
        <w:tc>
          <w:tcPr>
            <w:tcW w:w="845" w:type="dxa"/>
          </w:tcPr>
          <w:p w14:paraId="1C36EE51" w14:textId="77777777" w:rsidR="0058789F" w:rsidRPr="00352B44" w:rsidRDefault="0058789F" w:rsidP="00AD1066">
            <w:pPr>
              <w:pStyle w:val="BodyText"/>
              <w:jc w:val="center"/>
            </w:pPr>
            <w:r w:rsidRPr="00352B44">
              <w:t>to</w:t>
            </w:r>
          </w:p>
        </w:tc>
        <w:tc>
          <w:tcPr>
            <w:tcW w:w="1701" w:type="dxa"/>
          </w:tcPr>
          <w:p w14:paraId="0261578C" w14:textId="77777777" w:rsidR="0058789F" w:rsidRPr="00352B44" w:rsidRDefault="0058789F" w:rsidP="00AD1066">
            <w:pPr>
              <w:pStyle w:val="BodyText"/>
            </w:pPr>
            <w:r w:rsidRPr="00352B44">
              <w:t>31 August 2022</w:t>
            </w:r>
          </w:p>
        </w:tc>
      </w:tr>
      <w:tr w:rsidR="0058789F" w:rsidRPr="00352B44" w14:paraId="1ABAF6B8" w14:textId="77777777" w:rsidTr="005D4C05">
        <w:trPr>
          <w:trHeight w:val="347"/>
        </w:trPr>
        <w:tc>
          <w:tcPr>
            <w:tcW w:w="2122" w:type="dxa"/>
            <w:vMerge/>
          </w:tcPr>
          <w:p w14:paraId="186835B9" w14:textId="77777777" w:rsidR="0058789F" w:rsidRPr="00352B44" w:rsidRDefault="0058789F" w:rsidP="00AD1066">
            <w:pPr>
              <w:pStyle w:val="BodyText"/>
            </w:pPr>
          </w:p>
        </w:tc>
        <w:tc>
          <w:tcPr>
            <w:tcW w:w="2698" w:type="dxa"/>
          </w:tcPr>
          <w:p w14:paraId="70E1C7E8" w14:textId="77777777" w:rsidR="0058789F" w:rsidRPr="00352B44" w:rsidRDefault="0058789F" w:rsidP="00AD1066">
            <w:pPr>
              <w:pStyle w:val="BodyText"/>
            </w:pPr>
            <w:r w:rsidRPr="00352B44">
              <w:t>Glenn Ockerby</w:t>
            </w:r>
          </w:p>
        </w:tc>
        <w:tc>
          <w:tcPr>
            <w:tcW w:w="1843" w:type="dxa"/>
          </w:tcPr>
          <w:p w14:paraId="20BEF6FC" w14:textId="77777777" w:rsidR="0058789F" w:rsidRPr="00352B44" w:rsidRDefault="0058789F" w:rsidP="005D4C05">
            <w:pPr>
              <w:pStyle w:val="BodyText"/>
              <w:jc w:val="right"/>
            </w:pPr>
            <w:r w:rsidRPr="00352B44">
              <w:t>3 January 2023</w:t>
            </w:r>
          </w:p>
        </w:tc>
        <w:tc>
          <w:tcPr>
            <w:tcW w:w="845" w:type="dxa"/>
          </w:tcPr>
          <w:p w14:paraId="5915E402" w14:textId="77777777" w:rsidR="0058789F" w:rsidRPr="00352B44" w:rsidRDefault="0058789F" w:rsidP="00AD1066">
            <w:pPr>
              <w:pStyle w:val="BodyText"/>
              <w:jc w:val="center"/>
            </w:pPr>
            <w:r w:rsidRPr="00352B44">
              <w:t>to</w:t>
            </w:r>
          </w:p>
        </w:tc>
        <w:tc>
          <w:tcPr>
            <w:tcW w:w="1701" w:type="dxa"/>
          </w:tcPr>
          <w:p w14:paraId="37D8FEFD" w14:textId="77777777" w:rsidR="0058789F" w:rsidRPr="00352B44" w:rsidRDefault="0058789F" w:rsidP="00AD1066">
            <w:pPr>
              <w:pStyle w:val="BodyText"/>
            </w:pPr>
            <w:r w:rsidRPr="00352B44">
              <w:t>6 January 2023</w:t>
            </w:r>
          </w:p>
        </w:tc>
      </w:tr>
      <w:tr w:rsidR="0058789F" w:rsidRPr="00352B44" w14:paraId="322C54C4" w14:textId="77777777" w:rsidTr="005D4C05">
        <w:trPr>
          <w:trHeight w:val="333"/>
        </w:trPr>
        <w:tc>
          <w:tcPr>
            <w:tcW w:w="2122" w:type="dxa"/>
            <w:vMerge/>
          </w:tcPr>
          <w:p w14:paraId="1197BD46" w14:textId="77777777" w:rsidR="0058789F" w:rsidRPr="00352B44" w:rsidRDefault="0058789F" w:rsidP="00AD1066">
            <w:pPr>
              <w:pStyle w:val="BodyText"/>
            </w:pPr>
          </w:p>
        </w:tc>
        <w:tc>
          <w:tcPr>
            <w:tcW w:w="2698" w:type="dxa"/>
          </w:tcPr>
          <w:p w14:paraId="0544E466" w14:textId="77777777" w:rsidR="0058789F" w:rsidRPr="00352B44" w:rsidRDefault="0058789F" w:rsidP="00AD1066">
            <w:pPr>
              <w:pStyle w:val="BodyText"/>
            </w:pPr>
            <w:r w:rsidRPr="00352B44">
              <w:t>Linda Timothy</w:t>
            </w:r>
          </w:p>
        </w:tc>
        <w:tc>
          <w:tcPr>
            <w:tcW w:w="1843" w:type="dxa"/>
          </w:tcPr>
          <w:p w14:paraId="3EFAD8D9" w14:textId="77777777" w:rsidR="0058789F" w:rsidRPr="00352B44" w:rsidRDefault="0058789F" w:rsidP="005D4C05">
            <w:pPr>
              <w:pStyle w:val="BodyText"/>
              <w:jc w:val="right"/>
            </w:pPr>
            <w:r w:rsidRPr="00352B44">
              <w:t>2 February 2023</w:t>
            </w:r>
          </w:p>
        </w:tc>
        <w:tc>
          <w:tcPr>
            <w:tcW w:w="845" w:type="dxa"/>
          </w:tcPr>
          <w:p w14:paraId="385DD4B9" w14:textId="77777777" w:rsidR="0058789F" w:rsidRPr="00352B44" w:rsidRDefault="0058789F" w:rsidP="00AD1066">
            <w:pPr>
              <w:pStyle w:val="BodyText"/>
              <w:jc w:val="center"/>
            </w:pPr>
            <w:r w:rsidRPr="00352B44">
              <w:t>to</w:t>
            </w:r>
          </w:p>
        </w:tc>
        <w:tc>
          <w:tcPr>
            <w:tcW w:w="1701" w:type="dxa"/>
          </w:tcPr>
          <w:p w14:paraId="02B69986" w14:textId="77777777" w:rsidR="0058789F" w:rsidRPr="00352B44" w:rsidRDefault="0058789F" w:rsidP="00AD1066">
            <w:pPr>
              <w:pStyle w:val="BodyText"/>
            </w:pPr>
            <w:r w:rsidRPr="00352B44">
              <w:t>26 February 2023</w:t>
            </w:r>
          </w:p>
        </w:tc>
      </w:tr>
      <w:tr w:rsidR="0058789F" w:rsidRPr="00352B44" w14:paraId="7D6ED622" w14:textId="77777777" w:rsidTr="005D4C05">
        <w:trPr>
          <w:trHeight w:val="347"/>
        </w:trPr>
        <w:tc>
          <w:tcPr>
            <w:tcW w:w="2122" w:type="dxa"/>
            <w:vMerge/>
          </w:tcPr>
          <w:p w14:paraId="69BCA7B0" w14:textId="77777777" w:rsidR="0058789F" w:rsidRPr="00352B44" w:rsidRDefault="0058789F" w:rsidP="00AD1066">
            <w:pPr>
              <w:pStyle w:val="BodyText"/>
            </w:pPr>
          </w:p>
        </w:tc>
        <w:tc>
          <w:tcPr>
            <w:tcW w:w="2698" w:type="dxa"/>
          </w:tcPr>
          <w:p w14:paraId="0579FC88" w14:textId="77777777" w:rsidR="0058789F" w:rsidRPr="00352B44" w:rsidRDefault="0058789F" w:rsidP="00AD1066">
            <w:pPr>
              <w:pStyle w:val="BodyText"/>
            </w:pPr>
            <w:r w:rsidRPr="00352B44">
              <w:t>Linda Timothy</w:t>
            </w:r>
          </w:p>
        </w:tc>
        <w:tc>
          <w:tcPr>
            <w:tcW w:w="1843" w:type="dxa"/>
          </w:tcPr>
          <w:p w14:paraId="33D9AEF8" w14:textId="77777777" w:rsidR="0058789F" w:rsidRPr="00352B44" w:rsidRDefault="0058789F" w:rsidP="005D4C05">
            <w:pPr>
              <w:pStyle w:val="BodyText"/>
              <w:jc w:val="right"/>
            </w:pPr>
            <w:r w:rsidRPr="00352B44">
              <w:t>18 May 2023</w:t>
            </w:r>
          </w:p>
        </w:tc>
        <w:tc>
          <w:tcPr>
            <w:tcW w:w="845" w:type="dxa"/>
          </w:tcPr>
          <w:p w14:paraId="411A3776" w14:textId="77777777" w:rsidR="0058789F" w:rsidRPr="00352B44" w:rsidRDefault="0058789F" w:rsidP="00AD1066">
            <w:pPr>
              <w:pStyle w:val="BodyText"/>
              <w:jc w:val="center"/>
            </w:pPr>
            <w:r w:rsidRPr="00352B44">
              <w:t>to</w:t>
            </w:r>
          </w:p>
        </w:tc>
        <w:tc>
          <w:tcPr>
            <w:tcW w:w="1701" w:type="dxa"/>
          </w:tcPr>
          <w:p w14:paraId="25CE7BC4" w14:textId="77777777" w:rsidR="0058789F" w:rsidRPr="00352B44" w:rsidRDefault="0058789F" w:rsidP="00AD1066">
            <w:pPr>
              <w:pStyle w:val="BodyText"/>
            </w:pPr>
            <w:r w:rsidRPr="00352B44">
              <w:t>26 May 2023</w:t>
            </w:r>
          </w:p>
        </w:tc>
      </w:tr>
      <w:tr w:rsidR="0058789F" w:rsidRPr="00352B44" w14:paraId="782913C5" w14:textId="77777777" w:rsidTr="005D4C05">
        <w:trPr>
          <w:trHeight w:val="347"/>
        </w:trPr>
        <w:tc>
          <w:tcPr>
            <w:tcW w:w="2122" w:type="dxa"/>
            <w:vMerge/>
          </w:tcPr>
          <w:p w14:paraId="2019BE94" w14:textId="77777777" w:rsidR="0058789F" w:rsidRPr="00352B44" w:rsidRDefault="0058789F" w:rsidP="00AD1066">
            <w:pPr>
              <w:pStyle w:val="BodyText"/>
            </w:pPr>
          </w:p>
        </w:tc>
        <w:tc>
          <w:tcPr>
            <w:tcW w:w="2698" w:type="dxa"/>
          </w:tcPr>
          <w:p w14:paraId="16B100B8" w14:textId="77777777" w:rsidR="0058789F" w:rsidRPr="00352B44" w:rsidRDefault="0058789F" w:rsidP="00AD1066">
            <w:pPr>
              <w:pStyle w:val="BodyText"/>
            </w:pPr>
            <w:r w:rsidRPr="00352B44">
              <w:t>Linda Timothy</w:t>
            </w:r>
          </w:p>
        </w:tc>
        <w:tc>
          <w:tcPr>
            <w:tcW w:w="1843" w:type="dxa"/>
          </w:tcPr>
          <w:p w14:paraId="1F755B3A" w14:textId="77777777" w:rsidR="0058789F" w:rsidRPr="00352B44" w:rsidRDefault="0058789F" w:rsidP="005D4C05">
            <w:pPr>
              <w:pStyle w:val="BodyText"/>
              <w:jc w:val="right"/>
            </w:pPr>
            <w:r w:rsidRPr="00352B44">
              <w:t>31 May 2023</w:t>
            </w:r>
          </w:p>
        </w:tc>
        <w:tc>
          <w:tcPr>
            <w:tcW w:w="845" w:type="dxa"/>
          </w:tcPr>
          <w:p w14:paraId="74398560" w14:textId="77777777" w:rsidR="0058789F" w:rsidRPr="00352B44" w:rsidRDefault="0058789F" w:rsidP="00AD1066">
            <w:pPr>
              <w:pStyle w:val="BodyText"/>
              <w:jc w:val="center"/>
            </w:pPr>
            <w:r w:rsidRPr="00352B44">
              <w:t>to</w:t>
            </w:r>
          </w:p>
        </w:tc>
        <w:tc>
          <w:tcPr>
            <w:tcW w:w="1701" w:type="dxa"/>
          </w:tcPr>
          <w:p w14:paraId="5DBEB4C0" w14:textId="77777777" w:rsidR="0058789F" w:rsidRPr="00352B44" w:rsidRDefault="0058789F" w:rsidP="00AD1066">
            <w:pPr>
              <w:pStyle w:val="BodyText"/>
            </w:pPr>
            <w:r w:rsidRPr="00352B44">
              <w:t>3 June 2023</w:t>
            </w:r>
          </w:p>
        </w:tc>
      </w:tr>
    </w:tbl>
    <w:p w14:paraId="5AE86D97" w14:textId="77777777" w:rsidR="0058789F" w:rsidRDefault="0058789F" w:rsidP="0058789F">
      <w:pPr>
        <w:pStyle w:val="TableNote"/>
      </w:pPr>
    </w:p>
    <w:p w14:paraId="21C131F8" w14:textId="77777777" w:rsidR="0058789F" w:rsidRDefault="0058789F" w:rsidP="0058789F">
      <w:pPr>
        <w:pStyle w:val="Caption"/>
      </w:pPr>
      <w:r w:rsidRPr="00D57423">
        <w:t>Remuneration of responsible persons</w:t>
      </w:r>
    </w:p>
    <w:tbl>
      <w:tblPr>
        <w:tblStyle w:val="CustomTabledetailed"/>
        <w:tblW w:w="5000" w:type="pct"/>
        <w:tblLook w:val="0660" w:firstRow="1" w:lastRow="1" w:firstColumn="0" w:lastColumn="0" w:noHBand="1" w:noVBand="1"/>
      </w:tblPr>
      <w:tblGrid>
        <w:gridCol w:w="4593"/>
        <w:gridCol w:w="2217"/>
        <w:gridCol w:w="2217"/>
      </w:tblGrid>
      <w:tr w:rsidR="0058789F" w:rsidRPr="00F75F2D" w14:paraId="52F5E217"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544" w:type="pct"/>
            <w:noWrap/>
            <w:hideMark/>
          </w:tcPr>
          <w:p w14:paraId="0BA6B117" w14:textId="77777777" w:rsidR="0058789F" w:rsidRPr="00F75F2D" w:rsidRDefault="0058789F" w:rsidP="00AD1066">
            <w:pPr>
              <w:pStyle w:val="TableHeading1"/>
            </w:pPr>
            <w:bookmarkStart w:id="207" w:name="OLE_LINK15"/>
            <w:bookmarkStart w:id="208" w:name="OLE_LINK16"/>
            <w:bookmarkStart w:id="209" w:name="OLE_LINK17"/>
            <w:r w:rsidRPr="00F75F2D">
              <w:t> Income band</w:t>
            </w:r>
          </w:p>
        </w:tc>
        <w:tc>
          <w:tcPr>
            <w:tcW w:w="1228" w:type="pct"/>
            <w:noWrap/>
            <w:hideMark/>
          </w:tcPr>
          <w:p w14:paraId="14E48976" w14:textId="77777777" w:rsidR="0058789F" w:rsidRPr="00F75F2D" w:rsidRDefault="0058789F" w:rsidP="00AD1066">
            <w:pPr>
              <w:pStyle w:val="TableHeading3rightalign"/>
            </w:pPr>
            <w:r w:rsidRPr="00F75F2D">
              <w:t>202</w:t>
            </w:r>
            <w:r>
              <w:t>3</w:t>
            </w:r>
          </w:p>
        </w:tc>
        <w:tc>
          <w:tcPr>
            <w:tcW w:w="1228" w:type="pct"/>
            <w:noWrap/>
            <w:hideMark/>
          </w:tcPr>
          <w:p w14:paraId="1E7A3FFF" w14:textId="77777777" w:rsidR="0058789F" w:rsidRPr="00F75F2D" w:rsidRDefault="0058789F" w:rsidP="00AD1066">
            <w:pPr>
              <w:pStyle w:val="TableHeading3rightalign"/>
            </w:pPr>
            <w:r w:rsidRPr="00F75F2D">
              <w:t>202</w:t>
            </w:r>
            <w:r>
              <w:t>2</w:t>
            </w:r>
          </w:p>
        </w:tc>
      </w:tr>
      <w:tr w:rsidR="0058789F" w:rsidRPr="00F75F2D" w14:paraId="27E7D308" w14:textId="77777777" w:rsidTr="00AD1066">
        <w:trPr>
          <w:trHeight w:val="300"/>
        </w:trPr>
        <w:tc>
          <w:tcPr>
            <w:tcW w:w="5000" w:type="pct"/>
            <w:gridSpan w:val="3"/>
            <w:noWrap/>
            <w:hideMark/>
          </w:tcPr>
          <w:p w14:paraId="3DEF7EFF" w14:textId="77777777" w:rsidR="0058789F" w:rsidRPr="00F75F2D" w:rsidRDefault="0058789F" w:rsidP="00AD1066">
            <w:pPr>
              <w:pStyle w:val="TableBodyTextsmall"/>
            </w:pPr>
          </w:p>
        </w:tc>
      </w:tr>
      <w:tr w:rsidR="0058789F" w:rsidRPr="00F75F2D" w14:paraId="473ECB53" w14:textId="77777777" w:rsidTr="00AD1066">
        <w:trPr>
          <w:trHeight w:val="255"/>
        </w:trPr>
        <w:tc>
          <w:tcPr>
            <w:tcW w:w="2544" w:type="pct"/>
            <w:noWrap/>
          </w:tcPr>
          <w:p w14:paraId="03979DF2" w14:textId="77777777" w:rsidR="0058789F" w:rsidRPr="00F75F2D" w:rsidRDefault="0058789F" w:rsidP="00AD1066">
            <w:pPr>
              <w:pStyle w:val="TableBodyText"/>
            </w:pPr>
            <w:r w:rsidRPr="00F75F2D">
              <w:t>$1</w:t>
            </w:r>
            <w:r>
              <w:t>30</w:t>
            </w:r>
            <w:r w:rsidRPr="00F75F2D">
              <w:t>,000–</w:t>
            </w:r>
            <w:r>
              <w:t>$</w:t>
            </w:r>
            <w:r w:rsidRPr="00F75F2D">
              <w:t>1</w:t>
            </w:r>
            <w:r>
              <w:t>3</w:t>
            </w:r>
            <w:r w:rsidRPr="00F75F2D">
              <w:t>9,999</w:t>
            </w:r>
          </w:p>
        </w:tc>
        <w:tc>
          <w:tcPr>
            <w:tcW w:w="1228" w:type="pct"/>
            <w:shd w:val="clear" w:color="auto" w:fill="F2F2F2" w:themeFill="background1" w:themeFillShade="F2"/>
            <w:noWrap/>
          </w:tcPr>
          <w:p w14:paraId="6A92FDB1" w14:textId="77777777" w:rsidR="0058789F" w:rsidRDefault="0058789F" w:rsidP="00AD1066">
            <w:pPr>
              <w:pStyle w:val="TableBodyTextrightalign"/>
            </w:pPr>
            <w:r>
              <w:t>1</w:t>
            </w:r>
          </w:p>
        </w:tc>
        <w:tc>
          <w:tcPr>
            <w:tcW w:w="1228" w:type="pct"/>
            <w:noWrap/>
          </w:tcPr>
          <w:p w14:paraId="241B52A8" w14:textId="77777777" w:rsidR="0058789F" w:rsidRDefault="0058789F" w:rsidP="00AD1066">
            <w:pPr>
              <w:pStyle w:val="TableBodyTextrightalign"/>
            </w:pPr>
            <w:r w:rsidRPr="00F75F2D">
              <w:t>–</w:t>
            </w:r>
          </w:p>
        </w:tc>
      </w:tr>
      <w:tr w:rsidR="0058789F" w:rsidRPr="00F75F2D" w14:paraId="19884C9A" w14:textId="77777777" w:rsidTr="00AD1066">
        <w:trPr>
          <w:trHeight w:val="255"/>
        </w:trPr>
        <w:tc>
          <w:tcPr>
            <w:tcW w:w="2544" w:type="pct"/>
            <w:noWrap/>
            <w:hideMark/>
          </w:tcPr>
          <w:p w14:paraId="4F0B1641" w14:textId="77777777" w:rsidR="0058789F" w:rsidRPr="00F75F2D" w:rsidRDefault="0058789F" w:rsidP="00AD1066">
            <w:pPr>
              <w:pStyle w:val="TableBodyText"/>
            </w:pPr>
            <w:r w:rsidRPr="00F75F2D">
              <w:t>$190,000–</w:t>
            </w:r>
            <w:r>
              <w:t>$</w:t>
            </w:r>
            <w:r w:rsidRPr="00F75F2D">
              <w:t>199,999</w:t>
            </w:r>
          </w:p>
        </w:tc>
        <w:tc>
          <w:tcPr>
            <w:tcW w:w="1228" w:type="pct"/>
            <w:shd w:val="clear" w:color="auto" w:fill="F2F2F2" w:themeFill="background1" w:themeFillShade="F2"/>
            <w:noWrap/>
          </w:tcPr>
          <w:p w14:paraId="7761930D" w14:textId="77777777" w:rsidR="0058789F" w:rsidRPr="00F75F2D" w:rsidRDefault="0058789F" w:rsidP="00AD1066">
            <w:pPr>
              <w:pStyle w:val="TableBodyTextrightalign"/>
            </w:pPr>
            <w:r w:rsidRPr="00F75F2D">
              <w:t>–</w:t>
            </w:r>
          </w:p>
        </w:tc>
        <w:tc>
          <w:tcPr>
            <w:tcW w:w="1228" w:type="pct"/>
            <w:noWrap/>
            <w:hideMark/>
          </w:tcPr>
          <w:p w14:paraId="755358F3" w14:textId="77777777" w:rsidR="0058789F" w:rsidRPr="00F75F2D" w:rsidRDefault="0058789F" w:rsidP="00AD1066">
            <w:pPr>
              <w:pStyle w:val="TableBodyTextrightalign"/>
            </w:pPr>
            <w:r>
              <w:t>1</w:t>
            </w:r>
          </w:p>
        </w:tc>
      </w:tr>
      <w:tr w:rsidR="0058789F" w:rsidRPr="00F75F2D" w14:paraId="6102DA92" w14:textId="77777777" w:rsidTr="00AD1066">
        <w:trPr>
          <w:trHeight w:val="255"/>
        </w:trPr>
        <w:tc>
          <w:tcPr>
            <w:tcW w:w="2544" w:type="pct"/>
            <w:noWrap/>
          </w:tcPr>
          <w:p w14:paraId="1CEF8032" w14:textId="77777777" w:rsidR="0058789F" w:rsidRPr="00F75F2D" w:rsidRDefault="0058789F" w:rsidP="00AD1066">
            <w:pPr>
              <w:pStyle w:val="TableBodyText"/>
            </w:pPr>
            <w:r w:rsidRPr="00F75F2D">
              <w:t>$</w:t>
            </w:r>
            <w:r>
              <w:t>260</w:t>
            </w:r>
            <w:r w:rsidRPr="00F75F2D">
              <w:t>,000–</w:t>
            </w:r>
            <w:r>
              <w:t>$269</w:t>
            </w:r>
            <w:r w:rsidRPr="00F75F2D">
              <w:t>,999</w:t>
            </w:r>
          </w:p>
        </w:tc>
        <w:tc>
          <w:tcPr>
            <w:tcW w:w="1228" w:type="pct"/>
            <w:shd w:val="clear" w:color="auto" w:fill="F2F2F2" w:themeFill="background1" w:themeFillShade="F2"/>
            <w:noWrap/>
          </w:tcPr>
          <w:p w14:paraId="2B15C63F" w14:textId="77777777" w:rsidR="0058789F" w:rsidRPr="00F75F2D" w:rsidRDefault="0058789F" w:rsidP="00AD1066">
            <w:pPr>
              <w:pStyle w:val="TableBodyTextrightalign"/>
            </w:pPr>
            <w:r>
              <w:t>1</w:t>
            </w:r>
          </w:p>
        </w:tc>
        <w:tc>
          <w:tcPr>
            <w:tcW w:w="1228" w:type="pct"/>
            <w:noWrap/>
          </w:tcPr>
          <w:p w14:paraId="7D632EAF" w14:textId="77777777" w:rsidR="0058789F" w:rsidRPr="00F75F2D" w:rsidRDefault="0058789F" w:rsidP="00AD1066">
            <w:pPr>
              <w:pStyle w:val="TableBodyTextrightalign"/>
            </w:pPr>
            <w:r>
              <w:t>–</w:t>
            </w:r>
          </w:p>
        </w:tc>
      </w:tr>
      <w:tr w:rsidR="0058789F" w:rsidRPr="00F75F2D" w14:paraId="32C50BBD" w14:textId="77777777" w:rsidTr="00AD1066">
        <w:trPr>
          <w:trHeight w:val="255"/>
        </w:trPr>
        <w:tc>
          <w:tcPr>
            <w:tcW w:w="2544" w:type="pct"/>
            <w:tcBorders>
              <w:bottom w:val="dotted" w:sz="4" w:space="0" w:color="auto"/>
            </w:tcBorders>
            <w:noWrap/>
          </w:tcPr>
          <w:p w14:paraId="4587FB90" w14:textId="77777777" w:rsidR="0058789F" w:rsidRPr="00F75F2D" w:rsidRDefault="0058789F" w:rsidP="00AD1066">
            <w:pPr>
              <w:pStyle w:val="TableBodyText"/>
            </w:pPr>
            <w:r w:rsidRPr="00F75F2D">
              <w:t>$4</w:t>
            </w:r>
            <w:r>
              <w:t>30</w:t>
            </w:r>
            <w:r w:rsidRPr="00F75F2D">
              <w:t>,000–</w:t>
            </w:r>
            <w:r>
              <w:t>$</w:t>
            </w:r>
            <w:r w:rsidRPr="00F75F2D">
              <w:t>4</w:t>
            </w:r>
            <w:r>
              <w:t>39,999</w:t>
            </w:r>
          </w:p>
        </w:tc>
        <w:tc>
          <w:tcPr>
            <w:tcW w:w="1228" w:type="pct"/>
            <w:tcBorders>
              <w:bottom w:val="dotted" w:sz="4" w:space="0" w:color="auto"/>
            </w:tcBorders>
            <w:shd w:val="clear" w:color="auto" w:fill="F2F2F2" w:themeFill="background1" w:themeFillShade="F2"/>
            <w:noWrap/>
          </w:tcPr>
          <w:p w14:paraId="0CCAAC11" w14:textId="77777777" w:rsidR="0058789F" w:rsidRDefault="0058789F" w:rsidP="00AD1066">
            <w:pPr>
              <w:pStyle w:val="TableBodyTextrightalign"/>
            </w:pPr>
            <w:r w:rsidRPr="00F75F2D">
              <w:t>–</w:t>
            </w:r>
          </w:p>
        </w:tc>
        <w:tc>
          <w:tcPr>
            <w:tcW w:w="1228" w:type="pct"/>
            <w:tcBorders>
              <w:bottom w:val="dotted" w:sz="4" w:space="0" w:color="auto"/>
            </w:tcBorders>
            <w:noWrap/>
          </w:tcPr>
          <w:p w14:paraId="5637B91A" w14:textId="77777777" w:rsidR="0058789F" w:rsidRDefault="0058789F" w:rsidP="00AD1066">
            <w:pPr>
              <w:pStyle w:val="TableBodyTextrightalign"/>
            </w:pPr>
            <w:r>
              <w:t>1</w:t>
            </w:r>
          </w:p>
        </w:tc>
      </w:tr>
      <w:tr w:rsidR="0058789F" w:rsidRPr="00F75F2D" w14:paraId="71B06FCA" w14:textId="77777777" w:rsidTr="00AD1066">
        <w:trPr>
          <w:trHeight w:val="255"/>
        </w:trPr>
        <w:tc>
          <w:tcPr>
            <w:tcW w:w="2544" w:type="pct"/>
            <w:tcBorders>
              <w:bottom w:val="dotted" w:sz="4" w:space="0" w:color="auto"/>
            </w:tcBorders>
            <w:noWrap/>
          </w:tcPr>
          <w:p w14:paraId="4C601DB6" w14:textId="77777777" w:rsidR="0058789F" w:rsidRPr="00F75F2D" w:rsidRDefault="0058789F" w:rsidP="00AD1066">
            <w:pPr>
              <w:pStyle w:val="TableBodyText"/>
            </w:pPr>
            <w:r w:rsidRPr="00F75F2D">
              <w:t>$4</w:t>
            </w:r>
            <w:r>
              <w:t>60</w:t>
            </w:r>
            <w:r w:rsidRPr="00F75F2D">
              <w:t>,000–</w:t>
            </w:r>
            <w:r>
              <w:t>$</w:t>
            </w:r>
            <w:r w:rsidRPr="00F75F2D">
              <w:t>4</w:t>
            </w:r>
            <w:r>
              <w:t>6</w:t>
            </w:r>
            <w:r w:rsidRPr="00F75F2D">
              <w:t>9,999</w:t>
            </w:r>
          </w:p>
        </w:tc>
        <w:tc>
          <w:tcPr>
            <w:tcW w:w="1228" w:type="pct"/>
            <w:tcBorders>
              <w:bottom w:val="dotted" w:sz="4" w:space="0" w:color="auto"/>
            </w:tcBorders>
            <w:shd w:val="clear" w:color="auto" w:fill="F2F2F2" w:themeFill="background1" w:themeFillShade="F2"/>
            <w:noWrap/>
          </w:tcPr>
          <w:p w14:paraId="1E60B6F8" w14:textId="77777777" w:rsidR="0058789F" w:rsidRDefault="0058789F" w:rsidP="00AD1066">
            <w:pPr>
              <w:pStyle w:val="TableBodyTextrightalign"/>
            </w:pPr>
            <w:r>
              <w:t>1</w:t>
            </w:r>
          </w:p>
        </w:tc>
        <w:tc>
          <w:tcPr>
            <w:tcW w:w="1228" w:type="pct"/>
            <w:tcBorders>
              <w:bottom w:val="dotted" w:sz="4" w:space="0" w:color="auto"/>
            </w:tcBorders>
            <w:noWrap/>
          </w:tcPr>
          <w:p w14:paraId="7F58187D" w14:textId="77777777" w:rsidR="0058789F" w:rsidRPr="00F75F2D" w:rsidRDefault="0058789F" w:rsidP="00AD1066">
            <w:pPr>
              <w:pStyle w:val="TableBodyTextrightalign"/>
            </w:pPr>
            <w:r w:rsidRPr="00F75F2D">
              <w:t>–</w:t>
            </w:r>
          </w:p>
        </w:tc>
      </w:tr>
      <w:tr w:rsidR="0058789F" w:rsidRPr="000D66DA" w14:paraId="06425EF3" w14:textId="77777777" w:rsidTr="00AD1066">
        <w:trPr>
          <w:cnfStyle w:val="010000000000" w:firstRow="0" w:lastRow="1" w:firstColumn="0" w:lastColumn="0" w:oddVBand="0" w:evenVBand="0" w:oddHBand="0" w:evenHBand="0" w:firstRowFirstColumn="0" w:firstRowLastColumn="0" w:lastRowFirstColumn="0" w:lastRowLastColumn="0"/>
          <w:trHeight w:val="255"/>
        </w:trPr>
        <w:tc>
          <w:tcPr>
            <w:tcW w:w="2544" w:type="pct"/>
            <w:tcBorders>
              <w:top w:val="dotted" w:sz="4" w:space="0" w:color="auto"/>
            </w:tcBorders>
            <w:noWrap/>
            <w:hideMark/>
          </w:tcPr>
          <w:p w14:paraId="18BD864E" w14:textId="77777777" w:rsidR="0058789F" w:rsidRPr="00F75F2D" w:rsidRDefault="0058789F" w:rsidP="00AD1066">
            <w:pPr>
              <w:pStyle w:val="TableBodyText"/>
            </w:pPr>
            <w:r w:rsidRPr="00F75F2D">
              <w:t>Total number of responsible persons</w:t>
            </w:r>
            <w:r w:rsidRPr="007E78B5">
              <w:rPr>
                <w:rStyle w:val="Charactersuperscript"/>
              </w:rPr>
              <w:t>(a)</w:t>
            </w:r>
            <w:r w:rsidRPr="00F75F2D">
              <w:t xml:space="preserve"> </w:t>
            </w:r>
          </w:p>
        </w:tc>
        <w:tc>
          <w:tcPr>
            <w:tcW w:w="1228" w:type="pct"/>
            <w:tcBorders>
              <w:top w:val="dotted" w:sz="4" w:space="0" w:color="auto"/>
            </w:tcBorders>
            <w:shd w:val="clear" w:color="auto" w:fill="F2F2F2" w:themeFill="background1" w:themeFillShade="F2"/>
            <w:noWrap/>
          </w:tcPr>
          <w:p w14:paraId="39D623CC" w14:textId="77777777" w:rsidR="0058789F" w:rsidRPr="000D66DA" w:rsidRDefault="0058789F" w:rsidP="00AD1066">
            <w:pPr>
              <w:pStyle w:val="TableBodyTextrightalign"/>
            </w:pPr>
            <w:r>
              <w:t>3</w:t>
            </w:r>
          </w:p>
        </w:tc>
        <w:tc>
          <w:tcPr>
            <w:tcW w:w="1228" w:type="pct"/>
            <w:tcBorders>
              <w:top w:val="dotted" w:sz="4" w:space="0" w:color="auto"/>
            </w:tcBorders>
            <w:noWrap/>
            <w:hideMark/>
          </w:tcPr>
          <w:p w14:paraId="67280B32" w14:textId="77777777" w:rsidR="0058789F" w:rsidRPr="000D66DA" w:rsidRDefault="0058789F" w:rsidP="00AD1066">
            <w:pPr>
              <w:pStyle w:val="TableBodyTextrightalign"/>
            </w:pPr>
            <w:r w:rsidRPr="000D66DA">
              <w:t>2</w:t>
            </w:r>
          </w:p>
        </w:tc>
      </w:tr>
    </w:tbl>
    <w:bookmarkEnd w:id="207"/>
    <w:bookmarkEnd w:id="208"/>
    <w:bookmarkEnd w:id="209"/>
    <w:p w14:paraId="3B414554" w14:textId="4252F9A5" w:rsidR="0058789F" w:rsidRPr="00D55F89" w:rsidRDefault="00465B9C" w:rsidP="0058789F">
      <w:pPr>
        <w:pStyle w:val="TableNote"/>
      </w:pPr>
      <w:r>
        <w:t>Notes</w:t>
      </w:r>
    </w:p>
    <w:p w14:paraId="520D7212" w14:textId="77777777" w:rsidR="0058789F" w:rsidRPr="00CD40B2" w:rsidRDefault="0058789F" w:rsidP="0058789F">
      <w:pPr>
        <w:pStyle w:val="TableNote"/>
      </w:pPr>
      <w:r w:rsidRPr="00E40F27">
        <w:rPr>
          <w:rStyle w:val="Charactersuperscript"/>
        </w:rPr>
        <w:t>(a)</w:t>
      </w:r>
      <w:r w:rsidRPr="00E40F27">
        <w:t xml:space="preserve"> </w:t>
      </w:r>
      <w:r>
        <w:t xml:space="preserve">The total number of responsible persons include IBAC commissioner whose five year term ended on 16 December 2022 and Acting Commissioner. </w:t>
      </w:r>
      <w:r w:rsidRPr="00CD40B2">
        <w:t xml:space="preserve"> The number and amount received or receivable by the </w:t>
      </w:r>
      <w:r>
        <w:t>r</w:t>
      </w:r>
      <w:r w:rsidRPr="00CD40B2">
        <w:t xml:space="preserve">esponsible </w:t>
      </w:r>
      <w:r>
        <w:t>p</w:t>
      </w:r>
      <w:r w:rsidRPr="00CD40B2">
        <w:t xml:space="preserve">erson and </w:t>
      </w:r>
      <w:r>
        <w:t>a</w:t>
      </w:r>
      <w:r w:rsidRPr="00CD40B2">
        <w:t xml:space="preserve">ccountable </w:t>
      </w:r>
      <w:r>
        <w:t>o</w:t>
      </w:r>
      <w:r w:rsidRPr="00CD40B2">
        <w:t xml:space="preserve">fficer is based on </w:t>
      </w:r>
      <w:r w:rsidRPr="00ED7CA8">
        <w:rPr>
          <w:rStyle w:val="Characteritalic"/>
        </w:rPr>
        <w:t>FRD 21 Disclosures of responsible persons and executive officers</w:t>
      </w:r>
      <w:r>
        <w:rPr>
          <w:iCs/>
        </w:rPr>
        <w:t xml:space="preserve"> </w:t>
      </w:r>
      <w:r w:rsidRPr="00CD40B2">
        <w:t>(</w:t>
      </w:r>
      <w:r>
        <w:t>FRD21</w:t>
      </w:r>
      <w:r w:rsidRPr="00CD40B2">
        <w:t>) in the financial repor</w:t>
      </w:r>
      <w:r>
        <w:t xml:space="preserve">t. </w:t>
      </w:r>
    </w:p>
    <w:p w14:paraId="68DDEC1C" w14:textId="77777777" w:rsidR="0058789F" w:rsidRPr="00D55F89" w:rsidRDefault="0058789F" w:rsidP="0058789F">
      <w:pPr>
        <w:pStyle w:val="TableNote"/>
      </w:pPr>
      <w:r w:rsidRPr="00D55F89">
        <w:t xml:space="preserve">The total number of responsible persons includes persons who meet the definition of </w:t>
      </w:r>
      <w:r>
        <w:t>k</w:t>
      </w:r>
      <w:r w:rsidRPr="00D55F89">
        <w:t xml:space="preserve">ey </w:t>
      </w:r>
      <w:r>
        <w:t>m</w:t>
      </w:r>
      <w:r w:rsidRPr="00D55F89">
        <w:t xml:space="preserve">anagement </w:t>
      </w:r>
      <w:r>
        <w:t>p</w:t>
      </w:r>
      <w:r w:rsidRPr="00D55F89">
        <w:t xml:space="preserve">ersonnel of the entity under </w:t>
      </w:r>
      <w:r w:rsidRPr="00E95B19">
        <w:t>AASB 124</w:t>
      </w:r>
      <w:r w:rsidRPr="00631777">
        <w:rPr>
          <w:rStyle w:val="Characteritalic"/>
        </w:rPr>
        <w:t xml:space="preserve"> Related Party Disclosures</w:t>
      </w:r>
      <w:r w:rsidRPr="00D55F89">
        <w:t xml:space="preserve"> (AASB 124) and are also reported within the related parties note disclosure (Note</w:t>
      </w:r>
      <w:r>
        <w:t xml:space="preserve"> </w:t>
      </w:r>
      <w:r>
        <w:fldChar w:fldCharType="begin"/>
      </w:r>
      <w:r>
        <w:instrText xml:space="preserve"> REF _Ref145081266 \n \h </w:instrText>
      </w:r>
      <w:r>
        <w:fldChar w:fldCharType="separate"/>
      </w:r>
      <w:r>
        <w:t>8.6</w:t>
      </w:r>
      <w:r>
        <w:fldChar w:fldCharType="end"/>
      </w:r>
      <w:r w:rsidRPr="00D55F89">
        <w:t>).</w:t>
      </w:r>
    </w:p>
    <w:p w14:paraId="3EB0F103" w14:textId="45891528" w:rsidR="0058789F" w:rsidRDefault="0058789F" w:rsidP="0058789F">
      <w:pPr>
        <w:pStyle w:val="TableNote"/>
      </w:pPr>
      <w:r w:rsidRPr="00D55F89">
        <w:t xml:space="preserve">The </w:t>
      </w:r>
      <w:r>
        <w:t xml:space="preserve">remuneration of the </w:t>
      </w:r>
      <w:r w:rsidRPr="00D55F89">
        <w:t xml:space="preserve">acting </w:t>
      </w:r>
      <w:r>
        <w:t>responsible officer is included in this note however, not of the acting a</w:t>
      </w:r>
      <w:r w:rsidRPr="00D55F89">
        <w:t xml:space="preserve">ccountable </w:t>
      </w:r>
      <w:r>
        <w:t>o</w:t>
      </w:r>
      <w:r w:rsidRPr="00D55F89">
        <w:t>fficers</w:t>
      </w:r>
      <w:r>
        <w:t xml:space="preserve">. </w:t>
      </w:r>
      <w:bookmarkStart w:id="210" w:name="_Ref82072522"/>
      <w:r>
        <w:t xml:space="preserve"> </w:t>
      </w:r>
    </w:p>
    <w:p w14:paraId="251AE7B8" w14:textId="77777777" w:rsidR="0058789F" w:rsidRDefault="0058789F" w:rsidP="00CE2908">
      <w:pPr>
        <w:pStyle w:val="NotesHeading2"/>
      </w:pPr>
      <w:r w:rsidRPr="00CE2908">
        <w:t>Remuneration</w:t>
      </w:r>
      <w:r w:rsidRPr="00115BF8">
        <w:t xml:space="preserve"> of auditors</w:t>
      </w:r>
    </w:p>
    <w:tbl>
      <w:tblPr>
        <w:tblStyle w:val="CustomTabledetailed"/>
        <w:tblW w:w="5000" w:type="pct"/>
        <w:tblLook w:val="0660" w:firstRow="1" w:lastRow="1" w:firstColumn="0" w:lastColumn="0" w:noHBand="1" w:noVBand="1"/>
      </w:tblPr>
      <w:tblGrid>
        <w:gridCol w:w="4022"/>
        <w:gridCol w:w="2154"/>
        <w:gridCol w:w="2851"/>
      </w:tblGrid>
      <w:tr w:rsidR="0058789F" w:rsidRPr="0002429B" w14:paraId="7413CCE8"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2228" w:type="pct"/>
            <w:hideMark/>
          </w:tcPr>
          <w:p w14:paraId="14383957" w14:textId="77777777" w:rsidR="0058789F" w:rsidRPr="0002429B" w:rsidRDefault="0058789F" w:rsidP="00AD1066">
            <w:pPr>
              <w:pStyle w:val="TableBodyText"/>
            </w:pPr>
            <w:r w:rsidRPr="0002429B">
              <w:t> </w:t>
            </w:r>
          </w:p>
        </w:tc>
        <w:tc>
          <w:tcPr>
            <w:tcW w:w="1193" w:type="pct"/>
            <w:hideMark/>
          </w:tcPr>
          <w:p w14:paraId="4BFC7A9F" w14:textId="77777777" w:rsidR="0058789F" w:rsidRDefault="0058789F" w:rsidP="00AD1066">
            <w:pPr>
              <w:pStyle w:val="TableHeading3rightalign"/>
            </w:pPr>
            <w:r w:rsidRPr="000B397C">
              <w:t>202</w:t>
            </w:r>
            <w:r>
              <w:t>3</w:t>
            </w:r>
          </w:p>
          <w:p w14:paraId="2FF9128F" w14:textId="77777777" w:rsidR="0058789F" w:rsidRPr="0002429B" w:rsidRDefault="0058789F" w:rsidP="00AD1066">
            <w:pPr>
              <w:pStyle w:val="TableHeading3rightalign"/>
            </w:pPr>
            <w:r>
              <w:t>(</w:t>
            </w:r>
            <w:r w:rsidRPr="009E0746">
              <w:t>$’000</w:t>
            </w:r>
            <w:r>
              <w:t>)</w:t>
            </w:r>
          </w:p>
        </w:tc>
        <w:tc>
          <w:tcPr>
            <w:tcW w:w="1579" w:type="pct"/>
            <w:hideMark/>
          </w:tcPr>
          <w:p w14:paraId="0149C7E7" w14:textId="77777777" w:rsidR="0058789F" w:rsidRDefault="0058789F" w:rsidP="00AD1066">
            <w:pPr>
              <w:pStyle w:val="TableHeading3rightalign"/>
            </w:pPr>
            <w:r w:rsidRPr="000B397C">
              <w:t>202</w:t>
            </w:r>
            <w:r>
              <w:t>2</w:t>
            </w:r>
          </w:p>
          <w:p w14:paraId="06869521" w14:textId="77777777" w:rsidR="0058789F" w:rsidRPr="0002429B" w:rsidRDefault="0058789F" w:rsidP="00AD1066">
            <w:pPr>
              <w:pStyle w:val="TableHeading3rightalign"/>
            </w:pPr>
            <w:r>
              <w:t>(</w:t>
            </w:r>
            <w:r w:rsidRPr="009E0746">
              <w:t>$’000</w:t>
            </w:r>
            <w:r>
              <w:t>)</w:t>
            </w:r>
          </w:p>
        </w:tc>
      </w:tr>
      <w:tr w:rsidR="0058789F" w:rsidRPr="0002429B" w14:paraId="060ADC17" w14:textId="77777777" w:rsidTr="00AD1066">
        <w:trPr>
          <w:trHeight w:val="255"/>
        </w:trPr>
        <w:tc>
          <w:tcPr>
            <w:tcW w:w="5000" w:type="pct"/>
            <w:gridSpan w:val="3"/>
            <w:noWrap/>
            <w:hideMark/>
          </w:tcPr>
          <w:p w14:paraId="36A8D547" w14:textId="77777777" w:rsidR="0058789F" w:rsidRPr="0002429B" w:rsidRDefault="0058789F" w:rsidP="00AD1066">
            <w:pPr>
              <w:pStyle w:val="TableBodyTextsmall"/>
            </w:pPr>
          </w:p>
        </w:tc>
      </w:tr>
      <w:tr w:rsidR="0058789F" w:rsidRPr="0002429B" w14:paraId="3A3EE3CA" w14:textId="77777777" w:rsidTr="00AD1066">
        <w:trPr>
          <w:trHeight w:val="255"/>
        </w:trPr>
        <w:tc>
          <w:tcPr>
            <w:tcW w:w="5000" w:type="pct"/>
            <w:gridSpan w:val="3"/>
            <w:noWrap/>
            <w:hideMark/>
          </w:tcPr>
          <w:p w14:paraId="69AA02EB" w14:textId="77777777" w:rsidR="0058789F" w:rsidRPr="009D3814" w:rsidRDefault="0058789F" w:rsidP="009D3814">
            <w:pPr>
              <w:pStyle w:val="TableHeading1"/>
            </w:pPr>
            <w:r w:rsidRPr="0002429B">
              <w:t>Victorian Auditor</w:t>
            </w:r>
            <w:r w:rsidRPr="0002429B">
              <w:noBreakHyphen/>
              <w:t>General’s Office</w:t>
            </w:r>
          </w:p>
        </w:tc>
      </w:tr>
      <w:tr w:rsidR="0058789F" w:rsidRPr="0002429B" w14:paraId="012EE0D2" w14:textId="77777777" w:rsidTr="00AD1066">
        <w:trPr>
          <w:trHeight w:val="255"/>
        </w:trPr>
        <w:tc>
          <w:tcPr>
            <w:tcW w:w="2228" w:type="pct"/>
            <w:tcBorders>
              <w:bottom w:val="dotted" w:sz="4" w:space="0" w:color="auto"/>
            </w:tcBorders>
            <w:noWrap/>
            <w:hideMark/>
          </w:tcPr>
          <w:p w14:paraId="19B57DDF" w14:textId="77777777" w:rsidR="0058789F" w:rsidRPr="0002429B" w:rsidRDefault="0058789F" w:rsidP="00AD1066">
            <w:pPr>
              <w:pStyle w:val="TableBodyText"/>
            </w:pPr>
            <w:r w:rsidRPr="0002429B">
              <w:t>Audit of the financial statements</w:t>
            </w:r>
            <w:r>
              <w:t xml:space="preserve"> </w:t>
            </w:r>
            <w:r w:rsidRPr="007211D6">
              <w:rPr>
                <w:rStyle w:val="Charactersuperscript"/>
              </w:rPr>
              <w:t>(a)</w:t>
            </w:r>
          </w:p>
        </w:tc>
        <w:tc>
          <w:tcPr>
            <w:tcW w:w="1193" w:type="pct"/>
            <w:tcBorders>
              <w:bottom w:val="dotted" w:sz="4" w:space="0" w:color="auto"/>
            </w:tcBorders>
            <w:shd w:val="clear" w:color="auto" w:fill="F2F2F2" w:themeFill="background1" w:themeFillShade="F2"/>
            <w:noWrap/>
          </w:tcPr>
          <w:p w14:paraId="62AAA468" w14:textId="77777777" w:rsidR="0058789F" w:rsidRPr="002013D6" w:rsidRDefault="0058789F" w:rsidP="00AD1066">
            <w:pPr>
              <w:pStyle w:val="TableBodyTextrightalign"/>
            </w:pPr>
            <w:r>
              <w:t>45</w:t>
            </w:r>
          </w:p>
        </w:tc>
        <w:tc>
          <w:tcPr>
            <w:tcW w:w="1579" w:type="pct"/>
            <w:tcBorders>
              <w:bottom w:val="dotted" w:sz="4" w:space="0" w:color="auto"/>
            </w:tcBorders>
            <w:noWrap/>
            <w:hideMark/>
          </w:tcPr>
          <w:p w14:paraId="47722629" w14:textId="77777777" w:rsidR="0058789F" w:rsidRPr="002013D6" w:rsidRDefault="0058789F" w:rsidP="00AD1066">
            <w:pPr>
              <w:pStyle w:val="TableBodyTextrightalign"/>
            </w:pPr>
            <w:r>
              <w:t>38</w:t>
            </w:r>
          </w:p>
        </w:tc>
      </w:tr>
      <w:tr w:rsidR="0058789F" w:rsidRPr="0002429B" w14:paraId="73881B06"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2228" w:type="pct"/>
            <w:tcBorders>
              <w:top w:val="dotted" w:sz="4" w:space="0" w:color="auto"/>
            </w:tcBorders>
            <w:noWrap/>
            <w:hideMark/>
          </w:tcPr>
          <w:p w14:paraId="7E73774E" w14:textId="77777777" w:rsidR="0058789F" w:rsidRPr="0002429B" w:rsidRDefault="0058789F" w:rsidP="00AD1066">
            <w:pPr>
              <w:pStyle w:val="TableBodyText"/>
            </w:pPr>
            <w:r>
              <w:t>Total r</w:t>
            </w:r>
            <w:r w:rsidRPr="00443438">
              <w:t>emuneration of auditors</w:t>
            </w:r>
          </w:p>
        </w:tc>
        <w:tc>
          <w:tcPr>
            <w:tcW w:w="1193" w:type="pct"/>
            <w:tcBorders>
              <w:top w:val="dotted" w:sz="4" w:space="0" w:color="auto"/>
            </w:tcBorders>
            <w:shd w:val="clear" w:color="auto" w:fill="F2F2F2" w:themeFill="background1" w:themeFillShade="F2"/>
            <w:noWrap/>
          </w:tcPr>
          <w:p w14:paraId="2EB4F32F" w14:textId="77777777" w:rsidR="0058789F" w:rsidRPr="002013D6" w:rsidRDefault="0058789F" w:rsidP="00AD1066">
            <w:pPr>
              <w:pStyle w:val="TableBodyTextrightalign"/>
            </w:pPr>
            <w:r>
              <w:t>45</w:t>
            </w:r>
          </w:p>
        </w:tc>
        <w:tc>
          <w:tcPr>
            <w:tcW w:w="1579" w:type="pct"/>
            <w:tcBorders>
              <w:top w:val="dotted" w:sz="4" w:space="0" w:color="auto"/>
            </w:tcBorders>
            <w:noWrap/>
            <w:hideMark/>
          </w:tcPr>
          <w:p w14:paraId="6EE21D3A" w14:textId="77777777" w:rsidR="0058789F" w:rsidRPr="002013D6" w:rsidRDefault="0058789F" w:rsidP="00AD1066">
            <w:pPr>
              <w:pStyle w:val="TableBodyTextrightalign"/>
            </w:pPr>
            <w:r>
              <w:t>38</w:t>
            </w:r>
          </w:p>
        </w:tc>
      </w:tr>
    </w:tbl>
    <w:p w14:paraId="4781B72E" w14:textId="2727D7A2" w:rsidR="0058789F" w:rsidRPr="00E40F27" w:rsidRDefault="00465B9C" w:rsidP="0058789F">
      <w:pPr>
        <w:pStyle w:val="TableNote"/>
      </w:pPr>
      <w:bookmarkStart w:id="211" w:name="_Ref120785548"/>
      <w:r>
        <w:t>Notes</w:t>
      </w:r>
    </w:p>
    <w:p w14:paraId="52501E11" w14:textId="6C20D4DE" w:rsidR="0058789F" w:rsidRPr="005C634F" w:rsidRDefault="0058789F" w:rsidP="005C634F">
      <w:pPr>
        <w:pStyle w:val="TableNote"/>
      </w:pPr>
      <w:r w:rsidRPr="009D3814">
        <w:rPr>
          <w:rStyle w:val="Charactersuperscript"/>
        </w:rPr>
        <w:t>(a)</w:t>
      </w:r>
      <w:r w:rsidRPr="005C634F">
        <w:t xml:space="preserve"> The 2022 auditors remuneration has been reinstated. </w:t>
      </w:r>
    </w:p>
    <w:p w14:paraId="669E4545" w14:textId="77777777" w:rsidR="0058789F" w:rsidRDefault="0058789F" w:rsidP="00CE2908">
      <w:pPr>
        <w:pStyle w:val="NotesHeading2"/>
      </w:pPr>
      <w:bookmarkStart w:id="212" w:name="_Ref145081266"/>
      <w:r w:rsidRPr="00BD3583">
        <w:t xml:space="preserve">Related </w:t>
      </w:r>
      <w:r w:rsidRPr="00CE2908">
        <w:t>parties</w:t>
      </w:r>
      <w:bookmarkEnd w:id="210"/>
      <w:bookmarkEnd w:id="211"/>
      <w:bookmarkEnd w:id="212"/>
    </w:p>
    <w:p w14:paraId="60D452C3" w14:textId="77777777" w:rsidR="0058789F" w:rsidRPr="00115BF8" w:rsidRDefault="0058789F" w:rsidP="0058789F">
      <w:pPr>
        <w:pStyle w:val="BodyText"/>
      </w:pPr>
      <w:r w:rsidRPr="00115BF8">
        <w:t>IBAC is a wholly owned and controlled entity of the State of Victoria. Related parties of IBAC include all:</w:t>
      </w:r>
    </w:p>
    <w:p w14:paraId="4C77F5DB" w14:textId="77777777" w:rsidR="0058789F" w:rsidRPr="00115BF8" w:rsidRDefault="0058789F" w:rsidP="0058789F">
      <w:pPr>
        <w:pStyle w:val="ListBullet"/>
        <w:ind w:left="357" w:hanging="357"/>
      </w:pPr>
      <w:r w:rsidRPr="00115BF8">
        <w:t>key management personnel and their close family members and personal business interests (controlled entities, joint ventures and entities they have significant influence over)</w:t>
      </w:r>
    </w:p>
    <w:p w14:paraId="311FA56E" w14:textId="2344049B" w:rsidR="0058789F" w:rsidRPr="00115BF8" w:rsidRDefault="008C2F79" w:rsidP="0058789F">
      <w:pPr>
        <w:pStyle w:val="ListBullet"/>
        <w:ind w:left="357" w:hanging="357"/>
      </w:pPr>
      <w:r>
        <w:t>C</w:t>
      </w:r>
      <w:r w:rsidR="0058789F" w:rsidRPr="00115BF8">
        <w:t>abinet ministers and their close family members</w:t>
      </w:r>
    </w:p>
    <w:p w14:paraId="261A42C1" w14:textId="77777777" w:rsidR="0058789F" w:rsidRPr="00115BF8" w:rsidRDefault="0058789F" w:rsidP="0058789F">
      <w:pPr>
        <w:pStyle w:val="ListBullet"/>
        <w:ind w:left="357" w:hanging="357"/>
      </w:pPr>
      <w:r w:rsidRPr="00115BF8">
        <w:t>departments and public sector entities that are controlled and consolidated into the whole</w:t>
      </w:r>
      <w:r>
        <w:t>-</w:t>
      </w:r>
      <w:r w:rsidRPr="00115BF8">
        <w:t>of</w:t>
      </w:r>
      <w:r>
        <w:t>-</w:t>
      </w:r>
      <w:r w:rsidRPr="00115BF8">
        <w:t>state consolidated financial statements.</w:t>
      </w:r>
    </w:p>
    <w:p w14:paraId="587FBF20" w14:textId="77777777" w:rsidR="0058789F" w:rsidRPr="00115BF8" w:rsidRDefault="0058789F" w:rsidP="0058789F">
      <w:pPr>
        <w:pStyle w:val="BodyText"/>
      </w:pPr>
      <w:r w:rsidRPr="00115BF8">
        <w:t>All related party transactions have been entered into on an arm’s length basis.</w:t>
      </w:r>
    </w:p>
    <w:p w14:paraId="37D426BC" w14:textId="5C96B453" w:rsidR="0058789F" w:rsidRPr="00115BF8" w:rsidRDefault="0058789F" w:rsidP="0058789F">
      <w:pPr>
        <w:pStyle w:val="BodyText"/>
      </w:pPr>
      <w:r w:rsidRPr="00115BF8">
        <w:t xml:space="preserve">Key management personnel of IBAC includes the Attorney-General, the Commissioner and the </w:t>
      </w:r>
      <w:r w:rsidR="00526994">
        <w:t>CEO</w:t>
      </w:r>
      <w:r w:rsidRPr="00115BF8">
        <w:t xml:space="preserve"> The compensation detailed in the following table excludes the salaries and benefits the Attorney-General receives. The Attorney-General’s remuneration and allowances </w:t>
      </w:r>
      <w:r>
        <w:t>are</w:t>
      </w:r>
      <w:r w:rsidRPr="00115BF8">
        <w:t xml:space="preserve"> set by the </w:t>
      </w:r>
      <w:r w:rsidRPr="00115BF8">
        <w:rPr>
          <w:rStyle w:val="Characteritalic"/>
        </w:rPr>
        <w:t xml:space="preserve">Parliamentary Salaries and Superannuation Act 1968 </w:t>
      </w:r>
      <w:r w:rsidR="00526994" w:rsidRPr="007E78B5">
        <w:t xml:space="preserve">(Vic) </w:t>
      </w:r>
      <w:r w:rsidRPr="00115BF8">
        <w:t xml:space="preserve">and </w:t>
      </w:r>
      <w:r>
        <w:t xml:space="preserve">information is reported </w:t>
      </w:r>
      <w:r w:rsidRPr="00115BF8">
        <w:t xml:space="preserve">within the </w:t>
      </w:r>
      <w:r>
        <w:t>2022/23 Financial Report for the State of Victoria.</w:t>
      </w:r>
    </w:p>
    <w:p w14:paraId="60DEDAA7" w14:textId="77777777" w:rsidR="0058789F" w:rsidRDefault="0058789F" w:rsidP="0058789F">
      <w:pPr>
        <w:pStyle w:val="Caption"/>
      </w:pPr>
      <w:r w:rsidRPr="001521C1">
        <w:t>Compensation of key management personnel</w:t>
      </w:r>
    </w:p>
    <w:tbl>
      <w:tblPr>
        <w:tblStyle w:val="CustomTabledetailed"/>
        <w:tblW w:w="5000" w:type="pct"/>
        <w:tblLook w:val="0660" w:firstRow="1" w:lastRow="1" w:firstColumn="0" w:lastColumn="0" w:noHBand="1" w:noVBand="1"/>
      </w:tblPr>
      <w:tblGrid>
        <w:gridCol w:w="4133"/>
        <w:gridCol w:w="2447"/>
        <w:gridCol w:w="2447"/>
      </w:tblGrid>
      <w:tr w:rsidR="0058789F" w:rsidRPr="00586377" w14:paraId="1C343CEC"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0" w:type="pct"/>
            <w:noWrap/>
            <w:hideMark/>
          </w:tcPr>
          <w:p w14:paraId="60772922" w14:textId="77777777" w:rsidR="0058789F" w:rsidRPr="00586377" w:rsidRDefault="0058789F" w:rsidP="00AD1066">
            <w:pPr>
              <w:pStyle w:val="TableBodyText"/>
            </w:pPr>
            <w:bookmarkStart w:id="213" w:name="OLE_LINK22"/>
            <w:bookmarkStart w:id="214" w:name="OLE_LINK23"/>
          </w:p>
        </w:tc>
        <w:tc>
          <w:tcPr>
            <w:tcW w:w="0" w:type="pct"/>
            <w:noWrap/>
            <w:hideMark/>
          </w:tcPr>
          <w:p w14:paraId="5671EFD7" w14:textId="77777777" w:rsidR="0058789F" w:rsidRDefault="0058789F" w:rsidP="00AD1066">
            <w:pPr>
              <w:pStyle w:val="TableHeading3rightalign"/>
            </w:pPr>
            <w:r w:rsidRPr="000B397C">
              <w:t>202</w:t>
            </w:r>
            <w:r>
              <w:t>3</w:t>
            </w:r>
          </w:p>
          <w:p w14:paraId="6C0AF9EC" w14:textId="77777777" w:rsidR="0058789F" w:rsidRPr="00586377" w:rsidRDefault="0058789F" w:rsidP="00AD1066">
            <w:pPr>
              <w:pStyle w:val="TableHeading3rightalign"/>
            </w:pPr>
            <w:r>
              <w:t>(</w:t>
            </w:r>
            <w:r w:rsidRPr="009E0746">
              <w:t>$’000</w:t>
            </w:r>
            <w:r>
              <w:t>)</w:t>
            </w:r>
          </w:p>
        </w:tc>
        <w:tc>
          <w:tcPr>
            <w:tcW w:w="0" w:type="pct"/>
            <w:noWrap/>
            <w:hideMark/>
          </w:tcPr>
          <w:p w14:paraId="7C22C55F" w14:textId="77777777" w:rsidR="0058789F" w:rsidRDefault="0058789F" w:rsidP="00AD1066">
            <w:pPr>
              <w:pStyle w:val="TableHeading3rightalign"/>
            </w:pPr>
            <w:r w:rsidRPr="000B397C">
              <w:t>202</w:t>
            </w:r>
            <w:r>
              <w:t>2</w:t>
            </w:r>
          </w:p>
          <w:p w14:paraId="5CFACA6A" w14:textId="77777777" w:rsidR="0058789F" w:rsidRPr="00586377" w:rsidRDefault="0058789F" w:rsidP="00AD1066">
            <w:pPr>
              <w:pStyle w:val="TableHeading3rightalign"/>
            </w:pPr>
            <w:r>
              <w:t>(</w:t>
            </w:r>
            <w:r w:rsidRPr="009E0746">
              <w:t>$’000</w:t>
            </w:r>
            <w:r>
              <w:t>)</w:t>
            </w:r>
          </w:p>
        </w:tc>
      </w:tr>
      <w:tr w:rsidR="0058789F" w:rsidRPr="00586377" w14:paraId="16C7D925" w14:textId="77777777" w:rsidTr="00AD1066">
        <w:trPr>
          <w:trHeight w:val="255"/>
        </w:trPr>
        <w:tc>
          <w:tcPr>
            <w:tcW w:w="0" w:type="pct"/>
            <w:gridSpan w:val="3"/>
            <w:noWrap/>
            <w:hideMark/>
          </w:tcPr>
          <w:p w14:paraId="1B11D93E" w14:textId="77777777" w:rsidR="0058789F" w:rsidRPr="00586377" w:rsidRDefault="0058789F" w:rsidP="00AD1066">
            <w:pPr>
              <w:pStyle w:val="TableBodyTextsmall"/>
            </w:pPr>
          </w:p>
        </w:tc>
      </w:tr>
      <w:tr w:rsidR="0058789F" w:rsidRPr="00586377" w14:paraId="1EE18E1C" w14:textId="77777777" w:rsidTr="00AD1066">
        <w:trPr>
          <w:trHeight w:val="255"/>
        </w:trPr>
        <w:tc>
          <w:tcPr>
            <w:tcW w:w="0" w:type="pct"/>
            <w:noWrap/>
            <w:hideMark/>
          </w:tcPr>
          <w:p w14:paraId="0BE22E12" w14:textId="77777777" w:rsidR="0058789F" w:rsidRPr="00586377" w:rsidRDefault="0058789F" w:rsidP="00AD1066">
            <w:pPr>
              <w:pStyle w:val="TableBodyText"/>
            </w:pPr>
            <w:r w:rsidRPr="00586377">
              <w:t>Short-term employee benefits</w:t>
            </w:r>
          </w:p>
        </w:tc>
        <w:tc>
          <w:tcPr>
            <w:tcW w:w="0" w:type="pct"/>
            <w:shd w:val="clear" w:color="auto" w:fill="F2F2F2" w:themeFill="background1" w:themeFillShade="F2"/>
            <w:noWrap/>
          </w:tcPr>
          <w:p w14:paraId="7F0E22E8" w14:textId="77777777" w:rsidR="0058789F" w:rsidRPr="00FD60B6" w:rsidRDefault="0058789F" w:rsidP="00AD1066">
            <w:pPr>
              <w:pStyle w:val="TableBodyTextrightalign"/>
            </w:pPr>
            <w:r>
              <w:t>814</w:t>
            </w:r>
          </w:p>
        </w:tc>
        <w:tc>
          <w:tcPr>
            <w:tcW w:w="0" w:type="pct"/>
            <w:noWrap/>
            <w:hideMark/>
          </w:tcPr>
          <w:p w14:paraId="5C5E0B3A" w14:textId="77777777" w:rsidR="0058789F" w:rsidRPr="00586377" w:rsidRDefault="0058789F" w:rsidP="00AD1066">
            <w:pPr>
              <w:pStyle w:val="TableBodyTextrightalign"/>
            </w:pPr>
            <w:r>
              <w:t>593</w:t>
            </w:r>
          </w:p>
        </w:tc>
      </w:tr>
      <w:tr w:rsidR="0058789F" w:rsidRPr="00586377" w14:paraId="11C1C196" w14:textId="77777777" w:rsidTr="00AD1066">
        <w:trPr>
          <w:trHeight w:val="255"/>
        </w:trPr>
        <w:tc>
          <w:tcPr>
            <w:tcW w:w="0" w:type="pct"/>
            <w:noWrap/>
            <w:hideMark/>
          </w:tcPr>
          <w:p w14:paraId="4E157A13" w14:textId="77777777" w:rsidR="0058789F" w:rsidRPr="00586377" w:rsidRDefault="0058789F" w:rsidP="00AD1066">
            <w:pPr>
              <w:pStyle w:val="TableBodyText"/>
            </w:pPr>
            <w:r w:rsidRPr="00586377">
              <w:t>Post-employment benefits</w:t>
            </w:r>
          </w:p>
        </w:tc>
        <w:tc>
          <w:tcPr>
            <w:tcW w:w="0" w:type="pct"/>
            <w:shd w:val="clear" w:color="auto" w:fill="F2F2F2" w:themeFill="background1" w:themeFillShade="F2"/>
            <w:noWrap/>
          </w:tcPr>
          <w:p w14:paraId="28F903B2" w14:textId="77777777" w:rsidR="0058789F" w:rsidRPr="00FD60B6" w:rsidRDefault="0058789F" w:rsidP="00AD1066">
            <w:pPr>
              <w:pStyle w:val="TableBodyTextrightalign"/>
            </w:pPr>
            <w:r>
              <w:t>39</w:t>
            </w:r>
          </w:p>
        </w:tc>
        <w:tc>
          <w:tcPr>
            <w:tcW w:w="0" w:type="pct"/>
            <w:noWrap/>
            <w:hideMark/>
          </w:tcPr>
          <w:p w14:paraId="740F8081" w14:textId="77777777" w:rsidR="0058789F" w:rsidRPr="00586377" w:rsidRDefault="0058789F" w:rsidP="00AD1066">
            <w:pPr>
              <w:pStyle w:val="TableBodyTextrightalign"/>
            </w:pPr>
            <w:r>
              <w:t>24</w:t>
            </w:r>
          </w:p>
        </w:tc>
      </w:tr>
      <w:tr w:rsidR="0058789F" w:rsidRPr="00586377" w14:paraId="26DEACD8" w14:textId="77777777" w:rsidTr="00AD1066">
        <w:trPr>
          <w:trHeight w:val="255"/>
        </w:trPr>
        <w:tc>
          <w:tcPr>
            <w:tcW w:w="0" w:type="pct"/>
            <w:tcBorders>
              <w:bottom w:val="dotted" w:sz="4" w:space="0" w:color="auto"/>
            </w:tcBorders>
            <w:noWrap/>
            <w:hideMark/>
          </w:tcPr>
          <w:p w14:paraId="512C608C" w14:textId="77777777" w:rsidR="0058789F" w:rsidRPr="00586377" w:rsidRDefault="0058789F" w:rsidP="00AD1066">
            <w:pPr>
              <w:pStyle w:val="TableBodyText"/>
            </w:pPr>
            <w:r w:rsidRPr="00586377">
              <w:t>Other long-term benefits</w:t>
            </w:r>
          </w:p>
        </w:tc>
        <w:tc>
          <w:tcPr>
            <w:tcW w:w="0" w:type="pct"/>
            <w:tcBorders>
              <w:bottom w:val="dotted" w:sz="4" w:space="0" w:color="auto"/>
            </w:tcBorders>
            <w:shd w:val="clear" w:color="auto" w:fill="F2F2F2" w:themeFill="background1" w:themeFillShade="F2"/>
            <w:noWrap/>
          </w:tcPr>
          <w:p w14:paraId="2E80B885" w14:textId="77777777" w:rsidR="0058789F" w:rsidRPr="00FD60B6" w:rsidRDefault="0058789F" w:rsidP="00AD1066">
            <w:pPr>
              <w:pStyle w:val="TableBodyTextrightalign"/>
            </w:pPr>
            <w:r>
              <w:t>15</w:t>
            </w:r>
          </w:p>
        </w:tc>
        <w:tc>
          <w:tcPr>
            <w:tcW w:w="0" w:type="pct"/>
            <w:tcBorders>
              <w:bottom w:val="dotted" w:sz="4" w:space="0" w:color="auto"/>
            </w:tcBorders>
            <w:noWrap/>
            <w:hideMark/>
          </w:tcPr>
          <w:p w14:paraId="1B33A21B" w14:textId="77777777" w:rsidR="0058789F" w:rsidRPr="00586377" w:rsidRDefault="0058789F" w:rsidP="00AD1066">
            <w:pPr>
              <w:pStyle w:val="TableBodyTextrightalign"/>
            </w:pPr>
            <w:r w:rsidRPr="00FD60B6">
              <w:t>10</w:t>
            </w:r>
          </w:p>
        </w:tc>
      </w:tr>
      <w:tr w:rsidR="0058789F" w:rsidRPr="0013610E" w14:paraId="5357659A" w14:textId="77777777" w:rsidTr="00AD1066">
        <w:trPr>
          <w:trHeight w:val="255"/>
        </w:trPr>
        <w:tc>
          <w:tcPr>
            <w:tcW w:w="0" w:type="pct"/>
            <w:tcBorders>
              <w:top w:val="dotted" w:sz="4" w:space="0" w:color="auto"/>
              <w:bottom w:val="dotted" w:sz="4" w:space="0" w:color="auto"/>
            </w:tcBorders>
            <w:noWrap/>
          </w:tcPr>
          <w:p w14:paraId="47999570" w14:textId="77777777" w:rsidR="0058789F" w:rsidRPr="00586377" w:rsidRDefault="0058789F" w:rsidP="00AD1066">
            <w:pPr>
              <w:pStyle w:val="TableBodyText"/>
            </w:pPr>
            <w:r w:rsidRPr="00586377">
              <w:t>Termination benefits</w:t>
            </w:r>
          </w:p>
        </w:tc>
        <w:tc>
          <w:tcPr>
            <w:tcW w:w="0" w:type="pct"/>
            <w:tcBorders>
              <w:top w:val="dotted" w:sz="4" w:space="0" w:color="auto"/>
              <w:bottom w:val="dotted" w:sz="4" w:space="0" w:color="auto"/>
            </w:tcBorders>
            <w:shd w:val="clear" w:color="auto" w:fill="F2F2F2" w:themeFill="background1" w:themeFillShade="F2"/>
            <w:noWrap/>
          </w:tcPr>
          <w:p w14:paraId="6A06C1A7" w14:textId="77777777" w:rsidR="0058789F" w:rsidRPr="00FD60B6" w:rsidRDefault="0058789F" w:rsidP="00AD1066">
            <w:pPr>
              <w:pStyle w:val="TableBodyTextrightalign"/>
            </w:pPr>
            <w:r w:rsidRPr="00FD60B6">
              <w:t>–</w:t>
            </w:r>
          </w:p>
        </w:tc>
        <w:tc>
          <w:tcPr>
            <w:tcW w:w="0" w:type="pct"/>
            <w:tcBorders>
              <w:top w:val="dotted" w:sz="4" w:space="0" w:color="auto"/>
              <w:bottom w:val="dotted" w:sz="4" w:space="0" w:color="auto"/>
            </w:tcBorders>
            <w:noWrap/>
          </w:tcPr>
          <w:p w14:paraId="204006F3" w14:textId="77777777" w:rsidR="0058789F" w:rsidRPr="00586377" w:rsidRDefault="0058789F" w:rsidP="00AD1066">
            <w:pPr>
              <w:pStyle w:val="TableBodyTextrightalign"/>
            </w:pPr>
            <w:r w:rsidRPr="00FD60B6">
              <w:t>–</w:t>
            </w:r>
          </w:p>
        </w:tc>
      </w:tr>
      <w:tr w:rsidR="0058789F" w:rsidRPr="00586377" w14:paraId="29760C92" w14:textId="77777777" w:rsidTr="00AD1066">
        <w:trPr>
          <w:cnfStyle w:val="010000000000" w:firstRow="0" w:lastRow="1" w:firstColumn="0" w:lastColumn="0" w:oddVBand="0" w:evenVBand="0" w:oddHBand="0" w:evenHBand="0" w:firstRowFirstColumn="0" w:firstRowLastColumn="0" w:lastRowFirstColumn="0" w:lastRowLastColumn="0"/>
          <w:trHeight w:val="255"/>
        </w:trPr>
        <w:tc>
          <w:tcPr>
            <w:tcW w:w="0" w:type="pct"/>
            <w:tcBorders>
              <w:top w:val="dotted" w:sz="4" w:space="0" w:color="auto"/>
            </w:tcBorders>
            <w:noWrap/>
            <w:hideMark/>
          </w:tcPr>
          <w:p w14:paraId="5AE1B02B" w14:textId="77777777" w:rsidR="0058789F" w:rsidRPr="00586377" w:rsidRDefault="0058789F" w:rsidP="00AD1066">
            <w:pPr>
              <w:pStyle w:val="TableBodyText"/>
            </w:pPr>
            <w:r w:rsidRPr="00586377">
              <w:t>Total remuneration</w:t>
            </w:r>
          </w:p>
        </w:tc>
        <w:tc>
          <w:tcPr>
            <w:tcW w:w="0" w:type="pct"/>
            <w:tcBorders>
              <w:top w:val="dotted" w:sz="4" w:space="0" w:color="auto"/>
            </w:tcBorders>
            <w:shd w:val="clear" w:color="auto" w:fill="F2F2F2" w:themeFill="background1" w:themeFillShade="F2"/>
            <w:noWrap/>
          </w:tcPr>
          <w:p w14:paraId="1F3038B1" w14:textId="77777777" w:rsidR="0058789F" w:rsidRPr="00FD60B6" w:rsidRDefault="0058789F" w:rsidP="00AD1066">
            <w:pPr>
              <w:pStyle w:val="TableBodyTextrightalign"/>
            </w:pPr>
            <w:r>
              <w:t>867</w:t>
            </w:r>
          </w:p>
        </w:tc>
        <w:tc>
          <w:tcPr>
            <w:tcW w:w="0" w:type="pct"/>
            <w:tcBorders>
              <w:top w:val="dotted" w:sz="4" w:space="0" w:color="auto"/>
            </w:tcBorders>
            <w:noWrap/>
            <w:hideMark/>
          </w:tcPr>
          <w:p w14:paraId="17FB9454" w14:textId="77777777" w:rsidR="0058789F" w:rsidRPr="00586377" w:rsidRDefault="0058789F" w:rsidP="00AD1066">
            <w:pPr>
              <w:pStyle w:val="TableBodyTextrightalign"/>
            </w:pPr>
            <w:r>
              <w:t>627</w:t>
            </w:r>
          </w:p>
        </w:tc>
      </w:tr>
    </w:tbl>
    <w:bookmarkEnd w:id="213"/>
    <w:bookmarkEnd w:id="214"/>
    <w:p w14:paraId="30CCFD67" w14:textId="67A316E1" w:rsidR="0058789F" w:rsidRPr="00890E77" w:rsidRDefault="0058789F" w:rsidP="0058789F">
      <w:pPr>
        <w:pStyle w:val="Heading5"/>
      </w:pPr>
      <w:r w:rsidRPr="00890E77">
        <w:t>Transactions with key management personnel and other related parties</w:t>
      </w:r>
    </w:p>
    <w:p w14:paraId="43223362" w14:textId="77777777" w:rsidR="0058789F" w:rsidRDefault="0058789F" w:rsidP="0058789F">
      <w:pPr>
        <w:pStyle w:val="BodyText"/>
      </w:pPr>
      <w:r w:rsidRPr="00890E77">
        <w:t xml:space="preserve">Given the breadth and depth of </w:t>
      </w:r>
      <w:r>
        <w:t>s</w:t>
      </w:r>
      <w:r w:rsidRPr="00890E77">
        <w:t xml:space="preserve">tate government activities, related parties transact with the Victorian public sector in a manner consistent with other members of the public </w:t>
      </w:r>
      <w:r>
        <w:t xml:space="preserve">(for example, </w:t>
      </w:r>
      <w:r w:rsidRPr="00890E77">
        <w:t>by paying stamp duty and other government fees and charges</w:t>
      </w:r>
      <w:r>
        <w:t>)</w:t>
      </w:r>
      <w:r w:rsidRPr="00890E77">
        <w:t xml:space="preserve">. </w:t>
      </w:r>
    </w:p>
    <w:p w14:paraId="1219FDB6" w14:textId="4F1A0AC2" w:rsidR="0058789F" w:rsidRPr="00890E77" w:rsidRDefault="0058789F" w:rsidP="0058789F">
      <w:pPr>
        <w:pStyle w:val="BodyText"/>
      </w:pPr>
      <w:r w:rsidRPr="00890E77">
        <w:t xml:space="preserve">Further employment processes within the Victorian public sector occur on terms and conditions consistent with the </w:t>
      </w:r>
      <w:r w:rsidRPr="00835087">
        <w:rPr>
          <w:rStyle w:val="Characteritalic"/>
        </w:rPr>
        <w:t>Public Administration Act 2004</w:t>
      </w:r>
      <w:r w:rsidRPr="00890E77">
        <w:t xml:space="preserve"> </w:t>
      </w:r>
      <w:r w:rsidR="00E2554F">
        <w:t xml:space="preserve">(Vic) </w:t>
      </w:r>
      <w:r w:rsidRPr="00890E77">
        <w:t>and Codes of Conduct and Standards issued by the Victorian Public Sector Commission. Procurement processes occur on terms and conditions consistent with the Victorian Government Procurement Board requirements.</w:t>
      </w:r>
    </w:p>
    <w:p w14:paraId="0A26F10F" w14:textId="77777777" w:rsidR="0058789F" w:rsidRDefault="0058789F" w:rsidP="0058789F">
      <w:pPr>
        <w:pStyle w:val="BodyText"/>
      </w:pPr>
      <w:r w:rsidRPr="00890E77">
        <w:t>Outside of normal citizen</w:t>
      </w:r>
      <w:r>
        <w:t>-</w:t>
      </w:r>
      <w:r w:rsidRPr="00890E77">
        <w:t>type transactions with IBAC, there were no related party transactions that involved key management personnel, their close family members and their personal business interests. No provision has been required, nor any expense recognised, for impairment of receivables from related parties.</w:t>
      </w:r>
    </w:p>
    <w:p w14:paraId="12FA79EF" w14:textId="77777777" w:rsidR="0058789F" w:rsidRDefault="0058789F" w:rsidP="00C033EE">
      <w:pPr>
        <w:pStyle w:val="NotesHeading2"/>
      </w:pPr>
      <w:bookmarkStart w:id="215" w:name="_Ref120714818"/>
      <w:bookmarkStart w:id="216" w:name="_Ref149164183"/>
      <w:r w:rsidRPr="00890E77">
        <w:t xml:space="preserve">Non-financial </w:t>
      </w:r>
      <w:r w:rsidRPr="00C033EE">
        <w:t>physical</w:t>
      </w:r>
      <w:r w:rsidRPr="00890E77">
        <w:t xml:space="preserve"> assets held for </w:t>
      </w:r>
      <w:bookmarkEnd w:id="215"/>
      <w:r w:rsidRPr="00890E77">
        <w:t>sale</w:t>
      </w:r>
      <w:bookmarkEnd w:id="216"/>
    </w:p>
    <w:tbl>
      <w:tblPr>
        <w:tblStyle w:val="CustomTabledetailed"/>
        <w:tblW w:w="9168" w:type="dxa"/>
        <w:tblLayout w:type="fixed"/>
        <w:tblLook w:val="0660" w:firstRow="1" w:lastRow="1" w:firstColumn="0" w:lastColumn="0" w:noHBand="1" w:noVBand="1"/>
      </w:tblPr>
      <w:tblGrid>
        <w:gridCol w:w="3969"/>
        <w:gridCol w:w="2599"/>
        <w:gridCol w:w="2600"/>
      </w:tblGrid>
      <w:tr w:rsidR="0058789F" w:rsidRPr="00890E77" w14:paraId="69E1E9E8" w14:textId="77777777" w:rsidTr="00AD1066">
        <w:trPr>
          <w:cnfStyle w:val="100000000000" w:firstRow="1" w:lastRow="0" w:firstColumn="0" w:lastColumn="0" w:oddVBand="0" w:evenVBand="0" w:oddHBand="0" w:evenHBand="0" w:firstRowFirstColumn="0" w:firstRowLastColumn="0" w:lastRowFirstColumn="0" w:lastRowLastColumn="0"/>
          <w:trHeight w:val="255"/>
        </w:trPr>
        <w:tc>
          <w:tcPr>
            <w:tcW w:w="3969" w:type="dxa"/>
            <w:noWrap/>
            <w:hideMark/>
          </w:tcPr>
          <w:p w14:paraId="2E24831E" w14:textId="77777777" w:rsidR="0058789F" w:rsidRPr="001610F6" w:rsidRDefault="0058789F" w:rsidP="00ED79A2">
            <w:pPr>
              <w:pStyle w:val="TableHeading1"/>
            </w:pPr>
            <w:r w:rsidRPr="72087732">
              <w:t> </w:t>
            </w:r>
          </w:p>
        </w:tc>
        <w:tc>
          <w:tcPr>
            <w:tcW w:w="2599" w:type="dxa"/>
            <w:noWrap/>
            <w:hideMark/>
          </w:tcPr>
          <w:p w14:paraId="49C6DFB4" w14:textId="77777777" w:rsidR="0058789F" w:rsidRDefault="0058789F" w:rsidP="00AD1066">
            <w:pPr>
              <w:pStyle w:val="TableHeading3rightalign"/>
            </w:pPr>
            <w:r w:rsidRPr="000B397C">
              <w:t>202</w:t>
            </w:r>
            <w:r>
              <w:t>3</w:t>
            </w:r>
          </w:p>
          <w:p w14:paraId="6D80D301" w14:textId="77777777" w:rsidR="0058789F" w:rsidRPr="00890E77" w:rsidRDefault="0058789F" w:rsidP="00AD1066">
            <w:pPr>
              <w:pStyle w:val="TableHeading3rightalign"/>
              <w:rPr>
                <w:color w:val="000000"/>
                <w:sz w:val="20"/>
                <w:lang w:eastAsia="en-AU"/>
              </w:rPr>
            </w:pPr>
            <w:r>
              <w:t>(</w:t>
            </w:r>
            <w:r w:rsidRPr="009E0746">
              <w:t>$’000</w:t>
            </w:r>
            <w:r>
              <w:t>)</w:t>
            </w:r>
          </w:p>
        </w:tc>
        <w:tc>
          <w:tcPr>
            <w:tcW w:w="2600" w:type="dxa"/>
            <w:noWrap/>
            <w:hideMark/>
          </w:tcPr>
          <w:p w14:paraId="022BCCAC" w14:textId="77777777" w:rsidR="0058789F" w:rsidRDefault="0058789F" w:rsidP="00AD1066">
            <w:pPr>
              <w:pStyle w:val="TableHeading3rightalign"/>
            </w:pPr>
            <w:r w:rsidRPr="000B397C">
              <w:t>202</w:t>
            </w:r>
            <w:r>
              <w:t>2</w:t>
            </w:r>
          </w:p>
          <w:p w14:paraId="655786F9" w14:textId="77777777" w:rsidR="0058789F" w:rsidRPr="00890E77" w:rsidRDefault="0058789F" w:rsidP="00AD1066">
            <w:pPr>
              <w:pStyle w:val="TableHeading3rightalign"/>
              <w:rPr>
                <w:color w:val="000000"/>
                <w:sz w:val="20"/>
                <w:lang w:eastAsia="en-AU"/>
              </w:rPr>
            </w:pPr>
            <w:r>
              <w:t>(</w:t>
            </w:r>
            <w:r w:rsidRPr="009E0746">
              <w:t>$’000</w:t>
            </w:r>
            <w:r>
              <w:t>)</w:t>
            </w:r>
          </w:p>
        </w:tc>
      </w:tr>
      <w:tr w:rsidR="0058789F" w:rsidRPr="00890E77" w14:paraId="4FA12926" w14:textId="77777777" w:rsidTr="00AD1066">
        <w:trPr>
          <w:trHeight w:val="113"/>
        </w:trPr>
        <w:tc>
          <w:tcPr>
            <w:tcW w:w="9168" w:type="dxa"/>
            <w:gridSpan w:val="3"/>
            <w:noWrap/>
            <w:hideMark/>
          </w:tcPr>
          <w:p w14:paraId="1AD745E5" w14:textId="77777777" w:rsidR="0058789F" w:rsidRPr="00026D90" w:rsidRDefault="0058789F" w:rsidP="00AD1066">
            <w:pPr>
              <w:pStyle w:val="TableBodyTextsmall"/>
            </w:pPr>
            <w:r>
              <w:t xml:space="preserve"> </w:t>
            </w:r>
          </w:p>
        </w:tc>
      </w:tr>
      <w:tr w:rsidR="0058789F" w:rsidRPr="00890E77" w14:paraId="40CC681D" w14:textId="77777777" w:rsidTr="00AD1066">
        <w:trPr>
          <w:trHeight w:val="255"/>
        </w:trPr>
        <w:tc>
          <w:tcPr>
            <w:tcW w:w="3969" w:type="dxa"/>
            <w:noWrap/>
            <w:hideMark/>
          </w:tcPr>
          <w:p w14:paraId="74B4712A" w14:textId="77777777" w:rsidR="0058789F" w:rsidRPr="00026D90" w:rsidRDefault="0058789F" w:rsidP="00AD1066">
            <w:pPr>
              <w:pStyle w:val="TableBodyText"/>
            </w:pPr>
            <w:r w:rsidRPr="00026D90">
              <w:t>Motor vehicles under finance leases held for sale</w:t>
            </w:r>
          </w:p>
        </w:tc>
        <w:tc>
          <w:tcPr>
            <w:tcW w:w="2599" w:type="dxa"/>
            <w:shd w:val="clear" w:color="auto" w:fill="F2F2F2" w:themeFill="background1" w:themeFillShade="F2"/>
            <w:noWrap/>
          </w:tcPr>
          <w:p w14:paraId="49665AB5" w14:textId="77777777" w:rsidR="0058789F" w:rsidRPr="00026D90" w:rsidRDefault="0058789F" w:rsidP="00AD1066">
            <w:pPr>
              <w:pStyle w:val="TableBodyTextrightalign"/>
            </w:pPr>
            <w:r>
              <w:t>60</w:t>
            </w:r>
          </w:p>
        </w:tc>
        <w:tc>
          <w:tcPr>
            <w:tcW w:w="2600" w:type="dxa"/>
            <w:noWrap/>
            <w:hideMark/>
          </w:tcPr>
          <w:p w14:paraId="76B2B4BB" w14:textId="77777777" w:rsidR="0058789F" w:rsidRPr="00026D90" w:rsidRDefault="0058789F" w:rsidP="00AD1066">
            <w:pPr>
              <w:pStyle w:val="TableBodyTextrightalign"/>
            </w:pPr>
            <w:r>
              <w:t>17</w:t>
            </w:r>
          </w:p>
        </w:tc>
      </w:tr>
      <w:tr w:rsidR="0058789F" w:rsidRPr="00890E77" w14:paraId="30DA130D" w14:textId="77777777" w:rsidTr="00AD1066">
        <w:trPr>
          <w:cnfStyle w:val="010000000000" w:firstRow="0" w:lastRow="1" w:firstColumn="0" w:lastColumn="0" w:oddVBand="0" w:evenVBand="0" w:oddHBand="0" w:evenHBand="0" w:firstRowFirstColumn="0" w:firstRowLastColumn="0" w:lastRowFirstColumn="0" w:lastRowLastColumn="0"/>
          <w:trHeight w:val="270"/>
        </w:trPr>
        <w:tc>
          <w:tcPr>
            <w:tcW w:w="3969" w:type="dxa"/>
            <w:noWrap/>
            <w:hideMark/>
          </w:tcPr>
          <w:p w14:paraId="7CC2F5E0" w14:textId="77777777" w:rsidR="0058789F" w:rsidRPr="00026D90" w:rsidRDefault="0058789F" w:rsidP="00AD1066">
            <w:pPr>
              <w:pStyle w:val="TableBodyText"/>
            </w:pPr>
            <w:r w:rsidRPr="00026D90">
              <w:t>Total non-financial physical assets held for sale</w:t>
            </w:r>
          </w:p>
        </w:tc>
        <w:tc>
          <w:tcPr>
            <w:tcW w:w="2599" w:type="dxa"/>
            <w:shd w:val="clear" w:color="auto" w:fill="F2F2F2" w:themeFill="background1" w:themeFillShade="F2"/>
            <w:noWrap/>
          </w:tcPr>
          <w:p w14:paraId="5E5F8E4E" w14:textId="77777777" w:rsidR="0058789F" w:rsidRPr="00026D90" w:rsidRDefault="0058789F" w:rsidP="00AD1066">
            <w:pPr>
              <w:pStyle w:val="TableBodyTextrightalign"/>
            </w:pPr>
            <w:r>
              <w:t>60</w:t>
            </w:r>
          </w:p>
        </w:tc>
        <w:tc>
          <w:tcPr>
            <w:tcW w:w="2600" w:type="dxa"/>
            <w:noWrap/>
            <w:hideMark/>
          </w:tcPr>
          <w:p w14:paraId="12E330F6" w14:textId="77777777" w:rsidR="0058789F" w:rsidRPr="00026D90" w:rsidRDefault="0058789F" w:rsidP="00AD1066">
            <w:pPr>
              <w:pStyle w:val="TableBodyTextrightalign"/>
            </w:pPr>
            <w:r>
              <w:t>17</w:t>
            </w:r>
          </w:p>
        </w:tc>
      </w:tr>
    </w:tbl>
    <w:p w14:paraId="299D31E7" w14:textId="77777777" w:rsidR="0058789F" w:rsidRPr="00961EBF" w:rsidRDefault="0058789F" w:rsidP="0058789F">
      <w:pPr>
        <w:pStyle w:val="BodyText"/>
      </w:pPr>
      <w:r w:rsidRPr="00961EBF">
        <w:t>Non-financial physical assets are treated as current and classified as held for sale if their carrying amount will be recovered through a sale transaction</w:t>
      </w:r>
      <w:r>
        <w:t>,</w:t>
      </w:r>
      <w:r w:rsidRPr="00961EBF">
        <w:t xml:space="preserve"> rather than through continuing use.</w:t>
      </w:r>
    </w:p>
    <w:p w14:paraId="0E902118" w14:textId="77777777" w:rsidR="0058789F" w:rsidRPr="00961EBF" w:rsidRDefault="0058789F" w:rsidP="0058789F">
      <w:pPr>
        <w:pStyle w:val="BodyText"/>
      </w:pPr>
      <w:r w:rsidRPr="00961EBF">
        <w:t>This condition is regarded as met only when:</w:t>
      </w:r>
    </w:p>
    <w:p w14:paraId="4A5255B5" w14:textId="77777777" w:rsidR="0058789F" w:rsidRPr="00961EBF" w:rsidRDefault="0058789F" w:rsidP="0058789F">
      <w:pPr>
        <w:pStyle w:val="ListBullet"/>
        <w:ind w:left="357" w:hanging="357"/>
      </w:pPr>
      <w:r w:rsidRPr="00961EBF">
        <w:t>the asset is available for immediate use in current condition</w:t>
      </w:r>
    </w:p>
    <w:p w14:paraId="53AEDF3D" w14:textId="77777777" w:rsidR="0058789F" w:rsidRPr="00961EBF" w:rsidRDefault="0058789F" w:rsidP="0058789F">
      <w:pPr>
        <w:pStyle w:val="ListBullet"/>
        <w:ind w:left="357" w:hanging="357"/>
      </w:pPr>
      <w:r w:rsidRPr="00961EBF">
        <w:t>the sale is highly probable, and the asset’s sale is expected to be completed in 12 months from the date of classification.</w:t>
      </w:r>
    </w:p>
    <w:p w14:paraId="76B702DF" w14:textId="77777777" w:rsidR="0058789F" w:rsidRDefault="0058789F" w:rsidP="0058789F">
      <w:pPr>
        <w:pStyle w:val="BodyText"/>
      </w:pPr>
      <w:r w:rsidRPr="00961EBF">
        <w:t>These non-financial physical assets, related liabilities and financial assets are measured at the lower of carrying amount and fair value less costs of disposal</w:t>
      </w:r>
      <w:r>
        <w:t xml:space="preserve"> and</w:t>
      </w:r>
      <w:r w:rsidRPr="00961EBF">
        <w:t xml:space="preserve"> are not subject to depreciation or amortisation.</w:t>
      </w:r>
    </w:p>
    <w:p w14:paraId="65F60B70" w14:textId="77777777" w:rsidR="0058789F" w:rsidRPr="00142976" w:rsidRDefault="0058789F" w:rsidP="00C033EE">
      <w:pPr>
        <w:pStyle w:val="NotesHeading2"/>
      </w:pPr>
      <w:bookmarkStart w:id="217" w:name="_Ref149136658"/>
      <w:bookmarkStart w:id="218" w:name="_Hlk143868352"/>
      <w:r w:rsidRPr="00142976">
        <w:t>Subsequent events</w:t>
      </w:r>
      <w:bookmarkEnd w:id="217"/>
    </w:p>
    <w:p w14:paraId="2B21AD38" w14:textId="4AAD50B5" w:rsidR="0058789F" w:rsidRPr="00CE18B3" w:rsidRDefault="0058789F" w:rsidP="0058789F">
      <w:pPr>
        <w:pStyle w:val="BodyText"/>
      </w:pPr>
      <w:r w:rsidRPr="00300D4A">
        <w:t xml:space="preserve">In July 2023, IBAC signed a conditional five-year accommodation lease commencing in November 2023. </w:t>
      </w:r>
      <w:r>
        <w:t xml:space="preserve">Once the lease </w:t>
      </w:r>
      <w:r w:rsidRPr="00300D4A">
        <w:t xml:space="preserve">condition </w:t>
      </w:r>
      <w:r>
        <w:t>is satisfied and the lease commences</w:t>
      </w:r>
      <w:r w:rsidRPr="00300D4A">
        <w:t xml:space="preserve">, </w:t>
      </w:r>
      <w:r>
        <w:t>it</w:t>
      </w:r>
      <w:r w:rsidRPr="00300D4A">
        <w:t xml:space="preserve"> will be recognised as right-of-use asset and equivalent lease liability. </w:t>
      </w:r>
      <w:r>
        <w:t>The nominal value of the lease is $2.8</w:t>
      </w:r>
      <w:r w:rsidR="001D2EFC">
        <w:t xml:space="preserve"> </w:t>
      </w:r>
      <w:r>
        <w:t>m</w:t>
      </w:r>
      <w:r w:rsidR="001D2EFC">
        <w:t>illion</w:t>
      </w:r>
      <w:r>
        <w:t xml:space="preserve">. </w:t>
      </w:r>
    </w:p>
    <w:bookmarkEnd w:id="218"/>
    <w:p w14:paraId="45FEF58A" w14:textId="77777777" w:rsidR="0058789F" w:rsidRPr="00FC6530" w:rsidRDefault="0058789F" w:rsidP="00C033EE">
      <w:pPr>
        <w:pStyle w:val="NotesHeading2"/>
      </w:pPr>
      <w:r w:rsidRPr="00FC6530">
        <w:t xml:space="preserve">Australian accounting </w:t>
      </w:r>
      <w:r>
        <w:t>s</w:t>
      </w:r>
      <w:r w:rsidRPr="00FC6530">
        <w:t xml:space="preserve">tandards </w:t>
      </w:r>
      <w:r w:rsidRPr="00C033EE">
        <w:t>issued</w:t>
      </w:r>
      <w:r w:rsidRPr="00FC6530">
        <w:t xml:space="preserve"> that are not yet effective</w:t>
      </w:r>
    </w:p>
    <w:p w14:paraId="611E91D0" w14:textId="77777777" w:rsidR="0058789F" w:rsidRDefault="0058789F" w:rsidP="0058789F">
      <w:pPr>
        <w:pStyle w:val="BodyText"/>
        <w:sectPr w:rsidR="0058789F" w:rsidSect="00016908">
          <w:headerReference w:type="even" r:id="rId66"/>
          <w:headerReference w:type="default" r:id="rId67"/>
          <w:headerReference w:type="first" r:id="rId68"/>
          <w:footerReference w:type="first" r:id="rId69"/>
          <w:pgSz w:w="11907" w:h="16839" w:code="9"/>
          <w:pgMar w:top="1440" w:right="1440" w:bottom="1440" w:left="1440" w:header="720" w:footer="720" w:gutter="0"/>
          <w:cols w:space="720"/>
          <w:docGrid w:linePitch="360"/>
        </w:sectPr>
      </w:pPr>
      <w:r w:rsidRPr="00961EBF">
        <w:t>IBAC has assessed the impact of all of the standards that became effective for reporting periods after 30 June 202</w:t>
      </w:r>
      <w:r>
        <w:t>3</w:t>
      </w:r>
      <w:r w:rsidRPr="00961EBF">
        <w:t>. IBAC has not included any standards</w:t>
      </w:r>
      <w:r>
        <w:t>,</w:t>
      </w:r>
      <w:r w:rsidRPr="00961EBF">
        <w:t xml:space="preserve"> as we believe the financial statements will not be significantly impacted.</w:t>
      </w:r>
    </w:p>
    <w:tbl>
      <w:tblPr>
        <w:tblStyle w:val="CustomTablestandard"/>
        <w:tblW w:w="5000" w:type="pct"/>
        <w:tblLook w:val="04A0" w:firstRow="1" w:lastRow="0" w:firstColumn="1" w:lastColumn="0" w:noHBand="0" w:noVBand="1"/>
      </w:tblPr>
      <w:tblGrid>
        <w:gridCol w:w="2963"/>
        <w:gridCol w:w="5402"/>
        <w:gridCol w:w="2247"/>
        <w:gridCol w:w="3347"/>
      </w:tblGrid>
      <w:tr w:rsidR="0058789F" w:rsidRPr="00AD4543" w14:paraId="52DEE060" w14:textId="77777777" w:rsidTr="00AD1066">
        <w:trPr>
          <w:cnfStyle w:val="100000000000" w:firstRow="1" w:lastRow="0" w:firstColumn="0" w:lastColumn="0" w:oddVBand="0" w:evenVBand="0" w:oddHBand="0" w:evenHBand="0" w:firstRowFirstColumn="0" w:firstRowLastColumn="0" w:lastRowFirstColumn="0" w:lastRowLastColumn="0"/>
        </w:trPr>
        <w:tc>
          <w:tcPr>
            <w:tcW w:w="1061" w:type="pct"/>
          </w:tcPr>
          <w:p w14:paraId="6CCCBADE" w14:textId="1A79C293" w:rsidR="0058789F" w:rsidRPr="003064B2" w:rsidRDefault="0058789F" w:rsidP="00AD1066">
            <w:pPr>
              <w:pStyle w:val="TableHeading1"/>
            </w:pPr>
            <w:r w:rsidRPr="003064B2">
              <w:t xml:space="preserve">Standard/ </w:t>
            </w:r>
            <w:r w:rsidR="00A13CC0">
              <w:t>i</w:t>
            </w:r>
            <w:r w:rsidRPr="003064B2">
              <w:t>nterpretation</w:t>
            </w:r>
          </w:p>
        </w:tc>
        <w:tc>
          <w:tcPr>
            <w:tcW w:w="1935" w:type="pct"/>
          </w:tcPr>
          <w:p w14:paraId="0529BC7B" w14:textId="77777777" w:rsidR="0058789F" w:rsidRPr="003064B2" w:rsidRDefault="0058789F" w:rsidP="00AD1066">
            <w:pPr>
              <w:pStyle w:val="TableHeading1"/>
            </w:pPr>
            <w:r w:rsidRPr="003064B2">
              <w:t>Summary</w:t>
            </w:r>
          </w:p>
        </w:tc>
        <w:tc>
          <w:tcPr>
            <w:tcW w:w="805" w:type="pct"/>
          </w:tcPr>
          <w:p w14:paraId="2D306877" w14:textId="77777777" w:rsidR="0058789F" w:rsidRPr="003064B2" w:rsidRDefault="0058789F" w:rsidP="00AD1066">
            <w:pPr>
              <w:pStyle w:val="TableHeading1"/>
            </w:pPr>
            <w:r w:rsidRPr="003064B2">
              <w:t>Applicable for</w:t>
            </w:r>
            <w:r>
              <w:t xml:space="preserve"> </w:t>
            </w:r>
            <w:r w:rsidRPr="003064B2">
              <w:t>annual reporting</w:t>
            </w:r>
            <w:r>
              <w:t xml:space="preserve"> </w:t>
            </w:r>
            <w:r w:rsidRPr="003064B2">
              <w:t>periods beginning</w:t>
            </w:r>
            <w:r>
              <w:t xml:space="preserve"> </w:t>
            </w:r>
            <w:r w:rsidRPr="003064B2">
              <w:t>on</w:t>
            </w:r>
          </w:p>
        </w:tc>
        <w:tc>
          <w:tcPr>
            <w:tcW w:w="1199" w:type="pct"/>
          </w:tcPr>
          <w:p w14:paraId="35247665" w14:textId="77777777" w:rsidR="0058789F" w:rsidRPr="003064B2" w:rsidRDefault="0058789F" w:rsidP="00AD1066">
            <w:pPr>
              <w:pStyle w:val="TableHeading1"/>
            </w:pPr>
            <w:r w:rsidRPr="003064B2">
              <w:t>Impact on public sector</w:t>
            </w:r>
            <w:r>
              <w:t xml:space="preserve"> </w:t>
            </w:r>
            <w:r w:rsidRPr="003064B2">
              <w:t>entity financial</w:t>
            </w:r>
            <w:r>
              <w:t xml:space="preserve"> </w:t>
            </w:r>
            <w:r w:rsidRPr="003064B2">
              <w:t>statements</w:t>
            </w:r>
          </w:p>
        </w:tc>
      </w:tr>
      <w:tr w:rsidR="0058789F" w:rsidRPr="00AD4543" w14:paraId="458B5550" w14:textId="77777777" w:rsidTr="00AD1066">
        <w:tc>
          <w:tcPr>
            <w:tcW w:w="1061" w:type="pct"/>
          </w:tcPr>
          <w:p w14:paraId="4B529AFE" w14:textId="77777777" w:rsidR="0058789F" w:rsidRPr="003064B2" w:rsidRDefault="0058789F" w:rsidP="00AD1066">
            <w:pPr>
              <w:pStyle w:val="TableBodyText"/>
            </w:pPr>
            <w:r w:rsidRPr="003064B2">
              <w:t>AASB 2022</w:t>
            </w:r>
            <w:r>
              <w:t>–</w:t>
            </w:r>
            <w:r w:rsidRPr="003064B2">
              <w:t>10</w:t>
            </w:r>
          </w:p>
          <w:p w14:paraId="5DC0879D" w14:textId="00132BEE" w:rsidR="0058789F" w:rsidRPr="00A13CC0" w:rsidRDefault="0058789F" w:rsidP="00AD1066">
            <w:pPr>
              <w:pStyle w:val="TableBodyText"/>
              <w:rPr>
                <w:i/>
              </w:rPr>
            </w:pPr>
            <w:r w:rsidRPr="003064B2">
              <w:t xml:space="preserve">Amendments to </w:t>
            </w:r>
            <w:r w:rsidRPr="00A13CC0">
              <w:rPr>
                <w:rStyle w:val="Characteritalic"/>
              </w:rPr>
              <w:t>Australian Accounting Standards – Fair Value Measurement of</w:t>
            </w:r>
            <w:r w:rsidR="00A13CC0">
              <w:rPr>
                <w:rStyle w:val="Characteritalic"/>
              </w:rPr>
              <w:t xml:space="preserve"> </w:t>
            </w:r>
            <w:r w:rsidRPr="00A13CC0">
              <w:rPr>
                <w:rStyle w:val="Characteritalic"/>
              </w:rPr>
              <w:t>Non-Financial Assets of</w:t>
            </w:r>
            <w:r w:rsidR="00A13CC0">
              <w:rPr>
                <w:rStyle w:val="Characteritalic"/>
              </w:rPr>
              <w:t xml:space="preserve"> </w:t>
            </w:r>
            <w:r w:rsidRPr="00A13CC0">
              <w:rPr>
                <w:rStyle w:val="Characteritalic"/>
              </w:rPr>
              <w:t>Not-for-Profit Public Sector</w:t>
            </w:r>
            <w:r w:rsidR="00A13CC0">
              <w:rPr>
                <w:rStyle w:val="Characteritalic"/>
              </w:rPr>
              <w:t xml:space="preserve"> </w:t>
            </w:r>
            <w:r w:rsidRPr="00A13CC0">
              <w:rPr>
                <w:rStyle w:val="Characteritalic"/>
              </w:rPr>
              <w:t>Entities</w:t>
            </w:r>
          </w:p>
        </w:tc>
        <w:tc>
          <w:tcPr>
            <w:tcW w:w="1935" w:type="pct"/>
          </w:tcPr>
          <w:p w14:paraId="3E1F6B93" w14:textId="77777777" w:rsidR="0058789F" w:rsidRPr="003064B2" w:rsidRDefault="0058789F" w:rsidP="00AD1066">
            <w:pPr>
              <w:pStyle w:val="TableBodyText"/>
            </w:pPr>
            <w:r w:rsidRPr="003064B2">
              <w:t>AASB 2022</w:t>
            </w:r>
            <w:r>
              <w:t>–</w:t>
            </w:r>
            <w:r w:rsidRPr="003064B2">
              <w:t xml:space="preserve">10 amends </w:t>
            </w:r>
            <w:r w:rsidRPr="00A66437">
              <w:t>AASB 13</w:t>
            </w:r>
            <w:r w:rsidRPr="00516725">
              <w:rPr>
                <w:rStyle w:val="Characteritalic"/>
              </w:rPr>
              <w:t xml:space="preserve"> Fair </w:t>
            </w:r>
            <w:r w:rsidRPr="00516725">
              <w:t xml:space="preserve">Value </w:t>
            </w:r>
            <w:r w:rsidRPr="00A66437">
              <w:rPr>
                <w:rStyle w:val="Characteritalic"/>
              </w:rPr>
              <w:t>Measurement</w:t>
            </w:r>
            <w:r w:rsidRPr="003064B2">
              <w:t xml:space="preserve"> by adding authoritative implementation guidance and illustrative examples for fair value measurements of non-financial assets of not-for-profit public sector entities not held primarily for their ability to generate net cash inflows.</w:t>
            </w:r>
          </w:p>
          <w:p w14:paraId="566EC290" w14:textId="77777777" w:rsidR="0058789F" w:rsidRPr="003064B2" w:rsidRDefault="0058789F" w:rsidP="00AD1066">
            <w:pPr>
              <w:pStyle w:val="TableBodyText"/>
            </w:pPr>
            <w:r w:rsidRPr="003064B2">
              <w:t>The Standard:</w:t>
            </w:r>
          </w:p>
          <w:p w14:paraId="722AF82F" w14:textId="77777777" w:rsidR="0058789F" w:rsidRPr="003064B2" w:rsidRDefault="0058789F" w:rsidP="0058789F">
            <w:pPr>
              <w:pStyle w:val="TableListBullet"/>
              <w:numPr>
                <w:ilvl w:val="0"/>
                <w:numId w:val="12"/>
              </w:numPr>
            </w:pPr>
            <w:r w:rsidRPr="003064B2">
              <w:t>• specifies that an entity needs to consider whether an asset’s highest and best use differs from its current use only when it is held for sale or</w:t>
            </w:r>
            <w:r>
              <w:t xml:space="preserve"> </w:t>
            </w:r>
            <w:r w:rsidRPr="003064B2">
              <w:t xml:space="preserve">held for distributions to owners under </w:t>
            </w:r>
            <w:r w:rsidRPr="00A66437">
              <w:t xml:space="preserve">AASB 5 </w:t>
            </w:r>
            <w:r w:rsidRPr="00E95B19">
              <w:rPr>
                <w:rStyle w:val="Characteritalic"/>
              </w:rPr>
              <w:t>Non-</w:t>
            </w:r>
            <w:r w:rsidRPr="00C22F9E">
              <w:rPr>
                <w:rStyle w:val="Characteritalic"/>
              </w:rPr>
              <w:t>current Assets Held for Sale and Discontinued Operations</w:t>
            </w:r>
            <w:r w:rsidRPr="003064B2">
              <w:t xml:space="preserve"> or if it is highly probable that it will be used for an alternative purpose;</w:t>
            </w:r>
          </w:p>
          <w:p w14:paraId="75801629" w14:textId="77777777" w:rsidR="0058789F" w:rsidRPr="003064B2" w:rsidRDefault="0058789F" w:rsidP="0058789F">
            <w:pPr>
              <w:pStyle w:val="TableListBullet"/>
              <w:numPr>
                <w:ilvl w:val="0"/>
                <w:numId w:val="12"/>
              </w:numPr>
            </w:pPr>
            <w:r w:rsidRPr="003064B2">
              <w:t>clarifies that an asset’s use is ‘financially feasible’ if market participants would be willing to invest</w:t>
            </w:r>
            <w:r>
              <w:t xml:space="preserve"> </w:t>
            </w:r>
            <w:r w:rsidRPr="003064B2">
              <w:t>in the asset’s service capacity, considering both the capacity to provide needed goods or services and</w:t>
            </w:r>
            <w:r>
              <w:t xml:space="preserve"> </w:t>
            </w:r>
            <w:r w:rsidRPr="003064B2">
              <w:t>the resulting costs of those goods and services;</w:t>
            </w:r>
          </w:p>
          <w:p w14:paraId="4DDF2319" w14:textId="77777777" w:rsidR="0058789F" w:rsidRPr="003064B2" w:rsidRDefault="0058789F" w:rsidP="0058789F">
            <w:pPr>
              <w:pStyle w:val="TableListBullet"/>
              <w:numPr>
                <w:ilvl w:val="0"/>
                <w:numId w:val="12"/>
              </w:numPr>
            </w:pPr>
            <w:r w:rsidRPr="003064B2">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 and</w:t>
            </w:r>
          </w:p>
          <w:p w14:paraId="045247D5" w14:textId="77777777" w:rsidR="0058789F" w:rsidRPr="003064B2" w:rsidRDefault="0058789F" w:rsidP="0058789F">
            <w:pPr>
              <w:pStyle w:val="TableListBullet"/>
              <w:numPr>
                <w:ilvl w:val="0"/>
                <w:numId w:val="12"/>
              </w:numPr>
            </w:pPr>
            <w:r w:rsidRPr="003064B2">
              <w:t>provides guidance on the application of the cost approach to fair value, including the nature of costs to be included in a reference asset and identification of economic obsolescence.</w:t>
            </w:r>
          </w:p>
        </w:tc>
        <w:tc>
          <w:tcPr>
            <w:tcW w:w="805" w:type="pct"/>
          </w:tcPr>
          <w:p w14:paraId="639A705F" w14:textId="77777777" w:rsidR="0058789F" w:rsidRPr="003064B2" w:rsidRDefault="0058789F" w:rsidP="00AD1066">
            <w:pPr>
              <w:pStyle w:val="TableBodyText"/>
            </w:pPr>
            <w:r w:rsidRPr="003064B2">
              <w:t>1 January 2024</w:t>
            </w:r>
          </w:p>
        </w:tc>
        <w:tc>
          <w:tcPr>
            <w:tcW w:w="1199" w:type="pct"/>
          </w:tcPr>
          <w:p w14:paraId="36D5DCFB" w14:textId="77777777" w:rsidR="0058789F" w:rsidRPr="00513073" w:rsidRDefault="0058789F" w:rsidP="00AD1066">
            <w:pPr>
              <w:pStyle w:val="TableBodyText"/>
            </w:pPr>
            <w:r w:rsidRPr="00513073">
              <w:t>This standard is not expected to have a significant impact on the public sector.</w:t>
            </w:r>
          </w:p>
        </w:tc>
      </w:tr>
      <w:tr w:rsidR="0058789F" w:rsidRPr="00AD4543" w14:paraId="4F11CF06" w14:textId="77777777" w:rsidTr="00AD1066">
        <w:tc>
          <w:tcPr>
            <w:tcW w:w="1061" w:type="pct"/>
          </w:tcPr>
          <w:p w14:paraId="0D54A686" w14:textId="77777777" w:rsidR="0058789F" w:rsidRDefault="0058789F" w:rsidP="00AD1066">
            <w:pPr>
              <w:pStyle w:val="TableBodyText"/>
            </w:pPr>
            <w:r w:rsidRPr="003064B2">
              <w:t>AASB 2020</w:t>
            </w:r>
            <w:r>
              <w:t>–</w:t>
            </w:r>
            <w:r w:rsidRPr="003064B2">
              <w:t xml:space="preserve">1 </w:t>
            </w:r>
          </w:p>
          <w:p w14:paraId="03850899" w14:textId="77777777" w:rsidR="0058789F" w:rsidRPr="003665AD" w:rsidRDefault="0058789F" w:rsidP="00AD1066">
            <w:pPr>
              <w:pStyle w:val="TableBodyText"/>
              <w:rPr>
                <w:rStyle w:val="Characteritalic"/>
              </w:rPr>
            </w:pPr>
            <w:r w:rsidRPr="003064B2">
              <w:t>Amendments</w:t>
            </w:r>
            <w:r>
              <w:t xml:space="preserve"> </w:t>
            </w:r>
            <w:r w:rsidRPr="003064B2">
              <w:t xml:space="preserve">to </w:t>
            </w:r>
            <w:r w:rsidRPr="003665AD">
              <w:rPr>
                <w:rStyle w:val="Characteritalic"/>
              </w:rPr>
              <w:t>Australian Accounting Standards – Classification of L</w:t>
            </w:r>
            <w:r w:rsidRPr="00E95B19">
              <w:rPr>
                <w:rStyle w:val="Characteritalic"/>
              </w:rPr>
              <w:t>iabilities</w:t>
            </w:r>
            <w:r w:rsidRPr="003665AD">
              <w:rPr>
                <w:bCs w:val="0"/>
              </w:rPr>
              <w:t xml:space="preserve"> </w:t>
            </w:r>
            <w:r w:rsidRPr="00E95B19">
              <w:rPr>
                <w:rStyle w:val="Characteritalic"/>
              </w:rPr>
              <w:t>as Current or</w:t>
            </w:r>
            <w:r>
              <w:rPr>
                <w:rStyle w:val="Characteritalic"/>
              </w:rPr>
              <w:t xml:space="preserve"> </w:t>
            </w:r>
            <w:r w:rsidRPr="00E95B19">
              <w:rPr>
                <w:rStyle w:val="Characteritalic"/>
              </w:rPr>
              <w:t>Non-</w:t>
            </w:r>
            <w:r w:rsidRPr="003665AD">
              <w:rPr>
                <w:rStyle w:val="Characteritalic"/>
              </w:rPr>
              <w:t xml:space="preserve">Current </w:t>
            </w:r>
          </w:p>
          <w:p w14:paraId="21A7859D" w14:textId="77777777" w:rsidR="0058789F" w:rsidRDefault="0058789F" w:rsidP="00AD1066">
            <w:pPr>
              <w:pStyle w:val="TableBodyText"/>
            </w:pPr>
          </w:p>
          <w:p w14:paraId="32BD9C12" w14:textId="77777777" w:rsidR="0058789F" w:rsidRPr="00921DE5" w:rsidRDefault="0058789F" w:rsidP="00AD1066">
            <w:pPr>
              <w:pStyle w:val="TableBodyText"/>
            </w:pPr>
            <w:r w:rsidRPr="00CC7925">
              <w:t>AASB 2022</w:t>
            </w:r>
            <w:r>
              <w:t>–</w:t>
            </w:r>
            <w:r w:rsidRPr="00CC7925">
              <w:t>6</w:t>
            </w:r>
          </w:p>
          <w:p w14:paraId="2F1935AF" w14:textId="77777777" w:rsidR="0058789F" w:rsidRPr="00E95B19" w:rsidRDefault="0058789F" w:rsidP="00AD1066">
            <w:pPr>
              <w:pStyle w:val="TableBodyText"/>
              <w:rPr>
                <w:rStyle w:val="Characteritalic"/>
              </w:rPr>
            </w:pPr>
            <w:r w:rsidRPr="00E95B19">
              <w:t>Amendments to</w:t>
            </w:r>
            <w:r w:rsidRPr="00921DE5">
              <w:rPr>
                <w:rStyle w:val="Characteritalic"/>
              </w:rPr>
              <w:t xml:space="preserve"> Australian Accounting Standards – Non-current L</w:t>
            </w:r>
            <w:r w:rsidRPr="00E95B19">
              <w:rPr>
                <w:rStyle w:val="Characteritalic"/>
              </w:rPr>
              <w:t>iabilities with Covenants</w:t>
            </w:r>
          </w:p>
        </w:tc>
        <w:tc>
          <w:tcPr>
            <w:tcW w:w="1935" w:type="pct"/>
          </w:tcPr>
          <w:p w14:paraId="752D3790" w14:textId="77777777" w:rsidR="0058789F" w:rsidRPr="003064B2" w:rsidRDefault="0058789F" w:rsidP="00AD1066">
            <w:pPr>
              <w:pStyle w:val="TableBodyText"/>
            </w:pPr>
            <w:r w:rsidRPr="003064B2">
              <w:t>AASB 2020</w:t>
            </w:r>
            <w:r>
              <w:t>–</w:t>
            </w:r>
            <w:r w:rsidRPr="003064B2">
              <w:t xml:space="preserve">1 amended </w:t>
            </w:r>
            <w:r w:rsidRPr="004C3251">
              <w:rPr>
                <w:bCs w:val="0"/>
              </w:rPr>
              <w:t xml:space="preserve">AASB 101 </w:t>
            </w:r>
            <w:r w:rsidRPr="00E95B19">
              <w:rPr>
                <w:rStyle w:val="Characteritalic"/>
              </w:rPr>
              <w:t>Presentation of</w:t>
            </w:r>
            <w:r w:rsidRPr="004C3251">
              <w:rPr>
                <w:bCs w:val="0"/>
              </w:rPr>
              <w:t xml:space="preserve"> </w:t>
            </w:r>
            <w:r w:rsidRPr="00E95B19">
              <w:rPr>
                <w:rStyle w:val="Characteritalic"/>
              </w:rPr>
              <w:t xml:space="preserve">Financial </w:t>
            </w:r>
            <w:r w:rsidRPr="004C3251">
              <w:rPr>
                <w:bCs w:val="0"/>
              </w:rPr>
              <w:t>S</w:t>
            </w:r>
            <w:r w:rsidRPr="004C3251">
              <w:rPr>
                <w:rStyle w:val="Characteritalic"/>
              </w:rPr>
              <w:t>tatements</w:t>
            </w:r>
            <w:r w:rsidRPr="003064B2">
              <w:t xml:space="preserve"> to clarify requirements for the presentation of liabilities in the statement of financial position as current or non-current and</w:t>
            </w:r>
            <w:r>
              <w:t xml:space="preserve"> </w:t>
            </w:r>
            <w:r w:rsidRPr="003064B2">
              <w:t>was applicable to annual reporting periods beginning on or after 1 January 2022.</w:t>
            </w:r>
          </w:p>
          <w:p w14:paraId="62B989F8" w14:textId="77777777" w:rsidR="0058789F" w:rsidRPr="003064B2" w:rsidRDefault="0058789F" w:rsidP="00AD1066">
            <w:pPr>
              <w:pStyle w:val="TableBodyText"/>
            </w:pPr>
            <w:r w:rsidRPr="003064B2">
              <w:t>AASB 2020</w:t>
            </w:r>
            <w:r>
              <w:t>–</w:t>
            </w:r>
            <w:r w:rsidRPr="003064B2">
              <w:t>6 subsequently amended AASB 2020</w:t>
            </w:r>
            <w:r>
              <w:t>–</w:t>
            </w:r>
            <w:r w:rsidRPr="003064B2">
              <w:t>1, deferring the mandatory effective date of AASB 2020</w:t>
            </w:r>
            <w:r>
              <w:t>–</w:t>
            </w:r>
            <w:r w:rsidRPr="003064B2">
              <w:t>1 from 1 January 2022 to 1 January 2023.</w:t>
            </w:r>
          </w:p>
          <w:p w14:paraId="02EED646" w14:textId="77777777" w:rsidR="0058789F" w:rsidRPr="003064B2" w:rsidRDefault="0058789F" w:rsidP="00AD1066">
            <w:pPr>
              <w:pStyle w:val="TableBodyText"/>
            </w:pPr>
            <w:r w:rsidRPr="003064B2">
              <w:t>AASB 2022</w:t>
            </w:r>
            <w:r>
              <w:t>–</w:t>
            </w:r>
            <w:r w:rsidRPr="003064B2">
              <w:t>6 was applicable for annual reporting periods beginning on or after 1 January 2022.</w:t>
            </w:r>
          </w:p>
          <w:p w14:paraId="1F9EF37A" w14:textId="77777777" w:rsidR="0058789F" w:rsidRPr="003064B2" w:rsidRDefault="0058789F" w:rsidP="00AD1066">
            <w:pPr>
              <w:pStyle w:val="TableBodyText"/>
            </w:pPr>
            <w:r w:rsidRPr="003064B2">
              <w:t>AASB 2022</w:t>
            </w:r>
            <w:r>
              <w:t>–</w:t>
            </w:r>
            <w:r w:rsidRPr="003064B2">
              <w:t>6 amends and clarifies the</w:t>
            </w:r>
            <w:r>
              <w:t xml:space="preserve"> </w:t>
            </w:r>
            <w:r w:rsidRPr="003064B2">
              <w:t>requirements contained in AASB 2020</w:t>
            </w:r>
            <w:r>
              <w:t>–</w:t>
            </w:r>
            <w:r w:rsidRPr="003064B2">
              <w:t>1.</w:t>
            </w:r>
          </w:p>
          <w:p w14:paraId="2FEF6411" w14:textId="77777777" w:rsidR="0058789F" w:rsidRPr="003064B2" w:rsidRDefault="0058789F" w:rsidP="00AD1066">
            <w:pPr>
              <w:pStyle w:val="TableBodyText"/>
            </w:pPr>
            <w:r w:rsidRPr="003064B2">
              <w:t>Among other things, it:</w:t>
            </w:r>
          </w:p>
          <w:p w14:paraId="0DDEBB5E" w14:textId="77777777" w:rsidR="0058789F" w:rsidRPr="003064B2" w:rsidRDefault="0058789F" w:rsidP="0058789F">
            <w:pPr>
              <w:pStyle w:val="TableListBullet"/>
              <w:numPr>
                <w:ilvl w:val="0"/>
                <w:numId w:val="12"/>
              </w:numPr>
            </w:pPr>
            <w:r w:rsidRPr="003064B2">
              <w:t>clarifies that only those covenants that an entity must comply with at or before the reporting date affect a liability’s classification as current or noncurrent; and</w:t>
            </w:r>
          </w:p>
          <w:p w14:paraId="34C6BACC" w14:textId="77777777" w:rsidR="0058789F" w:rsidRPr="003064B2" w:rsidRDefault="0058789F" w:rsidP="0058789F">
            <w:pPr>
              <w:pStyle w:val="TableListBullet"/>
              <w:numPr>
                <w:ilvl w:val="0"/>
                <w:numId w:val="12"/>
              </w:numPr>
            </w:pPr>
            <w:r w:rsidRPr="003064B2">
              <w:t>requires additional disclosures for non-current liabilities that are subject to an entity complying with covenants within twelve months after the</w:t>
            </w:r>
            <w:r>
              <w:t xml:space="preserve"> </w:t>
            </w:r>
            <w:r w:rsidRPr="003064B2">
              <w:t>reporting date.</w:t>
            </w:r>
          </w:p>
          <w:p w14:paraId="46F9000C" w14:textId="77777777" w:rsidR="0058789F" w:rsidRPr="003064B2" w:rsidRDefault="0058789F" w:rsidP="00AD1066">
            <w:pPr>
              <w:pStyle w:val="TableBodyText"/>
            </w:pPr>
            <w:r w:rsidRPr="003064B2">
              <w:t>AASB 2022</w:t>
            </w:r>
            <w:r>
              <w:t>–</w:t>
            </w:r>
            <w:r w:rsidRPr="003064B2">
              <w:t>6 applies to annual reporting periods beginning on or after 1 January 2023.</w:t>
            </w:r>
          </w:p>
        </w:tc>
        <w:tc>
          <w:tcPr>
            <w:tcW w:w="805" w:type="pct"/>
          </w:tcPr>
          <w:p w14:paraId="5983A154" w14:textId="77777777" w:rsidR="0058789F" w:rsidRPr="003064B2" w:rsidRDefault="0058789F" w:rsidP="00AD1066">
            <w:pPr>
              <w:pStyle w:val="TableBodyText"/>
            </w:pPr>
            <w:r w:rsidRPr="003064B2">
              <w:t>1 January 2023</w:t>
            </w:r>
          </w:p>
        </w:tc>
        <w:tc>
          <w:tcPr>
            <w:tcW w:w="1199" w:type="pct"/>
          </w:tcPr>
          <w:p w14:paraId="29D0EC9B" w14:textId="77777777" w:rsidR="0058789F" w:rsidRPr="003064B2" w:rsidRDefault="0058789F" w:rsidP="00AD1066">
            <w:pPr>
              <w:pStyle w:val="TableBodyText"/>
            </w:pPr>
            <w:r w:rsidRPr="00AD4543">
              <w:t>This standard is not expected to have a significant impact on the public sector.</w:t>
            </w:r>
          </w:p>
        </w:tc>
      </w:tr>
    </w:tbl>
    <w:p w14:paraId="793FF56A" w14:textId="77777777" w:rsidR="0058789F" w:rsidRDefault="0058789F" w:rsidP="0058789F">
      <w:pPr>
        <w:pStyle w:val="TableNote"/>
        <w:sectPr w:rsidR="0058789F" w:rsidSect="00625E39">
          <w:pgSz w:w="16839" w:h="11907" w:orient="landscape" w:code="9"/>
          <w:pgMar w:top="1440" w:right="1440" w:bottom="1440" w:left="1440" w:header="720" w:footer="720" w:gutter="0"/>
          <w:cols w:space="720"/>
          <w:docGrid w:linePitch="360"/>
        </w:sectPr>
      </w:pPr>
    </w:p>
    <w:p w14:paraId="25B6D45A" w14:textId="77777777" w:rsidR="0058789F" w:rsidRDefault="0058789F" w:rsidP="0058789F">
      <w:pPr>
        <w:pStyle w:val="NotesHeading1"/>
        <w:numPr>
          <w:ilvl w:val="0"/>
          <w:numId w:val="22"/>
        </w:numPr>
      </w:pPr>
      <w:bookmarkStart w:id="219" w:name="_Ref120788376"/>
      <w:r w:rsidRPr="00961EBF">
        <w:t>Glossary of technical terms</w:t>
      </w:r>
      <w:bookmarkEnd w:id="219"/>
    </w:p>
    <w:p w14:paraId="71FD4973" w14:textId="77777777" w:rsidR="0058789F" w:rsidRPr="004D385C" w:rsidRDefault="0058789F" w:rsidP="0058789F">
      <w:pPr>
        <w:pStyle w:val="Heading6"/>
      </w:pPr>
      <w:r w:rsidRPr="004D385C">
        <w:t>Borrowings</w:t>
      </w:r>
    </w:p>
    <w:p w14:paraId="1CF7A8EE" w14:textId="77777777" w:rsidR="0058789F" w:rsidRPr="00961EBF" w:rsidRDefault="0058789F" w:rsidP="0058789F">
      <w:pPr>
        <w:pStyle w:val="BodyText"/>
      </w:pPr>
      <w:r w:rsidRPr="00961EBF">
        <w:t>Borrowings refer to interest-bearing liabilities raised from lease liabilities.</w:t>
      </w:r>
    </w:p>
    <w:p w14:paraId="64187884" w14:textId="77777777" w:rsidR="0058789F" w:rsidRPr="004D385C" w:rsidRDefault="0058789F" w:rsidP="0058789F">
      <w:pPr>
        <w:pStyle w:val="Heading6"/>
      </w:pPr>
      <w:r w:rsidRPr="004D385C">
        <w:t>Commitments</w:t>
      </w:r>
    </w:p>
    <w:p w14:paraId="19D459CA" w14:textId="77777777" w:rsidR="0058789F" w:rsidRPr="009A74C9" w:rsidRDefault="0058789F" w:rsidP="0058789F">
      <w:pPr>
        <w:pStyle w:val="BodyText"/>
      </w:pPr>
      <w:r w:rsidRPr="00961EBF">
        <w:t>Commitments include those operating, capital and other outsourcing commitments arising from non-cancellable contractual or statutory sources.</w:t>
      </w:r>
    </w:p>
    <w:p w14:paraId="02855B33" w14:textId="77777777" w:rsidR="0058789F" w:rsidRPr="004D385C" w:rsidRDefault="0058789F" w:rsidP="0058789F">
      <w:pPr>
        <w:pStyle w:val="Heading6"/>
      </w:pPr>
      <w:r w:rsidRPr="004D385C">
        <w:t>Comprehensive result</w:t>
      </w:r>
    </w:p>
    <w:p w14:paraId="51086B93" w14:textId="77777777" w:rsidR="0058789F" w:rsidRPr="00961EBF" w:rsidRDefault="0058789F" w:rsidP="0058789F">
      <w:pPr>
        <w:pStyle w:val="BodyText"/>
      </w:pPr>
      <w:r w:rsidRPr="00961EBF">
        <w:t>The comprehensive result is the amount included in the operating statement representing total change in net worth other than transactions with owners as owners.</w:t>
      </w:r>
    </w:p>
    <w:p w14:paraId="4B13BB26" w14:textId="77777777" w:rsidR="0058789F" w:rsidRPr="004D385C" w:rsidRDefault="0058789F" w:rsidP="0058789F">
      <w:pPr>
        <w:pStyle w:val="Heading6"/>
      </w:pPr>
      <w:r w:rsidRPr="004D385C">
        <w:t>Depreciation</w:t>
      </w:r>
    </w:p>
    <w:p w14:paraId="4EFF7BFE" w14:textId="77777777" w:rsidR="0058789F" w:rsidRPr="00961EBF" w:rsidRDefault="0058789F" w:rsidP="0058789F">
      <w:pPr>
        <w:pStyle w:val="BodyText"/>
      </w:pPr>
      <w:r w:rsidRPr="00961EBF">
        <w:t>Depreciation is an expense that arises from the consumption through wear or time of a produced physical or intangible asset. This expense is classified as a ‘transaction’ and so reduces the ‘net result from transaction’.</w:t>
      </w:r>
    </w:p>
    <w:p w14:paraId="3A449B49" w14:textId="77777777" w:rsidR="0058789F" w:rsidRPr="004D385C" w:rsidRDefault="0058789F" w:rsidP="0058789F">
      <w:pPr>
        <w:pStyle w:val="Heading6"/>
      </w:pPr>
      <w:r w:rsidRPr="004D385C">
        <w:t>Effective interest method</w:t>
      </w:r>
    </w:p>
    <w:p w14:paraId="75061B74" w14:textId="77777777" w:rsidR="0058789F" w:rsidRPr="00961EBF" w:rsidRDefault="0058789F" w:rsidP="0058789F">
      <w:pPr>
        <w:pStyle w:val="BodyText"/>
      </w:pPr>
      <w:r w:rsidRPr="00961EBF">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06582C7A" w14:textId="77777777" w:rsidR="0058789F" w:rsidRPr="004D385C" w:rsidRDefault="0058789F" w:rsidP="0058789F">
      <w:pPr>
        <w:pStyle w:val="Heading6"/>
      </w:pPr>
      <w:r w:rsidRPr="004D385C">
        <w:t>Employee benefits expenses</w:t>
      </w:r>
    </w:p>
    <w:p w14:paraId="7FAEF731" w14:textId="77777777" w:rsidR="0058789F" w:rsidRPr="00961EBF" w:rsidRDefault="0058789F" w:rsidP="0058789F">
      <w:pPr>
        <w:pStyle w:val="BodyText"/>
      </w:pPr>
      <w:r w:rsidRPr="00961EBF">
        <w:t>Employee benefits expenses include all costs related to employment</w:t>
      </w:r>
      <w:r>
        <w:t>,</w:t>
      </w:r>
      <w:r w:rsidRPr="00961EBF">
        <w:t xml:space="preserve"> including wages and salaries, fringe benefits and payroll tax, leave entitlements, redundancy payments, defined benefits superannuation plans, and defined contribution superannuation plans.</w:t>
      </w:r>
    </w:p>
    <w:p w14:paraId="764E1FD0" w14:textId="77777777" w:rsidR="0058789F" w:rsidRPr="004D385C" w:rsidRDefault="0058789F" w:rsidP="0058789F">
      <w:pPr>
        <w:pStyle w:val="Heading6"/>
      </w:pPr>
      <w:r w:rsidRPr="004D385C">
        <w:t>Financial asset</w:t>
      </w:r>
    </w:p>
    <w:p w14:paraId="2E276912" w14:textId="77777777" w:rsidR="0058789F" w:rsidRPr="00961EBF" w:rsidRDefault="0058789F" w:rsidP="0058789F">
      <w:pPr>
        <w:pStyle w:val="BodyText"/>
      </w:pPr>
      <w:r w:rsidRPr="00961EBF">
        <w:t>A financial asset is any asset that is:</w:t>
      </w:r>
    </w:p>
    <w:p w14:paraId="38F6B0C8" w14:textId="77777777" w:rsidR="0058789F" w:rsidRDefault="0058789F" w:rsidP="0058789F">
      <w:pPr>
        <w:pStyle w:val="ListBullet"/>
      </w:pPr>
      <w:r w:rsidRPr="00961EBF">
        <w:t>cash</w:t>
      </w:r>
      <w:r>
        <w:t>;</w:t>
      </w:r>
      <w:r w:rsidRPr="00961EBF">
        <w:t xml:space="preserve"> or</w:t>
      </w:r>
    </w:p>
    <w:p w14:paraId="6AE8A8F1" w14:textId="77777777" w:rsidR="0058789F" w:rsidRPr="00961EBF" w:rsidRDefault="0058789F" w:rsidP="0058789F">
      <w:pPr>
        <w:pStyle w:val="ListBullet"/>
      </w:pPr>
      <w:r w:rsidRPr="00961EBF">
        <w:t xml:space="preserve">a </w:t>
      </w:r>
      <w:r w:rsidRPr="009232C5">
        <w:t>contractual</w:t>
      </w:r>
      <w:r w:rsidRPr="00961EBF">
        <w:t xml:space="preserve"> or statutory right:</w:t>
      </w:r>
    </w:p>
    <w:p w14:paraId="7AA61FE8" w14:textId="77777777" w:rsidR="0058789F" w:rsidRPr="00961EBF" w:rsidRDefault="0058789F" w:rsidP="0058789F">
      <w:pPr>
        <w:pStyle w:val="ListBullet2"/>
        <w:numPr>
          <w:ilvl w:val="1"/>
          <w:numId w:val="11"/>
        </w:numPr>
      </w:pPr>
      <w:r w:rsidRPr="00961EBF">
        <w:t>to receive cash or another financial asset from another entity</w:t>
      </w:r>
      <w:r>
        <w:t>;</w:t>
      </w:r>
      <w:r w:rsidRPr="00961EBF">
        <w:t xml:space="preserve"> or</w:t>
      </w:r>
    </w:p>
    <w:p w14:paraId="5222F8F2" w14:textId="77777777" w:rsidR="0058789F" w:rsidRPr="00961EBF" w:rsidRDefault="0058789F" w:rsidP="0058789F">
      <w:pPr>
        <w:pStyle w:val="ListBullet2"/>
        <w:numPr>
          <w:ilvl w:val="1"/>
          <w:numId w:val="11"/>
        </w:numPr>
      </w:pPr>
      <w:r w:rsidRPr="00961EBF">
        <w:tab/>
        <w:t>to exchange financial assets or financial liabilities with another entity under conditions that are potentially favourable to the entity.</w:t>
      </w:r>
    </w:p>
    <w:p w14:paraId="22B54AE3" w14:textId="77777777" w:rsidR="0058789F" w:rsidRPr="004D385C" w:rsidRDefault="0058789F" w:rsidP="0058789F">
      <w:pPr>
        <w:pStyle w:val="Heading6"/>
      </w:pPr>
      <w:r w:rsidRPr="004D385C">
        <w:t>Financial instrument</w:t>
      </w:r>
    </w:p>
    <w:p w14:paraId="20069A51" w14:textId="77777777" w:rsidR="0058789F" w:rsidRPr="00961EBF" w:rsidRDefault="0058789F" w:rsidP="0058789F">
      <w:pPr>
        <w:pStyle w:val="BodyText"/>
      </w:pPr>
      <w:r w:rsidRPr="00961EBF">
        <w:t xml:space="preserve">A financial instrument is any contract that gives rise to a financial asset of one entity and a financial liability or equity instrument of another entity. </w:t>
      </w:r>
    </w:p>
    <w:p w14:paraId="385AE394" w14:textId="77777777" w:rsidR="0058789F" w:rsidRPr="004D385C" w:rsidRDefault="0058789F" w:rsidP="0058789F">
      <w:pPr>
        <w:pStyle w:val="Heading6"/>
      </w:pPr>
      <w:r w:rsidRPr="004D385C">
        <w:t>Financial liability</w:t>
      </w:r>
    </w:p>
    <w:p w14:paraId="11D9698E" w14:textId="77777777" w:rsidR="0058789F" w:rsidRPr="00961EBF" w:rsidRDefault="0058789F" w:rsidP="0058789F">
      <w:pPr>
        <w:pStyle w:val="BodyText"/>
      </w:pPr>
      <w:r w:rsidRPr="00961EBF">
        <w:t>A financial liability is any liability that is:</w:t>
      </w:r>
    </w:p>
    <w:p w14:paraId="5CB31652" w14:textId="77777777" w:rsidR="0058789F" w:rsidRPr="00DB772D" w:rsidRDefault="0058789F" w:rsidP="0058789F">
      <w:pPr>
        <w:pStyle w:val="ListBullet"/>
      </w:pPr>
      <w:r w:rsidRPr="00DB772D">
        <w:t>a contractual obligation:</w:t>
      </w:r>
    </w:p>
    <w:p w14:paraId="5D6C284C" w14:textId="77777777" w:rsidR="0058789F" w:rsidRPr="00DB772D" w:rsidRDefault="0058789F" w:rsidP="0058789F">
      <w:pPr>
        <w:pStyle w:val="ListBullet2"/>
        <w:numPr>
          <w:ilvl w:val="1"/>
          <w:numId w:val="11"/>
        </w:numPr>
      </w:pPr>
      <w:r w:rsidRPr="00DB772D">
        <w:t>to deliver cash or another financial asset to another entity</w:t>
      </w:r>
      <w:r>
        <w:t>;</w:t>
      </w:r>
      <w:r w:rsidRPr="00DB772D">
        <w:t xml:space="preserve"> or </w:t>
      </w:r>
    </w:p>
    <w:p w14:paraId="1952C3A7" w14:textId="77777777" w:rsidR="0058789F" w:rsidRPr="00DB772D" w:rsidRDefault="0058789F" w:rsidP="0058789F">
      <w:pPr>
        <w:pStyle w:val="ListBullet2"/>
        <w:numPr>
          <w:ilvl w:val="1"/>
          <w:numId w:val="11"/>
        </w:numPr>
      </w:pPr>
      <w:r w:rsidRPr="00DB772D">
        <w:t>to exchange financial assets or financial liabilities with another entity under conditions that are potentially unfavourable to the entity</w:t>
      </w:r>
      <w:r>
        <w:t>;</w:t>
      </w:r>
      <w:r w:rsidRPr="00DB772D">
        <w:t xml:space="preserve"> or</w:t>
      </w:r>
    </w:p>
    <w:p w14:paraId="1728A18E" w14:textId="77777777" w:rsidR="0058789F" w:rsidRPr="00DB772D" w:rsidRDefault="0058789F" w:rsidP="0058789F">
      <w:pPr>
        <w:pStyle w:val="ListBullet"/>
      </w:pPr>
      <w:r w:rsidRPr="00DB772D">
        <w:t>a contract that will or may be settled in the entity’s own equity instruments and is:</w:t>
      </w:r>
    </w:p>
    <w:p w14:paraId="0CCA8DCB" w14:textId="77777777" w:rsidR="0058789F" w:rsidRPr="00DB772D" w:rsidRDefault="0058789F" w:rsidP="0058789F">
      <w:pPr>
        <w:pStyle w:val="ListBullet2"/>
        <w:numPr>
          <w:ilvl w:val="1"/>
          <w:numId w:val="11"/>
        </w:numPr>
      </w:pPr>
      <w:r w:rsidRPr="00DB772D">
        <w:t>a non-derivative for which the entity is or may be obliged to deliver a variable number of the entity’s own equity instruments</w:t>
      </w:r>
      <w:r>
        <w:t>;</w:t>
      </w:r>
      <w:r w:rsidRPr="00DB772D">
        <w:t xml:space="preserve"> or</w:t>
      </w:r>
    </w:p>
    <w:p w14:paraId="51AE69FB" w14:textId="77777777" w:rsidR="0058789F" w:rsidRPr="00DB772D" w:rsidRDefault="0058789F" w:rsidP="0058789F">
      <w:pPr>
        <w:pStyle w:val="ListBullet2"/>
        <w:numPr>
          <w:ilvl w:val="1"/>
          <w:numId w:val="11"/>
        </w:numPr>
      </w:pPr>
      <w:r w:rsidRPr="00DB772D">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2B2495BB" w14:textId="77777777" w:rsidR="0058789F" w:rsidRPr="001A14AE" w:rsidRDefault="0058789F" w:rsidP="0058789F">
      <w:pPr>
        <w:pStyle w:val="Heading6"/>
      </w:pPr>
      <w:r w:rsidRPr="001A14AE">
        <w:t>Financial report</w:t>
      </w:r>
    </w:p>
    <w:p w14:paraId="3590EEB7" w14:textId="77777777" w:rsidR="0058789F" w:rsidRPr="00961EBF" w:rsidRDefault="0058789F" w:rsidP="0058789F">
      <w:pPr>
        <w:pStyle w:val="BodyText"/>
      </w:pPr>
      <w:r w:rsidRPr="00961EBF">
        <w:t>A complete set of financial report</w:t>
      </w:r>
      <w:r>
        <w:t>s</w:t>
      </w:r>
      <w:r w:rsidRPr="00961EBF">
        <w:t xml:space="preserve"> comprises:</w:t>
      </w:r>
    </w:p>
    <w:p w14:paraId="1422BCC6" w14:textId="0B13798B" w:rsidR="0058789F" w:rsidRPr="00961EBF" w:rsidRDefault="0058789F" w:rsidP="0058789F">
      <w:pPr>
        <w:pStyle w:val="ListBullet"/>
      </w:pPr>
      <w:r w:rsidRPr="00961EBF">
        <w:t>a balance sheet at the end of the period</w:t>
      </w:r>
    </w:p>
    <w:p w14:paraId="13B0A6B0" w14:textId="77777777" w:rsidR="0058789F" w:rsidRPr="00961EBF" w:rsidRDefault="0058789F" w:rsidP="0058789F">
      <w:pPr>
        <w:pStyle w:val="ListBullet"/>
      </w:pPr>
      <w:r w:rsidRPr="00961EBF">
        <w:t>a comprehensive operating statement for the period</w:t>
      </w:r>
    </w:p>
    <w:p w14:paraId="7AF76E99" w14:textId="77777777" w:rsidR="0058789F" w:rsidRPr="00961EBF" w:rsidRDefault="0058789F" w:rsidP="0058789F">
      <w:pPr>
        <w:pStyle w:val="ListBullet"/>
      </w:pPr>
      <w:r w:rsidRPr="00961EBF">
        <w:t>a statement of changes in equity for the period</w:t>
      </w:r>
    </w:p>
    <w:p w14:paraId="015ADA6C" w14:textId="77777777" w:rsidR="0058789F" w:rsidRPr="00961EBF" w:rsidRDefault="0058789F" w:rsidP="0058789F">
      <w:pPr>
        <w:pStyle w:val="ListBullet"/>
      </w:pPr>
      <w:r w:rsidRPr="00961EBF">
        <w:t>a cash flow statement for the period</w:t>
      </w:r>
    </w:p>
    <w:p w14:paraId="157A1803" w14:textId="77777777" w:rsidR="0058789F" w:rsidRPr="00961EBF" w:rsidRDefault="0058789F" w:rsidP="0058789F">
      <w:pPr>
        <w:pStyle w:val="ListBullet"/>
      </w:pPr>
      <w:r w:rsidRPr="00961EBF">
        <w:t>notes, comprising a summary of significant accounting policies and other explanatory information</w:t>
      </w:r>
    </w:p>
    <w:p w14:paraId="07F7D61B" w14:textId="77777777" w:rsidR="0058789F" w:rsidRPr="00961EBF" w:rsidRDefault="0058789F" w:rsidP="0058789F">
      <w:pPr>
        <w:pStyle w:val="ListBullet"/>
      </w:pPr>
      <w:r w:rsidRPr="00961EBF">
        <w:t xml:space="preserve">comparative information in respect of the preceding period as specified in paragraph 38 of </w:t>
      </w:r>
      <w:r w:rsidRPr="00E95B19">
        <w:t>AASB 101</w:t>
      </w:r>
      <w:r w:rsidRPr="009324E9">
        <w:t xml:space="preserve"> </w:t>
      </w:r>
      <w:r w:rsidRPr="007211D6">
        <w:rPr>
          <w:rStyle w:val="Characteritalic"/>
        </w:rPr>
        <w:t xml:space="preserve">Presentation of Financial Statements </w:t>
      </w:r>
      <w:r w:rsidRPr="00795D89">
        <w:t>(</w:t>
      </w:r>
      <w:r>
        <w:t xml:space="preserve">AASB </w:t>
      </w:r>
      <w:r w:rsidRPr="00795D89">
        <w:t>101)</w:t>
      </w:r>
    </w:p>
    <w:p w14:paraId="49DD6C76" w14:textId="4C55733A" w:rsidR="0058789F" w:rsidRPr="00961EBF" w:rsidRDefault="0058789F" w:rsidP="0058789F">
      <w:pPr>
        <w:pStyle w:val="ListBullet"/>
      </w:pPr>
      <w:r w:rsidRPr="00961EBF">
        <w:t>a balance sheet at the beginning of the preceding period when an entity applies an accounting policy retrospectively or makes a retrospective restatement of items in its financial report, or when it reclassifies items in its financial report in accordance with paragraph 41 of AASB 101.</w:t>
      </w:r>
    </w:p>
    <w:p w14:paraId="4E96D839" w14:textId="77777777" w:rsidR="0058789F" w:rsidRPr="00961EBF" w:rsidRDefault="0058789F" w:rsidP="0058789F">
      <w:pPr>
        <w:pStyle w:val="BodyText"/>
      </w:pPr>
      <w:r w:rsidRPr="00961EBF">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w:t>
      </w:r>
      <w:r>
        <w:t>-</w:t>
      </w:r>
      <w:r w:rsidRPr="00961EBF">
        <w:t>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0BF1F3B4" w14:textId="77777777" w:rsidR="0058789F" w:rsidRPr="00961EBF" w:rsidRDefault="0058789F" w:rsidP="0058789F">
      <w:pPr>
        <w:pStyle w:val="BodyText"/>
      </w:pPr>
      <w:r w:rsidRPr="00961EBF">
        <w:t>Grants can be paid as general</w:t>
      </w:r>
      <w:r>
        <w:t>-</w:t>
      </w:r>
      <w:r w:rsidRPr="00961EBF">
        <w:t>purpose grants</w:t>
      </w:r>
      <w:r>
        <w:t>,</w:t>
      </w:r>
      <w:r w:rsidRPr="00961EBF">
        <w:t xml:space="preserve"> which refer to grants that are not subject to conditions regarding their use. Alternatively, they may be paid as specific</w:t>
      </w:r>
      <w:r>
        <w:t>-</w:t>
      </w:r>
      <w:r w:rsidRPr="00961EBF">
        <w:t>purpose grants</w:t>
      </w:r>
      <w:r>
        <w:t>,</w:t>
      </w:r>
      <w:r w:rsidRPr="00961EBF">
        <w:t xml:space="preserve"> which are paid for a particular purpose </w:t>
      </w:r>
      <w:r>
        <w:t>or</w:t>
      </w:r>
      <w:r w:rsidRPr="00961EBF">
        <w:t xml:space="preserve"> have conditions attached regarding their use.</w:t>
      </w:r>
    </w:p>
    <w:p w14:paraId="5C1EF091" w14:textId="77777777" w:rsidR="0058789F" w:rsidRPr="001A14AE" w:rsidRDefault="0058789F" w:rsidP="0058789F">
      <w:pPr>
        <w:pStyle w:val="Heading6"/>
      </w:pPr>
      <w:r w:rsidRPr="001A14AE">
        <w:t>Interest expense</w:t>
      </w:r>
    </w:p>
    <w:p w14:paraId="29FFE303" w14:textId="77777777" w:rsidR="0058789F" w:rsidRPr="00961EBF" w:rsidRDefault="0058789F" w:rsidP="0058789F">
      <w:pPr>
        <w:pStyle w:val="BodyText"/>
      </w:pPr>
      <w:r>
        <w:t>Interest expense refers to c</w:t>
      </w:r>
      <w:r w:rsidRPr="00961EBF">
        <w:t>osts incurred in connection with the borrowings. It includes</w:t>
      </w:r>
      <w:r>
        <w:t xml:space="preserve"> the</w:t>
      </w:r>
      <w:r w:rsidRPr="00961EBF">
        <w:t xml:space="preserve"> interest component of finance lease repayments, and the increase in financial liabilities and non-employee provisions due to the unwinding of discounts to reflect the passage of time.</w:t>
      </w:r>
    </w:p>
    <w:p w14:paraId="58B4B8FD" w14:textId="77777777" w:rsidR="0058789F" w:rsidRPr="001A14AE" w:rsidRDefault="0058789F" w:rsidP="0058789F">
      <w:pPr>
        <w:pStyle w:val="Heading6"/>
      </w:pPr>
      <w:r w:rsidRPr="001A14AE">
        <w:t>Leases</w:t>
      </w:r>
    </w:p>
    <w:p w14:paraId="2829A604" w14:textId="77777777" w:rsidR="0058789F" w:rsidRPr="00961EBF" w:rsidRDefault="0058789F" w:rsidP="0058789F">
      <w:pPr>
        <w:pStyle w:val="BodyText"/>
      </w:pPr>
      <w:r w:rsidRPr="00961EBF">
        <w:t>Leases are rights conveyed in a contract, or part of a contract,</w:t>
      </w:r>
      <w:r>
        <w:t xml:space="preserve"> with</w:t>
      </w:r>
      <w:r w:rsidRPr="00961EBF">
        <w:t xml:space="preserve"> the right to use an asset (the underlying asset) for a period of time in exchange for consideration.</w:t>
      </w:r>
    </w:p>
    <w:p w14:paraId="60D2B4B4" w14:textId="77777777" w:rsidR="0058789F" w:rsidRPr="001A14AE" w:rsidRDefault="0058789F" w:rsidP="0058789F">
      <w:pPr>
        <w:pStyle w:val="Heading6"/>
      </w:pPr>
      <w:r w:rsidRPr="001A14AE">
        <w:t>Net result</w:t>
      </w:r>
    </w:p>
    <w:p w14:paraId="0E6B41A6" w14:textId="77777777" w:rsidR="0058789F" w:rsidRPr="00961EBF" w:rsidRDefault="0058789F" w:rsidP="0058789F">
      <w:pPr>
        <w:pStyle w:val="BodyText"/>
      </w:pPr>
      <w:r w:rsidRPr="00961EBF">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43C23221" w14:textId="77777777" w:rsidR="0058789F" w:rsidRPr="001A14AE" w:rsidRDefault="0058789F" w:rsidP="0058789F">
      <w:pPr>
        <w:pStyle w:val="Heading6"/>
      </w:pPr>
      <w:r w:rsidRPr="001A14AE">
        <w:t>Net worth</w:t>
      </w:r>
    </w:p>
    <w:p w14:paraId="0C09F801" w14:textId="77777777" w:rsidR="0058789F" w:rsidRPr="00961EBF" w:rsidRDefault="0058789F" w:rsidP="0058789F">
      <w:pPr>
        <w:pStyle w:val="BodyText"/>
      </w:pPr>
      <w:r w:rsidRPr="00961EBF">
        <w:t xml:space="preserve">Net worth is assets less liabilities, which is an economic measure of </w:t>
      </w:r>
      <w:r>
        <w:t>net assets</w:t>
      </w:r>
      <w:r w:rsidRPr="00961EBF">
        <w:t>.</w:t>
      </w:r>
    </w:p>
    <w:p w14:paraId="757BF3EF" w14:textId="77777777" w:rsidR="0058789F" w:rsidRPr="001A14AE" w:rsidRDefault="0058789F" w:rsidP="0058789F">
      <w:pPr>
        <w:pStyle w:val="Heading6"/>
      </w:pPr>
      <w:r w:rsidRPr="001A14AE">
        <w:t>Non-financial assets</w:t>
      </w:r>
    </w:p>
    <w:p w14:paraId="2F4A1328" w14:textId="77777777" w:rsidR="0058789F" w:rsidRPr="00961EBF" w:rsidRDefault="0058789F" w:rsidP="0058789F">
      <w:pPr>
        <w:pStyle w:val="BodyText"/>
      </w:pPr>
      <w:r w:rsidRPr="00961EBF">
        <w:t xml:space="preserve">Non-financial assets are all assets that are not ‘financial assets’. </w:t>
      </w:r>
      <w:r>
        <w:t>They</w:t>
      </w:r>
      <w:r w:rsidRPr="00961EBF">
        <w:t xml:space="preserve"> include prepayments, rental security deposits, leasehold improvement, motor vehicles, computer and communication equipment, plant and equipment, and intangible assets.</w:t>
      </w:r>
    </w:p>
    <w:p w14:paraId="47CDBEC5" w14:textId="77777777" w:rsidR="0058789F" w:rsidRPr="001A14AE" w:rsidRDefault="0058789F" w:rsidP="0058789F">
      <w:pPr>
        <w:pStyle w:val="Heading6"/>
      </w:pPr>
      <w:r w:rsidRPr="001A14AE">
        <w:t>Other economic flows included in net result</w:t>
      </w:r>
    </w:p>
    <w:p w14:paraId="3B1C7238" w14:textId="77777777" w:rsidR="0058789F" w:rsidRPr="00961EBF" w:rsidRDefault="0058789F" w:rsidP="0058789F">
      <w:pPr>
        <w:pStyle w:val="BodyText"/>
      </w:pPr>
      <w:r w:rsidRPr="00961EBF">
        <w:t xml:space="preserve">Other economic flows included in net result are changes in the volume or value of an asset or liability that do not result from transactions. </w:t>
      </w:r>
      <w:r>
        <w:t>They</w:t>
      </w:r>
      <w:r w:rsidRPr="00961EBF">
        <w:t xml:space="preserve"> include:</w:t>
      </w:r>
    </w:p>
    <w:p w14:paraId="4D56A256" w14:textId="77777777" w:rsidR="0058789F" w:rsidRPr="00961EBF" w:rsidRDefault="0058789F" w:rsidP="0058789F">
      <w:pPr>
        <w:pStyle w:val="ListBullet"/>
      </w:pPr>
      <w:r w:rsidRPr="00961EBF">
        <w:t>gains and losses from disposals, revaluations and impairments of non</w:t>
      </w:r>
      <w:r>
        <w:t>-</w:t>
      </w:r>
      <w:r w:rsidRPr="00961EBF">
        <w:t>financial physical and intangible assets</w:t>
      </w:r>
    </w:p>
    <w:p w14:paraId="0F9EAED6" w14:textId="77777777" w:rsidR="0058789F" w:rsidRPr="00961EBF" w:rsidRDefault="0058789F" w:rsidP="0058789F">
      <w:pPr>
        <w:pStyle w:val="ListBullet"/>
      </w:pPr>
      <w:r w:rsidRPr="00961EBF">
        <w:t>fair value changes of financial instruments.</w:t>
      </w:r>
    </w:p>
    <w:p w14:paraId="55A6094E" w14:textId="77777777" w:rsidR="0058789F" w:rsidRPr="001A14AE" w:rsidRDefault="0058789F" w:rsidP="0058789F">
      <w:pPr>
        <w:pStyle w:val="Heading6"/>
      </w:pPr>
      <w:r w:rsidRPr="001A14AE">
        <w:t>Payables</w:t>
      </w:r>
    </w:p>
    <w:p w14:paraId="5DBFCCB3" w14:textId="77777777" w:rsidR="0058789F" w:rsidRPr="00961EBF" w:rsidRDefault="0058789F" w:rsidP="0058789F">
      <w:pPr>
        <w:pStyle w:val="BodyText"/>
      </w:pPr>
      <w:r w:rsidRPr="00961EBF">
        <w:t>Payables include short- and long-term trade debt and accounts payable, grants, taxes and interest payable.</w:t>
      </w:r>
    </w:p>
    <w:p w14:paraId="221CE74A" w14:textId="77777777" w:rsidR="0058789F" w:rsidRPr="001A14AE" w:rsidRDefault="0058789F" w:rsidP="0058789F">
      <w:pPr>
        <w:pStyle w:val="Heading6"/>
      </w:pPr>
      <w:r w:rsidRPr="001A14AE">
        <w:t>Receivables</w:t>
      </w:r>
    </w:p>
    <w:p w14:paraId="49E1C9D0" w14:textId="77777777" w:rsidR="0058789F" w:rsidRPr="00961EBF" w:rsidRDefault="0058789F" w:rsidP="0058789F">
      <w:pPr>
        <w:pStyle w:val="BodyText"/>
      </w:pPr>
      <w:r w:rsidRPr="00961EBF">
        <w:t>Receivables include amounts owing from government through appropriation receivable, short</w:t>
      </w:r>
      <w:r>
        <w:t>-</w:t>
      </w:r>
      <w:r w:rsidRPr="00961EBF">
        <w:t xml:space="preserve"> and long-term trade credit and accounts receivable, accrued investment income, grants, taxes and interest receivable.</w:t>
      </w:r>
    </w:p>
    <w:p w14:paraId="760818C9" w14:textId="77777777" w:rsidR="0058789F" w:rsidRPr="001A14AE" w:rsidRDefault="0058789F" w:rsidP="0058789F">
      <w:pPr>
        <w:pStyle w:val="Heading6"/>
      </w:pPr>
      <w:r w:rsidRPr="001A14AE">
        <w:t>Supplies and services</w:t>
      </w:r>
    </w:p>
    <w:p w14:paraId="2FABCA43" w14:textId="77777777" w:rsidR="0058789F" w:rsidRPr="00961EBF" w:rsidRDefault="0058789F" w:rsidP="0058789F">
      <w:pPr>
        <w:pStyle w:val="BodyText"/>
      </w:pPr>
      <w:r w:rsidRPr="00961EBF">
        <w:t>Supplies and services generally represent cost of goods sold and the day-to-day running costs, including maintenance costs, incurred in the normal operations of IBAC.</w:t>
      </w:r>
    </w:p>
    <w:p w14:paraId="6C7B2DE6" w14:textId="77777777" w:rsidR="0058789F" w:rsidRPr="001A14AE" w:rsidRDefault="0058789F" w:rsidP="0058789F">
      <w:pPr>
        <w:pStyle w:val="Heading6"/>
      </w:pPr>
      <w:r w:rsidRPr="001A14AE">
        <w:t>Transactions</w:t>
      </w:r>
    </w:p>
    <w:p w14:paraId="4C9CCE49" w14:textId="77777777" w:rsidR="0058789F" w:rsidRDefault="0058789F" w:rsidP="0058789F">
      <w:pPr>
        <w:pStyle w:val="BodyText"/>
      </w:pPr>
      <w:r w:rsidRPr="00961EBF">
        <w:t>Transactions are those economic flows that are considered to arise as a result of policy decisions, usually an interaction between two entities by mutual agreement. They also include flows in an entity such as depreciation</w:t>
      </w:r>
      <w:r>
        <w:t>,</w:t>
      </w:r>
      <w:r w:rsidRPr="00961EBF">
        <w:t xml:space="preserve"> where the owner is simultaneously acting as the owner of the depreciating asset and as the consumer of the service provided by the asset. Taxation is regarded as mutually agreed interactions between the government and taxpayers. </w:t>
      </w:r>
    </w:p>
    <w:p w14:paraId="36A29891" w14:textId="77777777" w:rsidR="0058789F" w:rsidRDefault="0058789F" w:rsidP="0058789F">
      <w:pPr>
        <w:pStyle w:val="BodyText"/>
      </w:pPr>
      <w:r w:rsidRPr="00961EBF">
        <w:t>Transactions can be in kind (</w:t>
      </w:r>
      <w:r>
        <w:t xml:space="preserve">for example, </w:t>
      </w:r>
      <w:r w:rsidRPr="00961EBF">
        <w:t>assets provided</w:t>
      </w:r>
      <w:r>
        <w:t xml:space="preserve"> or </w:t>
      </w:r>
      <w:r w:rsidRPr="00961EBF">
        <w:t>given free of charge or for nominal consideration) or where the final consideration is cash. In simple terms, transactions arise from the policy decisions of the government.</w:t>
      </w:r>
    </w:p>
    <w:p w14:paraId="16C3C88C" w14:textId="77777777" w:rsidR="0058789F" w:rsidRPr="0063008B" w:rsidRDefault="0058789F" w:rsidP="0058789F">
      <w:pPr>
        <w:pStyle w:val="NotesHeading1"/>
        <w:numPr>
          <w:ilvl w:val="0"/>
          <w:numId w:val="22"/>
        </w:numPr>
      </w:pPr>
      <w:bookmarkStart w:id="220" w:name="_Ref120788391"/>
      <w:r w:rsidRPr="0063008B">
        <w:t>Style conventions</w:t>
      </w:r>
      <w:bookmarkEnd w:id="220"/>
    </w:p>
    <w:p w14:paraId="6FF15C7A" w14:textId="77777777" w:rsidR="0058789F" w:rsidRDefault="0058789F" w:rsidP="0058789F">
      <w:pPr>
        <w:pStyle w:val="BodyText"/>
      </w:pPr>
      <w:r w:rsidRPr="00961EBF">
        <w:t xml:space="preserve">Figures in the tables and in the text have been rounded. Discrepancies in tables between totals and sums of components reflect rounding. Percentage variations in all tables are based on the underlying </w:t>
      </w:r>
      <w:r w:rsidRPr="0026338F">
        <w:t>unrounded amounts.</w:t>
      </w:r>
    </w:p>
    <w:tbl>
      <w:tblPr>
        <w:tblStyle w:val="CustomTableplaceholder"/>
        <w:tblW w:w="0" w:type="auto"/>
        <w:tblLook w:val="04A0" w:firstRow="1" w:lastRow="0" w:firstColumn="1" w:lastColumn="0" w:noHBand="0" w:noVBand="1"/>
      </w:tblPr>
      <w:tblGrid>
        <w:gridCol w:w="1418"/>
        <w:gridCol w:w="7609"/>
      </w:tblGrid>
      <w:tr w:rsidR="0058789F" w14:paraId="50AACBE8" w14:textId="77777777" w:rsidTr="00AD1066">
        <w:tc>
          <w:tcPr>
            <w:tcW w:w="1418" w:type="dxa"/>
          </w:tcPr>
          <w:p w14:paraId="1975A850" w14:textId="77777777" w:rsidR="0058789F" w:rsidRPr="00266B42" w:rsidRDefault="0058789F" w:rsidP="00AD1066">
            <w:pPr>
              <w:pStyle w:val="BodyText"/>
            </w:pPr>
            <w:r w:rsidRPr="00266B42">
              <w:t>–</w:t>
            </w:r>
          </w:p>
        </w:tc>
        <w:tc>
          <w:tcPr>
            <w:tcW w:w="7609" w:type="dxa"/>
          </w:tcPr>
          <w:p w14:paraId="51C6BF6E" w14:textId="77777777" w:rsidR="0058789F" w:rsidRPr="00266B42" w:rsidRDefault="0058789F" w:rsidP="00AD1066">
            <w:pPr>
              <w:pStyle w:val="BodyText"/>
            </w:pPr>
            <w:r w:rsidRPr="00266B42">
              <w:t>zero, or rounded to zero</w:t>
            </w:r>
          </w:p>
        </w:tc>
      </w:tr>
      <w:tr w:rsidR="0058789F" w:rsidRPr="00584617" w14:paraId="7FDDE34E" w14:textId="77777777" w:rsidTr="00AD1066">
        <w:tc>
          <w:tcPr>
            <w:tcW w:w="1418" w:type="dxa"/>
          </w:tcPr>
          <w:p w14:paraId="435D612B" w14:textId="77777777" w:rsidR="0058789F" w:rsidRPr="00266B42" w:rsidRDefault="0058789F" w:rsidP="00AD1066">
            <w:pPr>
              <w:pStyle w:val="BodyText"/>
            </w:pPr>
            <w:r w:rsidRPr="00266B42">
              <w:t>(xxx.x</w:t>
            </w:r>
            <w:r>
              <w:t>x</w:t>
            </w:r>
            <w:r w:rsidRPr="00266B42">
              <w:t>)</w:t>
            </w:r>
          </w:p>
        </w:tc>
        <w:tc>
          <w:tcPr>
            <w:tcW w:w="7609" w:type="dxa"/>
          </w:tcPr>
          <w:p w14:paraId="706578F3" w14:textId="77777777" w:rsidR="0058789F" w:rsidRPr="00266B42" w:rsidRDefault="0058789F" w:rsidP="00AD1066">
            <w:pPr>
              <w:pStyle w:val="BodyText"/>
            </w:pPr>
            <w:r w:rsidRPr="00266B42">
              <w:t>negative numbers</w:t>
            </w:r>
          </w:p>
        </w:tc>
      </w:tr>
      <w:tr w:rsidR="0058789F" w:rsidRPr="00584617" w14:paraId="291B557D" w14:textId="77777777" w:rsidTr="00AD1066">
        <w:tc>
          <w:tcPr>
            <w:tcW w:w="1418" w:type="dxa"/>
          </w:tcPr>
          <w:p w14:paraId="7E66303A" w14:textId="77777777" w:rsidR="0058789F" w:rsidRPr="00266B42" w:rsidRDefault="0058789F" w:rsidP="00AD1066">
            <w:pPr>
              <w:pStyle w:val="BodyText"/>
            </w:pPr>
            <w:r w:rsidRPr="00266B42">
              <w:t>20</w:t>
            </w:r>
            <w:r>
              <w:t>x</w:t>
            </w:r>
            <w:r w:rsidRPr="00266B42">
              <w:t>x</w:t>
            </w:r>
          </w:p>
        </w:tc>
        <w:tc>
          <w:tcPr>
            <w:tcW w:w="7609" w:type="dxa"/>
          </w:tcPr>
          <w:p w14:paraId="31551BE1" w14:textId="77777777" w:rsidR="0058789F" w:rsidRPr="00266B42" w:rsidRDefault="0058789F" w:rsidP="00AD1066">
            <w:pPr>
              <w:pStyle w:val="BodyText"/>
            </w:pPr>
            <w:r>
              <w:t>y</w:t>
            </w:r>
            <w:r w:rsidRPr="00266B42">
              <w:t>ear</w:t>
            </w:r>
            <w:r>
              <w:t xml:space="preserve"> </w:t>
            </w:r>
            <w:r w:rsidRPr="00266B42">
              <w:t>period</w:t>
            </w:r>
          </w:p>
        </w:tc>
      </w:tr>
      <w:tr w:rsidR="0058789F" w14:paraId="2907607C" w14:textId="77777777" w:rsidTr="00AD1066">
        <w:tc>
          <w:tcPr>
            <w:tcW w:w="1418" w:type="dxa"/>
          </w:tcPr>
          <w:p w14:paraId="18AB7295" w14:textId="77777777" w:rsidR="0058789F" w:rsidRPr="00266B42" w:rsidRDefault="0058789F" w:rsidP="00AD1066">
            <w:pPr>
              <w:pStyle w:val="BodyText"/>
            </w:pPr>
            <w:r w:rsidRPr="00266B42">
              <w:t>20</w:t>
            </w:r>
            <w:r>
              <w:t>x</w:t>
            </w:r>
            <w:r w:rsidRPr="00266B42">
              <w:t>x/</w:t>
            </w:r>
            <w:r>
              <w:t>x</w:t>
            </w:r>
            <w:r w:rsidRPr="00266B42">
              <w:t>x</w:t>
            </w:r>
          </w:p>
        </w:tc>
        <w:tc>
          <w:tcPr>
            <w:tcW w:w="7609" w:type="dxa"/>
          </w:tcPr>
          <w:p w14:paraId="04576D43" w14:textId="77777777" w:rsidR="0058789F" w:rsidRPr="00266B42" w:rsidRDefault="0058789F" w:rsidP="00AD1066">
            <w:pPr>
              <w:pStyle w:val="BodyText"/>
            </w:pPr>
            <w:r w:rsidRPr="00266B42">
              <w:t>year</w:t>
            </w:r>
            <w:r>
              <w:t xml:space="preserve"> </w:t>
            </w:r>
            <w:r w:rsidRPr="00266B42">
              <w:t>period</w:t>
            </w:r>
          </w:p>
        </w:tc>
      </w:tr>
    </w:tbl>
    <w:p w14:paraId="1B0D30EB" w14:textId="77777777" w:rsidR="0058789F" w:rsidRPr="00BE23C6" w:rsidRDefault="0058789F" w:rsidP="0058789F">
      <w:pPr>
        <w:pStyle w:val="TableNote"/>
      </w:pPr>
      <w:r w:rsidRPr="0026338F">
        <w:tab/>
      </w:r>
    </w:p>
    <w:p w14:paraId="5A2D8DEF" w14:textId="4A0AA9D2" w:rsidR="00961EBF" w:rsidRPr="00BE23C6" w:rsidRDefault="00961EBF" w:rsidP="00E867B1">
      <w:pPr>
        <w:pStyle w:val="TableNote"/>
      </w:pPr>
    </w:p>
    <w:p w14:paraId="14B4CF71" w14:textId="77777777" w:rsidR="0076660F" w:rsidRDefault="0076660F" w:rsidP="00631777">
      <w:pPr>
        <w:pStyle w:val="BodyText"/>
        <w:sectPr w:rsidR="0076660F" w:rsidSect="0074334F">
          <w:headerReference w:type="even" r:id="rId70"/>
          <w:headerReference w:type="default" r:id="rId71"/>
          <w:headerReference w:type="first" r:id="rId72"/>
          <w:pgSz w:w="11907" w:h="16839" w:code="9"/>
          <w:pgMar w:top="1440" w:right="1440" w:bottom="1440" w:left="1440" w:header="720" w:footer="720" w:gutter="0"/>
          <w:cols w:space="720"/>
          <w:docGrid w:linePitch="360"/>
        </w:sectPr>
      </w:pPr>
    </w:p>
    <w:p w14:paraId="6812C7AB" w14:textId="4F26301A" w:rsidR="009C2188" w:rsidRDefault="009C2188" w:rsidP="00E867B1">
      <w:pPr>
        <w:pStyle w:val="AppendixHeading1"/>
      </w:pPr>
      <w:bookmarkStart w:id="221" w:name="_Ref133830758"/>
      <w:bookmarkStart w:id="222" w:name="_Toc149131461"/>
      <w:r>
        <w:t>Workforce data</w:t>
      </w:r>
      <w:bookmarkEnd w:id="221"/>
      <w:bookmarkEnd w:id="222"/>
    </w:p>
    <w:p w14:paraId="23DFF200" w14:textId="39610B3E" w:rsidR="00D46892" w:rsidRPr="002F6765" w:rsidRDefault="00D46892" w:rsidP="00D46892">
      <w:pPr>
        <w:pStyle w:val="Heading2"/>
      </w:pPr>
      <w:r w:rsidRPr="002F6765">
        <w:t>O</w:t>
      </w:r>
      <w:r w:rsidR="006B022D">
        <w:t>ccupational health and safety</w:t>
      </w:r>
      <w:r w:rsidRPr="002F6765">
        <w:t xml:space="preserve"> risk </w:t>
      </w:r>
      <w:r w:rsidRPr="00066E88">
        <w:t>management</w:t>
      </w:r>
    </w:p>
    <w:p w14:paraId="7E70D859" w14:textId="48EE1A48" w:rsidR="000236F4" w:rsidRPr="00666FC5" w:rsidRDefault="0053142D" w:rsidP="00666FC5">
      <w:pPr>
        <w:pStyle w:val="BodyText"/>
        <w:rPr>
          <w:lang w:eastAsia="en-AU"/>
        </w:rPr>
      </w:pPr>
      <w:r>
        <w:t xml:space="preserve">During </w:t>
      </w:r>
      <w:r w:rsidR="000A1691">
        <w:t>2022/23</w:t>
      </w:r>
      <w:r>
        <w:t xml:space="preserve">, we focused on </w:t>
      </w:r>
      <w:r w:rsidR="00652D12">
        <w:t xml:space="preserve">encouraging employees to report incidents. </w:t>
      </w:r>
      <w:r w:rsidR="0062463A">
        <w:t xml:space="preserve">Our performance against OHS </w:t>
      </w:r>
      <w:r w:rsidR="007F051D">
        <w:t>risk management measures is shown in</w:t>
      </w:r>
      <w:r w:rsidR="00666FC5">
        <w:t xml:space="preserve"> </w:t>
      </w:r>
      <w:r w:rsidR="00666FC5">
        <w:fldChar w:fldCharType="begin"/>
      </w:r>
      <w:r w:rsidR="00666FC5">
        <w:instrText xml:space="preserve"> REF _Ref142670003 \h </w:instrText>
      </w:r>
      <w:r w:rsidR="00666FC5">
        <w:fldChar w:fldCharType="separate"/>
      </w:r>
      <w:r w:rsidR="00666FC5" w:rsidRPr="002F6765">
        <w:t xml:space="preserve">Table </w:t>
      </w:r>
      <w:r w:rsidR="00666FC5">
        <w:rPr>
          <w:noProof/>
        </w:rPr>
        <w:t>22</w:t>
      </w:r>
      <w:r w:rsidR="00666FC5">
        <w:fldChar w:fldCharType="end"/>
      </w:r>
      <w:r w:rsidR="007F051D">
        <w:t>.</w:t>
      </w:r>
    </w:p>
    <w:p w14:paraId="4AB447AC" w14:textId="3046EAE8" w:rsidR="00D46892" w:rsidRPr="002F6765" w:rsidRDefault="00D46892" w:rsidP="00834775">
      <w:pPr>
        <w:pStyle w:val="Caption"/>
      </w:pPr>
      <w:bookmarkStart w:id="223" w:name="_Ref142670003"/>
      <w:r w:rsidRPr="002F6765">
        <w:t xml:space="preserve">Table </w:t>
      </w:r>
      <w:r>
        <w:fldChar w:fldCharType="begin"/>
      </w:r>
      <w:r>
        <w:instrText xml:space="preserve"> SEQ Table \* ARABIC </w:instrText>
      </w:r>
      <w:r>
        <w:fldChar w:fldCharType="separate"/>
      </w:r>
      <w:r w:rsidR="00666FC5">
        <w:rPr>
          <w:noProof/>
        </w:rPr>
        <w:t>22</w:t>
      </w:r>
      <w:r>
        <w:rPr>
          <w:noProof/>
        </w:rPr>
        <w:fldChar w:fldCharType="end"/>
      </w:r>
      <w:bookmarkEnd w:id="223"/>
      <w:r w:rsidRPr="002F6765">
        <w:t xml:space="preserve">: IBAC’s performance </w:t>
      </w:r>
      <w:r w:rsidRPr="00066E88">
        <w:t>against</w:t>
      </w:r>
      <w:r w:rsidRPr="002F6765">
        <w:t xml:space="preserve"> OHS </w:t>
      </w:r>
      <w:r w:rsidR="007F051D">
        <w:t xml:space="preserve">risk </w:t>
      </w:r>
      <w:r w:rsidRPr="002F6765">
        <w:t>management measures</w:t>
      </w:r>
    </w:p>
    <w:tbl>
      <w:tblPr>
        <w:tblStyle w:val="CustomTablestandard"/>
        <w:tblW w:w="0" w:type="auto"/>
        <w:tblLook w:val="04A0" w:firstRow="1" w:lastRow="0" w:firstColumn="1" w:lastColumn="0" w:noHBand="0" w:noVBand="1"/>
      </w:tblPr>
      <w:tblGrid>
        <w:gridCol w:w="1560"/>
        <w:gridCol w:w="5244"/>
        <w:gridCol w:w="1134"/>
        <w:gridCol w:w="1089"/>
      </w:tblGrid>
      <w:tr w:rsidR="00D46892" w:rsidRPr="002F6765" w14:paraId="79CDE6A8" w14:textId="77777777">
        <w:trPr>
          <w:cnfStyle w:val="100000000000" w:firstRow="1" w:lastRow="0" w:firstColumn="0" w:lastColumn="0" w:oddVBand="0" w:evenVBand="0" w:oddHBand="0" w:evenHBand="0" w:firstRowFirstColumn="0" w:firstRowLastColumn="0" w:lastRowFirstColumn="0" w:lastRowLastColumn="0"/>
          <w:tblHeader/>
        </w:trPr>
        <w:tc>
          <w:tcPr>
            <w:tcW w:w="1560" w:type="dxa"/>
          </w:tcPr>
          <w:p w14:paraId="224D44C8" w14:textId="77777777" w:rsidR="00D46892" w:rsidRPr="002F6765" w:rsidRDefault="00D46892">
            <w:pPr>
              <w:pStyle w:val="TableBodyText"/>
              <w:rPr>
                <w:rFonts w:asciiTheme="minorHAnsi" w:hAnsiTheme="minorHAnsi" w:cstheme="minorHAnsi"/>
              </w:rPr>
            </w:pPr>
          </w:p>
        </w:tc>
        <w:tc>
          <w:tcPr>
            <w:tcW w:w="5244" w:type="dxa"/>
          </w:tcPr>
          <w:p w14:paraId="095475B7" w14:textId="77777777" w:rsidR="00D46892" w:rsidRPr="002F6765" w:rsidRDefault="00D46892">
            <w:pPr>
              <w:pStyle w:val="TableBodyText"/>
              <w:rPr>
                <w:rFonts w:asciiTheme="minorHAnsi" w:hAnsiTheme="minorHAnsi" w:cstheme="minorHAnsi"/>
              </w:rPr>
            </w:pPr>
          </w:p>
        </w:tc>
        <w:tc>
          <w:tcPr>
            <w:tcW w:w="1134" w:type="dxa"/>
          </w:tcPr>
          <w:p w14:paraId="0834A4C8" w14:textId="3A88A4CB" w:rsidR="00D46892" w:rsidRPr="00B0147E" w:rsidRDefault="000A1691" w:rsidP="00666FC5">
            <w:pPr>
              <w:pStyle w:val="TableHeading3rightalign"/>
            </w:pPr>
            <w:r>
              <w:t>2022/23</w:t>
            </w:r>
          </w:p>
        </w:tc>
        <w:tc>
          <w:tcPr>
            <w:tcW w:w="1089" w:type="dxa"/>
          </w:tcPr>
          <w:p w14:paraId="66A24214" w14:textId="5438D4EB" w:rsidR="00D46892" w:rsidRPr="00B0147E" w:rsidRDefault="000A1691">
            <w:pPr>
              <w:pStyle w:val="TableHeading2centrealign"/>
            </w:pPr>
            <w:r>
              <w:t>2021/22</w:t>
            </w:r>
          </w:p>
        </w:tc>
      </w:tr>
      <w:tr w:rsidR="00D46892" w:rsidRPr="00C71FA9" w14:paraId="611F29AC" w14:textId="77777777">
        <w:tc>
          <w:tcPr>
            <w:tcW w:w="1560" w:type="dxa"/>
            <w:vMerge w:val="restart"/>
          </w:tcPr>
          <w:p w14:paraId="6B16C2B9" w14:textId="77777777" w:rsidR="00D46892" w:rsidRPr="00C71FA9" w:rsidRDefault="00D46892">
            <w:pPr>
              <w:pStyle w:val="TableBodyText"/>
            </w:pPr>
            <w:r w:rsidRPr="00C71FA9">
              <w:t>Incidents</w:t>
            </w:r>
          </w:p>
        </w:tc>
        <w:tc>
          <w:tcPr>
            <w:tcW w:w="5244" w:type="dxa"/>
          </w:tcPr>
          <w:p w14:paraId="6339319C" w14:textId="4AD4BDD9" w:rsidR="00D46892" w:rsidRPr="00C71FA9" w:rsidRDefault="00D46892">
            <w:pPr>
              <w:pStyle w:val="TableBodyText"/>
            </w:pPr>
            <w:r w:rsidRPr="00C71FA9">
              <w:t>No. of incidents</w:t>
            </w:r>
          </w:p>
        </w:tc>
        <w:tc>
          <w:tcPr>
            <w:tcW w:w="1134" w:type="dxa"/>
            <w:shd w:val="clear" w:color="auto" w:fill="F2F2F2" w:themeFill="background1" w:themeFillShade="F2"/>
          </w:tcPr>
          <w:p w14:paraId="243117FF" w14:textId="29D8AD3E" w:rsidR="00D46892" w:rsidRPr="00DA748B" w:rsidRDefault="00891698">
            <w:pPr>
              <w:pStyle w:val="TableBodyTextrightalign"/>
            </w:pPr>
            <w:r>
              <w:t>64</w:t>
            </w:r>
          </w:p>
        </w:tc>
        <w:tc>
          <w:tcPr>
            <w:tcW w:w="1089" w:type="dxa"/>
            <w:shd w:val="clear" w:color="auto" w:fill="FFFFFF" w:themeFill="background1"/>
          </w:tcPr>
          <w:p w14:paraId="0A7261D0" w14:textId="77777777" w:rsidR="00D46892" w:rsidRPr="00DA748B" w:rsidRDefault="00D46892">
            <w:pPr>
              <w:pStyle w:val="TableBodyTextrightalign"/>
            </w:pPr>
            <w:r w:rsidRPr="00DA748B">
              <w:t>27</w:t>
            </w:r>
          </w:p>
        </w:tc>
      </w:tr>
      <w:tr w:rsidR="00D46892" w:rsidRPr="00C71FA9" w14:paraId="313FD350" w14:textId="77777777">
        <w:tc>
          <w:tcPr>
            <w:tcW w:w="1560" w:type="dxa"/>
            <w:vMerge/>
          </w:tcPr>
          <w:p w14:paraId="038EA5C5" w14:textId="77777777" w:rsidR="00D46892" w:rsidRPr="00C71FA9" w:rsidRDefault="00D46892">
            <w:pPr>
              <w:pStyle w:val="TableBodyText"/>
            </w:pPr>
          </w:p>
        </w:tc>
        <w:tc>
          <w:tcPr>
            <w:tcW w:w="5244" w:type="dxa"/>
          </w:tcPr>
          <w:p w14:paraId="127A3AD4" w14:textId="4EA3BAEF" w:rsidR="00D46892" w:rsidRPr="00C71FA9" w:rsidRDefault="00D46892">
            <w:pPr>
              <w:pStyle w:val="TableBodyText"/>
            </w:pPr>
            <w:r w:rsidRPr="00C71FA9">
              <w:t>Rate per 100 full-time equivalent</w:t>
            </w:r>
            <w:r w:rsidR="00455B74">
              <w:t xml:space="preserve"> (FTE</w:t>
            </w:r>
            <w:r w:rsidRPr="00C71FA9">
              <w:t>)</w:t>
            </w:r>
          </w:p>
        </w:tc>
        <w:tc>
          <w:tcPr>
            <w:tcW w:w="1134" w:type="dxa"/>
            <w:shd w:val="clear" w:color="auto" w:fill="F2F2F2" w:themeFill="background1" w:themeFillShade="F2"/>
          </w:tcPr>
          <w:p w14:paraId="762F9CB2" w14:textId="6211B271" w:rsidR="00D46892" w:rsidRPr="00DA748B" w:rsidRDefault="003103C4">
            <w:pPr>
              <w:pStyle w:val="TableBodyTextrightalign"/>
            </w:pPr>
            <w:r>
              <w:t>22.5</w:t>
            </w:r>
            <w:r w:rsidR="00D46892" w:rsidRPr="00DA748B">
              <w:t>%</w:t>
            </w:r>
          </w:p>
        </w:tc>
        <w:tc>
          <w:tcPr>
            <w:tcW w:w="1089" w:type="dxa"/>
            <w:shd w:val="clear" w:color="auto" w:fill="FFFFFF" w:themeFill="background1"/>
          </w:tcPr>
          <w:p w14:paraId="1B9B5606" w14:textId="77777777" w:rsidR="00D46892" w:rsidRPr="00DA748B" w:rsidRDefault="00D46892">
            <w:pPr>
              <w:pStyle w:val="TableBodyTextrightalign"/>
              <w:rPr>
                <w:rStyle w:val="Characterbold"/>
                <w:rFonts w:asciiTheme="minorHAnsi" w:hAnsiTheme="minorHAnsi" w:cstheme="minorHAnsi"/>
                <w:b w:val="0"/>
              </w:rPr>
            </w:pPr>
            <w:r w:rsidRPr="00DA748B">
              <w:t>11.7%</w:t>
            </w:r>
          </w:p>
        </w:tc>
      </w:tr>
      <w:tr w:rsidR="00D46892" w:rsidRPr="00C71FA9" w14:paraId="1B213CDB" w14:textId="77777777">
        <w:tc>
          <w:tcPr>
            <w:tcW w:w="1560" w:type="dxa"/>
            <w:vMerge/>
          </w:tcPr>
          <w:p w14:paraId="789A6133" w14:textId="77777777" w:rsidR="00D46892" w:rsidRPr="00C71FA9" w:rsidRDefault="00D46892">
            <w:pPr>
              <w:pStyle w:val="TableBodyText"/>
            </w:pPr>
          </w:p>
        </w:tc>
        <w:tc>
          <w:tcPr>
            <w:tcW w:w="5244" w:type="dxa"/>
          </w:tcPr>
          <w:p w14:paraId="558FEA1F" w14:textId="77777777" w:rsidR="00D46892" w:rsidRPr="00C71FA9" w:rsidRDefault="00D46892">
            <w:pPr>
              <w:pStyle w:val="TableBodyText"/>
            </w:pPr>
            <w:r w:rsidRPr="00C71FA9">
              <w:t>No. of incidents requiring first aid and/or further medical treatment</w:t>
            </w:r>
          </w:p>
        </w:tc>
        <w:tc>
          <w:tcPr>
            <w:tcW w:w="1134" w:type="dxa"/>
            <w:shd w:val="clear" w:color="auto" w:fill="F2F2F2" w:themeFill="background1" w:themeFillShade="F2"/>
          </w:tcPr>
          <w:p w14:paraId="0D158633" w14:textId="2F55F721" w:rsidR="00D46892" w:rsidRPr="00DA748B" w:rsidRDefault="005062CF">
            <w:pPr>
              <w:pStyle w:val="TableBodyTextrightalign"/>
            </w:pPr>
            <w:r w:rsidRPr="00DA748B">
              <w:t>1</w:t>
            </w:r>
          </w:p>
        </w:tc>
        <w:tc>
          <w:tcPr>
            <w:tcW w:w="1089" w:type="dxa"/>
            <w:shd w:val="clear" w:color="auto" w:fill="FFFFFF" w:themeFill="background1"/>
          </w:tcPr>
          <w:p w14:paraId="0DCA0B54" w14:textId="77777777" w:rsidR="00D46892" w:rsidRPr="00DA748B" w:rsidRDefault="00D46892">
            <w:pPr>
              <w:pStyle w:val="TableBodyTextrightalign"/>
              <w:rPr>
                <w:rStyle w:val="Characterbold"/>
                <w:rFonts w:asciiTheme="minorHAnsi" w:hAnsiTheme="minorHAnsi" w:cstheme="minorHAnsi"/>
                <w:b w:val="0"/>
              </w:rPr>
            </w:pPr>
            <w:r w:rsidRPr="00DA748B">
              <w:t>1</w:t>
            </w:r>
          </w:p>
        </w:tc>
      </w:tr>
      <w:tr w:rsidR="00D46892" w:rsidRPr="00C71FA9" w14:paraId="36B4B950" w14:textId="77777777">
        <w:tc>
          <w:tcPr>
            <w:tcW w:w="1560" w:type="dxa"/>
            <w:vMerge w:val="restart"/>
          </w:tcPr>
          <w:p w14:paraId="65285EE5" w14:textId="77777777" w:rsidR="00D46892" w:rsidRPr="00C71FA9" w:rsidRDefault="00D46892">
            <w:pPr>
              <w:pStyle w:val="TableBodyText"/>
            </w:pPr>
            <w:r w:rsidRPr="00C71FA9">
              <w:t>Claims</w:t>
            </w:r>
          </w:p>
        </w:tc>
        <w:tc>
          <w:tcPr>
            <w:tcW w:w="5244" w:type="dxa"/>
          </w:tcPr>
          <w:p w14:paraId="58CD6004" w14:textId="77777777" w:rsidR="00D46892" w:rsidRPr="00C71FA9" w:rsidRDefault="00D46892">
            <w:pPr>
              <w:pStyle w:val="TableBodyText"/>
            </w:pPr>
            <w:r w:rsidRPr="00C71FA9">
              <w:t>Standard claims</w:t>
            </w:r>
            <w:r w:rsidRPr="00C71FA9">
              <w:rPr>
                <w:rStyle w:val="Charactersuperscript"/>
              </w:rPr>
              <w:t>(a)</w:t>
            </w:r>
          </w:p>
        </w:tc>
        <w:tc>
          <w:tcPr>
            <w:tcW w:w="1134" w:type="dxa"/>
            <w:shd w:val="clear" w:color="auto" w:fill="F2F2F2" w:themeFill="background1" w:themeFillShade="F2"/>
          </w:tcPr>
          <w:p w14:paraId="59E957B6" w14:textId="64C62A4E" w:rsidR="00D46892" w:rsidRPr="00DA748B" w:rsidRDefault="005062CF">
            <w:pPr>
              <w:pStyle w:val="TableBodyTextrightalign"/>
            </w:pPr>
            <w:r w:rsidRPr="00DA748B">
              <w:t>2</w:t>
            </w:r>
          </w:p>
        </w:tc>
        <w:tc>
          <w:tcPr>
            <w:tcW w:w="1089" w:type="dxa"/>
            <w:shd w:val="clear" w:color="auto" w:fill="FFFFFF" w:themeFill="background1"/>
          </w:tcPr>
          <w:p w14:paraId="67D6CE49" w14:textId="77777777" w:rsidR="00D46892" w:rsidRPr="00DA748B" w:rsidRDefault="00D46892">
            <w:pPr>
              <w:pStyle w:val="TableBodyTextrightalign"/>
            </w:pPr>
            <w:r w:rsidRPr="00DA748B">
              <w:t>2</w:t>
            </w:r>
          </w:p>
        </w:tc>
      </w:tr>
      <w:tr w:rsidR="00D46892" w:rsidRPr="00C71FA9" w14:paraId="2FE50206" w14:textId="77777777">
        <w:tc>
          <w:tcPr>
            <w:tcW w:w="1560" w:type="dxa"/>
            <w:vMerge/>
          </w:tcPr>
          <w:p w14:paraId="4E35F007" w14:textId="77777777" w:rsidR="00D46892" w:rsidRPr="00C71FA9" w:rsidRDefault="00D46892">
            <w:pPr>
              <w:pStyle w:val="TableBodyText"/>
            </w:pPr>
          </w:p>
        </w:tc>
        <w:tc>
          <w:tcPr>
            <w:tcW w:w="5244" w:type="dxa"/>
          </w:tcPr>
          <w:p w14:paraId="06461EB4" w14:textId="77777777" w:rsidR="00D46892" w:rsidRPr="00C71FA9" w:rsidRDefault="00D46892">
            <w:pPr>
              <w:pStyle w:val="TableBodyText"/>
            </w:pPr>
            <w:r w:rsidRPr="00C71FA9">
              <w:t>Rate per 100 FTE</w:t>
            </w:r>
          </w:p>
        </w:tc>
        <w:tc>
          <w:tcPr>
            <w:tcW w:w="1134" w:type="dxa"/>
            <w:shd w:val="clear" w:color="auto" w:fill="F2F2F2" w:themeFill="background1" w:themeFillShade="F2"/>
          </w:tcPr>
          <w:p w14:paraId="4B1490EB" w14:textId="66016921" w:rsidR="00D46892" w:rsidRPr="00DA748B" w:rsidRDefault="005062CF">
            <w:pPr>
              <w:pStyle w:val="TableBodyTextrightalign"/>
            </w:pPr>
            <w:r w:rsidRPr="00DA748B">
              <w:t>0.7</w:t>
            </w:r>
            <w:r w:rsidR="00D46892" w:rsidRPr="00DA748B">
              <w:t>%</w:t>
            </w:r>
          </w:p>
        </w:tc>
        <w:tc>
          <w:tcPr>
            <w:tcW w:w="1089" w:type="dxa"/>
            <w:shd w:val="clear" w:color="auto" w:fill="FFFFFF" w:themeFill="background1"/>
          </w:tcPr>
          <w:p w14:paraId="6F0863AE" w14:textId="77777777" w:rsidR="00D46892" w:rsidRPr="00DA748B" w:rsidRDefault="00D46892">
            <w:pPr>
              <w:pStyle w:val="TableBodyTextrightalign"/>
              <w:rPr>
                <w:rStyle w:val="Characterbold"/>
                <w:b w:val="0"/>
              </w:rPr>
            </w:pPr>
            <w:r w:rsidRPr="00DA748B">
              <w:t>0.8%</w:t>
            </w:r>
          </w:p>
        </w:tc>
      </w:tr>
      <w:tr w:rsidR="00D46892" w:rsidRPr="00C71FA9" w14:paraId="1C88D6C5" w14:textId="77777777">
        <w:tc>
          <w:tcPr>
            <w:tcW w:w="1560" w:type="dxa"/>
            <w:vMerge/>
          </w:tcPr>
          <w:p w14:paraId="7F8B64BC" w14:textId="77777777" w:rsidR="00D46892" w:rsidRPr="00C71FA9" w:rsidRDefault="00D46892">
            <w:pPr>
              <w:pStyle w:val="TableBodyText"/>
            </w:pPr>
          </w:p>
        </w:tc>
        <w:tc>
          <w:tcPr>
            <w:tcW w:w="5244" w:type="dxa"/>
          </w:tcPr>
          <w:p w14:paraId="21A48838" w14:textId="77777777" w:rsidR="00D46892" w:rsidRPr="00C71FA9" w:rsidRDefault="00D46892">
            <w:pPr>
              <w:pStyle w:val="TableBodyText"/>
            </w:pPr>
            <w:r w:rsidRPr="00C71FA9">
              <w:t>No. of lost time claims</w:t>
            </w:r>
            <w:r w:rsidRPr="00C71FA9">
              <w:rPr>
                <w:rStyle w:val="Charactersuperscript"/>
              </w:rPr>
              <w:t>(a)</w:t>
            </w:r>
          </w:p>
        </w:tc>
        <w:tc>
          <w:tcPr>
            <w:tcW w:w="1134" w:type="dxa"/>
            <w:shd w:val="clear" w:color="auto" w:fill="F2F2F2" w:themeFill="background1" w:themeFillShade="F2"/>
          </w:tcPr>
          <w:p w14:paraId="400A9300" w14:textId="6392A65E" w:rsidR="00D46892" w:rsidRPr="00DA748B" w:rsidRDefault="005062CF">
            <w:pPr>
              <w:pStyle w:val="TableBodyTextrightalign"/>
            </w:pPr>
            <w:r w:rsidRPr="00DA748B">
              <w:t>1</w:t>
            </w:r>
          </w:p>
        </w:tc>
        <w:tc>
          <w:tcPr>
            <w:tcW w:w="1089" w:type="dxa"/>
            <w:shd w:val="clear" w:color="auto" w:fill="FFFFFF" w:themeFill="background1"/>
          </w:tcPr>
          <w:p w14:paraId="70B64BDA" w14:textId="77777777" w:rsidR="00D46892" w:rsidRPr="00DA748B" w:rsidRDefault="00D46892">
            <w:pPr>
              <w:pStyle w:val="TableBodyTextrightalign"/>
            </w:pPr>
            <w:r w:rsidRPr="00DA748B">
              <w:t>–</w:t>
            </w:r>
          </w:p>
        </w:tc>
      </w:tr>
      <w:tr w:rsidR="00D46892" w:rsidRPr="00C71FA9" w14:paraId="798C3B50" w14:textId="77777777">
        <w:tc>
          <w:tcPr>
            <w:tcW w:w="1560" w:type="dxa"/>
            <w:vMerge/>
          </w:tcPr>
          <w:p w14:paraId="48A3FEAF" w14:textId="77777777" w:rsidR="00D46892" w:rsidRPr="00C71FA9" w:rsidRDefault="00D46892">
            <w:pPr>
              <w:pStyle w:val="TableBodyText"/>
            </w:pPr>
          </w:p>
        </w:tc>
        <w:tc>
          <w:tcPr>
            <w:tcW w:w="5244" w:type="dxa"/>
          </w:tcPr>
          <w:p w14:paraId="566E657A" w14:textId="77777777" w:rsidR="00D46892" w:rsidRPr="00C71FA9" w:rsidRDefault="00D46892">
            <w:pPr>
              <w:pStyle w:val="TableBodyText"/>
            </w:pPr>
            <w:r w:rsidRPr="00C71FA9">
              <w:t>Rate per 100 FTE</w:t>
            </w:r>
          </w:p>
        </w:tc>
        <w:tc>
          <w:tcPr>
            <w:tcW w:w="1134" w:type="dxa"/>
            <w:shd w:val="clear" w:color="auto" w:fill="F2F2F2" w:themeFill="background1" w:themeFillShade="F2"/>
          </w:tcPr>
          <w:p w14:paraId="6437D45B" w14:textId="711A9332" w:rsidR="00D46892" w:rsidRPr="00DA748B" w:rsidRDefault="005062CF">
            <w:pPr>
              <w:pStyle w:val="TableBodyTextrightalign"/>
            </w:pPr>
            <w:r w:rsidRPr="00DA748B">
              <w:t>0.4</w:t>
            </w:r>
            <w:r w:rsidR="00D46892" w:rsidRPr="00DA748B">
              <w:t>%</w:t>
            </w:r>
          </w:p>
        </w:tc>
        <w:tc>
          <w:tcPr>
            <w:tcW w:w="1089" w:type="dxa"/>
            <w:shd w:val="clear" w:color="auto" w:fill="FFFFFF" w:themeFill="background1"/>
          </w:tcPr>
          <w:p w14:paraId="4CDA9B7F" w14:textId="77777777" w:rsidR="00D46892" w:rsidRPr="00DA748B" w:rsidRDefault="00D46892">
            <w:pPr>
              <w:pStyle w:val="TableBodyTextrightalign"/>
            </w:pPr>
            <w:r w:rsidRPr="00DA748B">
              <w:t>–</w:t>
            </w:r>
          </w:p>
        </w:tc>
      </w:tr>
      <w:tr w:rsidR="00D46892" w:rsidRPr="00C71FA9" w14:paraId="2328F58A" w14:textId="77777777">
        <w:tc>
          <w:tcPr>
            <w:tcW w:w="1560" w:type="dxa"/>
            <w:vMerge/>
          </w:tcPr>
          <w:p w14:paraId="13CC66A6" w14:textId="77777777" w:rsidR="00D46892" w:rsidRPr="00C71FA9" w:rsidRDefault="00D46892">
            <w:pPr>
              <w:pStyle w:val="TableBodyText"/>
            </w:pPr>
          </w:p>
        </w:tc>
        <w:tc>
          <w:tcPr>
            <w:tcW w:w="5244" w:type="dxa"/>
          </w:tcPr>
          <w:p w14:paraId="238AA814" w14:textId="77777777" w:rsidR="00D46892" w:rsidRPr="00C71FA9" w:rsidRDefault="00D46892">
            <w:pPr>
              <w:pStyle w:val="TableBodyText"/>
            </w:pPr>
            <w:r w:rsidRPr="00C71FA9">
              <w:t>No. of claims exceeding 13 weeks</w:t>
            </w:r>
            <w:r w:rsidRPr="00C71FA9">
              <w:rPr>
                <w:rStyle w:val="Charactersuperscript"/>
              </w:rPr>
              <w:t>(a)</w:t>
            </w:r>
          </w:p>
        </w:tc>
        <w:tc>
          <w:tcPr>
            <w:tcW w:w="1134" w:type="dxa"/>
            <w:shd w:val="clear" w:color="auto" w:fill="F2F2F2" w:themeFill="background1" w:themeFillShade="F2"/>
          </w:tcPr>
          <w:p w14:paraId="195EBC78" w14:textId="4C935B01" w:rsidR="00D46892" w:rsidRPr="00DA748B" w:rsidRDefault="007B7133">
            <w:pPr>
              <w:pStyle w:val="TableBodyTextrightalign"/>
            </w:pPr>
            <w:r w:rsidRPr="00DA748B">
              <w:t>1</w:t>
            </w:r>
          </w:p>
        </w:tc>
        <w:tc>
          <w:tcPr>
            <w:tcW w:w="1089" w:type="dxa"/>
            <w:shd w:val="clear" w:color="auto" w:fill="FFFFFF" w:themeFill="background1"/>
          </w:tcPr>
          <w:p w14:paraId="6270F9B8" w14:textId="77777777" w:rsidR="00D46892" w:rsidRPr="00DA748B" w:rsidRDefault="00D46892">
            <w:pPr>
              <w:pStyle w:val="TableBodyTextrightalign"/>
            </w:pPr>
            <w:r w:rsidRPr="00DA748B">
              <w:t>–</w:t>
            </w:r>
          </w:p>
        </w:tc>
      </w:tr>
      <w:tr w:rsidR="00D46892" w:rsidRPr="00C71FA9" w14:paraId="124B7E02" w14:textId="77777777">
        <w:tc>
          <w:tcPr>
            <w:tcW w:w="1560" w:type="dxa"/>
            <w:vMerge/>
          </w:tcPr>
          <w:p w14:paraId="756085F9" w14:textId="77777777" w:rsidR="00D46892" w:rsidRPr="00C71FA9" w:rsidRDefault="00D46892">
            <w:pPr>
              <w:pStyle w:val="TableBodyText"/>
            </w:pPr>
          </w:p>
        </w:tc>
        <w:tc>
          <w:tcPr>
            <w:tcW w:w="5244" w:type="dxa"/>
          </w:tcPr>
          <w:p w14:paraId="13008F4E" w14:textId="77777777" w:rsidR="00D46892" w:rsidRPr="00C71FA9" w:rsidRDefault="00D46892">
            <w:pPr>
              <w:pStyle w:val="TableBodyText"/>
            </w:pPr>
            <w:r w:rsidRPr="00C71FA9">
              <w:t>Rate per 100 FTE</w:t>
            </w:r>
          </w:p>
        </w:tc>
        <w:tc>
          <w:tcPr>
            <w:tcW w:w="1134" w:type="dxa"/>
            <w:shd w:val="clear" w:color="auto" w:fill="F2F2F2" w:themeFill="background1" w:themeFillShade="F2"/>
          </w:tcPr>
          <w:p w14:paraId="178661E7" w14:textId="3FD02EC2" w:rsidR="00D46892" w:rsidRPr="00DA748B" w:rsidRDefault="007B7133">
            <w:pPr>
              <w:pStyle w:val="TableBodyTextrightalign"/>
            </w:pPr>
            <w:r w:rsidRPr="00DA748B">
              <w:t>0.4</w:t>
            </w:r>
            <w:r w:rsidR="00D46892" w:rsidRPr="00DA748B">
              <w:t>%</w:t>
            </w:r>
          </w:p>
        </w:tc>
        <w:tc>
          <w:tcPr>
            <w:tcW w:w="1089" w:type="dxa"/>
            <w:shd w:val="clear" w:color="auto" w:fill="FFFFFF" w:themeFill="background1"/>
          </w:tcPr>
          <w:p w14:paraId="1966A819" w14:textId="77777777" w:rsidR="00D46892" w:rsidRPr="00DA748B" w:rsidRDefault="00D46892">
            <w:pPr>
              <w:pStyle w:val="TableBodyTextrightalign"/>
            </w:pPr>
            <w:r w:rsidRPr="00DA748B">
              <w:t>–</w:t>
            </w:r>
          </w:p>
        </w:tc>
      </w:tr>
      <w:tr w:rsidR="00D46892" w:rsidRPr="00C71FA9" w14:paraId="4818BEEC" w14:textId="77777777">
        <w:tc>
          <w:tcPr>
            <w:tcW w:w="1560" w:type="dxa"/>
          </w:tcPr>
          <w:p w14:paraId="752DCBAB" w14:textId="77777777" w:rsidR="00D46892" w:rsidRPr="00C71FA9" w:rsidRDefault="00D46892">
            <w:pPr>
              <w:pStyle w:val="TableBodyText"/>
            </w:pPr>
            <w:r w:rsidRPr="00C71FA9">
              <w:t>Fatalities</w:t>
            </w:r>
          </w:p>
        </w:tc>
        <w:tc>
          <w:tcPr>
            <w:tcW w:w="5244" w:type="dxa"/>
          </w:tcPr>
          <w:p w14:paraId="78EB611E" w14:textId="77777777" w:rsidR="00D46892" w:rsidRPr="00C71FA9" w:rsidRDefault="00D46892">
            <w:pPr>
              <w:pStyle w:val="TableBodyText"/>
            </w:pPr>
            <w:r w:rsidRPr="00C71FA9">
              <w:t>Fatality claims</w:t>
            </w:r>
          </w:p>
        </w:tc>
        <w:tc>
          <w:tcPr>
            <w:tcW w:w="1134" w:type="dxa"/>
            <w:shd w:val="clear" w:color="auto" w:fill="F2F2F2" w:themeFill="background1" w:themeFillShade="F2"/>
          </w:tcPr>
          <w:p w14:paraId="78F9C1CB" w14:textId="7520BFE6" w:rsidR="00D46892" w:rsidRPr="00DA748B" w:rsidRDefault="00831BFF">
            <w:pPr>
              <w:pStyle w:val="TableBodyTextrightalign"/>
            </w:pPr>
            <w:r w:rsidRPr="00DA748B">
              <w:t>–</w:t>
            </w:r>
          </w:p>
        </w:tc>
        <w:tc>
          <w:tcPr>
            <w:tcW w:w="1089" w:type="dxa"/>
            <w:shd w:val="clear" w:color="auto" w:fill="FFFFFF" w:themeFill="background1"/>
          </w:tcPr>
          <w:p w14:paraId="208C795E" w14:textId="77777777" w:rsidR="00D46892" w:rsidRPr="00DA748B" w:rsidRDefault="00D46892">
            <w:pPr>
              <w:pStyle w:val="TableBodyTextrightalign"/>
            </w:pPr>
            <w:r w:rsidRPr="00DA748B">
              <w:t>–</w:t>
            </w:r>
          </w:p>
        </w:tc>
      </w:tr>
      <w:tr w:rsidR="00D46892" w:rsidRPr="00C71FA9" w14:paraId="08E164A6" w14:textId="77777777">
        <w:tc>
          <w:tcPr>
            <w:tcW w:w="1560" w:type="dxa"/>
          </w:tcPr>
          <w:p w14:paraId="78615147" w14:textId="77777777" w:rsidR="00D46892" w:rsidRPr="00C71FA9" w:rsidRDefault="00D46892">
            <w:pPr>
              <w:pStyle w:val="TableBodyText"/>
            </w:pPr>
            <w:r w:rsidRPr="00C71FA9">
              <w:t>Claim costs</w:t>
            </w:r>
          </w:p>
        </w:tc>
        <w:tc>
          <w:tcPr>
            <w:tcW w:w="5244" w:type="dxa"/>
          </w:tcPr>
          <w:p w14:paraId="48780010" w14:textId="77777777" w:rsidR="00D46892" w:rsidRPr="00C71FA9" w:rsidRDefault="00D46892">
            <w:pPr>
              <w:pStyle w:val="TableBodyText"/>
            </w:pPr>
            <w:r w:rsidRPr="00C71FA9">
              <w:t>Average cost per standard claim</w:t>
            </w:r>
            <w:r w:rsidRPr="00C71FA9">
              <w:rPr>
                <w:rStyle w:val="Charactersuperscript"/>
              </w:rPr>
              <w:t>(a)</w:t>
            </w:r>
          </w:p>
        </w:tc>
        <w:tc>
          <w:tcPr>
            <w:tcW w:w="1134" w:type="dxa"/>
            <w:shd w:val="clear" w:color="auto" w:fill="F2F2F2" w:themeFill="background1" w:themeFillShade="F2"/>
          </w:tcPr>
          <w:p w14:paraId="3EA7359D" w14:textId="558271BE" w:rsidR="00D46892" w:rsidRPr="00DA748B" w:rsidRDefault="00D46892">
            <w:pPr>
              <w:pStyle w:val="TableBodyTextrightalign"/>
            </w:pPr>
            <w:r w:rsidRPr="00DA748B">
              <w:t>$</w:t>
            </w:r>
            <w:r w:rsidR="008E3AA4" w:rsidRPr="00DA748B">
              <w:t>60</w:t>
            </w:r>
            <w:r w:rsidR="00D24762" w:rsidRPr="00DA748B">
              <w:t>,</w:t>
            </w:r>
            <w:r w:rsidR="008E3AA4" w:rsidRPr="00DA748B">
              <w:t>015.5</w:t>
            </w:r>
            <w:r w:rsidR="00831BFF" w:rsidRPr="00DA748B">
              <w:t>0</w:t>
            </w:r>
          </w:p>
        </w:tc>
        <w:tc>
          <w:tcPr>
            <w:tcW w:w="1089" w:type="dxa"/>
            <w:shd w:val="clear" w:color="auto" w:fill="FFFFFF" w:themeFill="background1"/>
          </w:tcPr>
          <w:p w14:paraId="2FC08CAC" w14:textId="2A303752" w:rsidR="00D46892" w:rsidRPr="00DA748B" w:rsidRDefault="00D46892">
            <w:pPr>
              <w:pStyle w:val="TableBodyTextrightalign"/>
            </w:pPr>
            <w:r w:rsidRPr="00DA748B">
              <w:t>$360</w:t>
            </w:r>
            <w:r w:rsidR="00286120">
              <w:t>.00</w:t>
            </w:r>
          </w:p>
        </w:tc>
      </w:tr>
      <w:tr w:rsidR="00D46892" w:rsidRPr="00C71FA9" w14:paraId="62986B7B" w14:textId="77777777">
        <w:tc>
          <w:tcPr>
            <w:tcW w:w="1560" w:type="dxa"/>
          </w:tcPr>
          <w:p w14:paraId="49DEF6B1" w14:textId="64F3E49C" w:rsidR="00D46892" w:rsidRPr="00C71FA9" w:rsidRDefault="00D46892">
            <w:pPr>
              <w:pStyle w:val="TableBodyText"/>
            </w:pPr>
            <w:r w:rsidRPr="00C71FA9">
              <w:t xml:space="preserve">Return to work </w:t>
            </w:r>
          </w:p>
        </w:tc>
        <w:tc>
          <w:tcPr>
            <w:tcW w:w="5244" w:type="dxa"/>
          </w:tcPr>
          <w:p w14:paraId="09AABB99" w14:textId="663CBF63" w:rsidR="00D46892" w:rsidRPr="00C71FA9" w:rsidRDefault="00D46892">
            <w:pPr>
              <w:pStyle w:val="TableBodyText"/>
            </w:pPr>
            <w:r w:rsidRPr="00C71FA9">
              <w:t xml:space="preserve">Percentage of claims with </w:t>
            </w:r>
            <w:r w:rsidR="00286120">
              <w:t>return-to-work</w:t>
            </w:r>
            <w:r w:rsidRPr="00C71FA9">
              <w:t xml:space="preserve"> plan &lt;</w:t>
            </w:r>
            <w:r w:rsidR="00025C73">
              <w:t xml:space="preserve"> </w:t>
            </w:r>
            <w:r w:rsidRPr="00C71FA9">
              <w:t>30 days</w:t>
            </w:r>
          </w:p>
        </w:tc>
        <w:tc>
          <w:tcPr>
            <w:tcW w:w="1134" w:type="dxa"/>
            <w:shd w:val="clear" w:color="auto" w:fill="F2F2F2" w:themeFill="background1" w:themeFillShade="F2"/>
          </w:tcPr>
          <w:p w14:paraId="75EB8125" w14:textId="3940CADF" w:rsidR="00D46892" w:rsidRPr="00DA748B" w:rsidRDefault="008E3AA4">
            <w:pPr>
              <w:pStyle w:val="TableBodyTextrightalign"/>
            </w:pPr>
            <w:r w:rsidRPr="00DA748B">
              <w:t>5</w:t>
            </w:r>
            <w:r w:rsidR="00831BFF" w:rsidRPr="00DA748B">
              <w:t>0</w:t>
            </w:r>
            <w:r w:rsidR="004E3C96">
              <w:t>.0</w:t>
            </w:r>
            <w:r w:rsidR="00D46892" w:rsidRPr="00DA748B">
              <w:t>%</w:t>
            </w:r>
          </w:p>
        </w:tc>
        <w:tc>
          <w:tcPr>
            <w:tcW w:w="1089" w:type="dxa"/>
            <w:shd w:val="clear" w:color="auto" w:fill="FFFFFF" w:themeFill="background1"/>
          </w:tcPr>
          <w:p w14:paraId="66C65ADB" w14:textId="046EE1F4" w:rsidR="00D46892" w:rsidRPr="00DA748B" w:rsidRDefault="00831BFF">
            <w:pPr>
              <w:pStyle w:val="TableBodyTextrightalign"/>
              <w:rPr>
                <w:rStyle w:val="Characterbold"/>
                <w:rFonts w:asciiTheme="minorHAnsi" w:hAnsiTheme="minorHAnsi" w:cstheme="minorHAnsi"/>
                <w:b w:val="0"/>
              </w:rPr>
            </w:pPr>
            <w:r w:rsidRPr="00DA748B">
              <w:t>–</w:t>
            </w:r>
          </w:p>
        </w:tc>
      </w:tr>
      <w:tr w:rsidR="00D46892" w:rsidRPr="00C71FA9" w14:paraId="156E76EC" w14:textId="77777777">
        <w:tc>
          <w:tcPr>
            <w:tcW w:w="1560" w:type="dxa"/>
            <w:vMerge w:val="restart"/>
          </w:tcPr>
          <w:p w14:paraId="0C604B6B" w14:textId="77777777" w:rsidR="00D46892" w:rsidRPr="00C71FA9" w:rsidRDefault="00D46892">
            <w:pPr>
              <w:pStyle w:val="TableBodyText"/>
            </w:pPr>
            <w:r w:rsidRPr="00C71FA9">
              <w:t>Management commitment</w:t>
            </w:r>
          </w:p>
        </w:tc>
        <w:tc>
          <w:tcPr>
            <w:tcW w:w="5244" w:type="dxa"/>
          </w:tcPr>
          <w:p w14:paraId="6539F367" w14:textId="1B174333" w:rsidR="00D46892" w:rsidRPr="00C71FA9" w:rsidRDefault="00D46892">
            <w:pPr>
              <w:pStyle w:val="TableBodyText"/>
            </w:pPr>
            <w:r w:rsidRPr="00C71FA9">
              <w:t>Evidence of OHS policy statement, OHS objectives</w:t>
            </w:r>
            <w:r w:rsidR="00CC60C6">
              <w:t xml:space="preserve"> and</w:t>
            </w:r>
            <w:r w:rsidRPr="00C71FA9">
              <w:t xml:space="preserve"> regular reporting to senior management o</w:t>
            </w:r>
            <w:r w:rsidR="00D40DCB">
              <w:t>n</w:t>
            </w:r>
            <w:r w:rsidRPr="00C71FA9">
              <w:t xml:space="preserve"> OHS</w:t>
            </w:r>
          </w:p>
        </w:tc>
        <w:tc>
          <w:tcPr>
            <w:tcW w:w="1134" w:type="dxa"/>
            <w:shd w:val="clear" w:color="auto" w:fill="F2F2F2" w:themeFill="background1" w:themeFillShade="F2"/>
          </w:tcPr>
          <w:p w14:paraId="7B3BA4B6" w14:textId="77777777" w:rsidR="00D46892" w:rsidRPr="00DA748B" w:rsidRDefault="00D46892" w:rsidP="00C76DBA">
            <w:pPr>
              <w:pStyle w:val="TableBodyTextrightalign"/>
            </w:pPr>
            <w:r w:rsidRPr="00DA748B">
              <w:t>Completed</w:t>
            </w:r>
          </w:p>
        </w:tc>
        <w:tc>
          <w:tcPr>
            <w:tcW w:w="1089" w:type="dxa"/>
            <w:shd w:val="clear" w:color="auto" w:fill="FFFFFF" w:themeFill="background1"/>
          </w:tcPr>
          <w:p w14:paraId="3A2AC258" w14:textId="77777777" w:rsidR="00D46892" w:rsidRPr="00DA748B" w:rsidRDefault="00D46892">
            <w:pPr>
              <w:pStyle w:val="TableBodyTextrightalign"/>
              <w:rPr>
                <w:rStyle w:val="Characterbold"/>
                <w:rFonts w:asciiTheme="minorHAnsi" w:hAnsiTheme="minorHAnsi" w:cstheme="minorHAnsi"/>
                <w:b w:val="0"/>
              </w:rPr>
            </w:pPr>
            <w:r w:rsidRPr="00DA748B">
              <w:t>Completed</w:t>
            </w:r>
          </w:p>
        </w:tc>
      </w:tr>
      <w:tr w:rsidR="00D46892" w:rsidRPr="00C71FA9" w14:paraId="5E750BBB" w14:textId="77777777">
        <w:tc>
          <w:tcPr>
            <w:tcW w:w="1560" w:type="dxa"/>
            <w:vMerge/>
          </w:tcPr>
          <w:p w14:paraId="49D5041D" w14:textId="77777777" w:rsidR="00D46892" w:rsidRPr="00C71FA9" w:rsidRDefault="00D46892">
            <w:pPr>
              <w:pStyle w:val="TableBodyText"/>
            </w:pPr>
          </w:p>
        </w:tc>
        <w:tc>
          <w:tcPr>
            <w:tcW w:w="5244" w:type="dxa"/>
          </w:tcPr>
          <w:p w14:paraId="0C0BB836" w14:textId="77777777" w:rsidR="00D46892" w:rsidRPr="00C71FA9" w:rsidRDefault="00D46892">
            <w:pPr>
              <w:pStyle w:val="TableBodyText"/>
            </w:pPr>
            <w:r w:rsidRPr="00C71FA9">
              <w:t>Evidence of OHS criteria in purchasing guidelines (including goods, services and personnel)</w:t>
            </w:r>
          </w:p>
        </w:tc>
        <w:tc>
          <w:tcPr>
            <w:tcW w:w="1134" w:type="dxa"/>
            <w:shd w:val="clear" w:color="auto" w:fill="F2F2F2" w:themeFill="background1" w:themeFillShade="F2"/>
          </w:tcPr>
          <w:p w14:paraId="38A6A3C5" w14:textId="77777777" w:rsidR="00D46892" w:rsidRPr="00DA748B" w:rsidRDefault="00D46892" w:rsidP="00C76DBA">
            <w:pPr>
              <w:pStyle w:val="TableBodyTextrightalign"/>
            </w:pPr>
            <w:r w:rsidRPr="00DA748B">
              <w:t>Completed</w:t>
            </w:r>
          </w:p>
        </w:tc>
        <w:tc>
          <w:tcPr>
            <w:tcW w:w="1089" w:type="dxa"/>
            <w:shd w:val="clear" w:color="auto" w:fill="FFFFFF" w:themeFill="background1"/>
          </w:tcPr>
          <w:p w14:paraId="6BE58039" w14:textId="77777777" w:rsidR="00D46892" w:rsidRPr="00DA748B" w:rsidRDefault="00D46892">
            <w:pPr>
              <w:pStyle w:val="TableBodyTextrightalign"/>
              <w:rPr>
                <w:rStyle w:val="Characterbold"/>
                <w:rFonts w:asciiTheme="minorHAnsi" w:hAnsiTheme="minorHAnsi" w:cstheme="minorHAnsi"/>
                <w:b w:val="0"/>
              </w:rPr>
            </w:pPr>
            <w:r w:rsidRPr="00DA748B">
              <w:t>Completed</w:t>
            </w:r>
          </w:p>
        </w:tc>
      </w:tr>
      <w:tr w:rsidR="00D46892" w:rsidRPr="00C71FA9" w14:paraId="00BEB96D" w14:textId="77777777">
        <w:tc>
          <w:tcPr>
            <w:tcW w:w="1560" w:type="dxa"/>
            <w:vMerge w:val="restart"/>
          </w:tcPr>
          <w:p w14:paraId="4B4FFD0B" w14:textId="77777777" w:rsidR="00D46892" w:rsidRPr="00C71FA9" w:rsidRDefault="00D46892">
            <w:pPr>
              <w:pStyle w:val="TableBodyText"/>
            </w:pPr>
            <w:r w:rsidRPr="00C71FA9">
              <w:t>Consultation and participation</w:t>
            </w:r>
          </w:p>
        </w:tc>
        <w:tc>
          <w:tcPr>
            <w:tcW w:w="5244" w:type="dxa"/>
          </w:tcPr>
          <w:p w14:paraId="56AB6F5A" w14:textId="7F45CAFE" w:rsidR="00D46892" w:rsidRPr="00C71FA9" w:rsidRDefault="00D46892">
            <w:pPr>
              <w:pStyle w:val="TableBodyText"/>
            </w:pPr>
            <w:r w:rsidRPr="00C71FA9">
              <w:t>Evidence of agreed structure of designated workgroups, HSRs and issue-resolution procedures</w:t>
            </w:r>
          </w:p>
        </w:tc>
        <w:tc>
          <w:tcPr>
            <w:tcW w:w="1134" w:type="dxa"/>
            <w:shd w:val="clear" w:color="auto" w:fill="F2F2F2" w:themeFill="background1" w:themeFillShade="F2"/>
          </w:tcPr>
          <w:p w14:paraId="09DBC02B" w14:textId="77777777" w:rsidR="00D46892" w:rsidRPr="00DA748B" w:rsidRDefault="00D46892" w:rsidP="00C76DBA">
            <w:pPr>
              <w:pStyle w:val="TableBodyTextrightalign"/>
            </w:pPr>
            <w:r w:rsidRPr="00DA748B">
              <w:t>Completed</w:t>
            </w:r>
          </w:p>
        </w:tc>
        <w:tc>
          <w:tcPr>
            <w:tcW w:w="1089" w:type="dxa"/>
            <w:shd w:val="clear" w:color="auto" w:fill="FFFFFF" w:themeFill="background1"/>
          </w:tcPr>
          <w:p w14:paraId="4E67D762" w14:textId="77777777" w:rsidR="00D46892" w:rsidRPr="007E78B5" w:rsidRDefault="00D46892" w:rsidP="007E78B5">
            <w:pPr>
              <w:pStyle w:val="TableBodyTextcentrealign"/>
            </w:pPr>
            <w:r w:rsidRPr="007E78B5">
              <w:t>Completed</w:t>
            </w:r>
          </w:p>
        </w:tc>
      </w:tr>
      <w:tr w:rsidR="00D46892" w:rsidRPr="00C71FA9" w14:paraId="537CD9AD" w14:textId="77777777" w:rsidTr="00666FC5">
        <w:tc>
          <w:tcPr>
            <w:tcW w:w="0" w:type="dxa"/>
            <w:vMerge/>
          </w:tcPr>
          <w:p w14:paraId="2FDC3083" w14:textId="77777777" w:rsidR="00D46892" w:rsidRPr="00C71FA9" w:rsidRDefault="00D46892">
            <w:pPr>
              <w:pStyle w:val="TableBodyText"/>
            </w:pPr>
          </w:p>
        </w:tc>
        <w:tc>
          <w:tcPr>
            <w:tcW w:w="0" w:type="dxa"/>
          </w:tcPr>
          <w:p w14:paraId="2D3DE7FC" w14:textId="311012FB" w:rsidR="00D46892" w:rsidRPr="00C71FA9" w:rsidRDefault="00D46892">
            <w:pPr>
              <w:pStyle w:val="TableBodyText"/>
            </w:pPr>
            <w:r w:rsidRPr="00C71FA9">
              <w:t xml:space="preserve">Compliance with agreed structure on </w:t>
            </w:r>
            <w:r>
              <w:t>designated workgroups</w:t>
            </w:r>
            <w:r w:rsidRPr="00C71FA9">
              <w:t xml:space="preserve">, HSRs and </w:t>
            </w:r>
            <w:r w:rsidR="004876FC" w:rsidRPr="00C71FA9">
              <w:t>issue-resolution procedures</w:t>
            </w:r>
          </w:p>
        </w:tc>
        <w:tc>
          <w:tcPr>
            <w:tcW w:w="0" w:type="dxa"/>
            <w:shd w:val="clear" w:color="auto" w:fill="auto"/>
          </w:tcPr>
          <w:p w14:paraId="3AF97E15" w14:textId="77777777" w:rsidR="00D46892" w:rsidRPr="00DA748B" w:rsidRDefault="00D46892" w:rsidP="00E82C0F">
            <w:pPr>
              <w:pStyle w:val="TableBodyTextrightalign"/>
            </w:pPr>
            <w:r w:rsidRPr="00DA748B">
              <w:t>Completed</w:t>
            </w:r>
          </w:p>
        </w:tc>
        <w:tc>
          <w:tcPr>
            <w:tcW w:w="0" w:type="dxa"/>
            <w:shd w:val="clear" w:color="auto" w:fill="FFFFFF" w:themeFill="background1"/>
          </w:tcPr>
          <w:p w14:paraId="1066D16C" w14:textId="77777777" w:rsidR="00D46892" w:rsidRPr="007E78B5" w:rsidRDefault="00D46892" w:rsidP="007E78B5">
            <w:pPr>
              <w:pStyle w:val="TableBodyTextcentrealign"/>
            </w:pPr>
            <w:r w:rsidRPr="007E78B5">
              <w:t>Completed</w:t>
            </w:r>
          </w:p>
        </w:tc>
      </w:tr>
      <w:tr w:rsidR="00D46892" w:rsidRPr="00C71FA9" w14:paraId="2DD37EFC" w14:textId="77777777">
        <w:tc>
          <w:tcPr>
            <w:tcW w:w="1560" w:type="dxa"/>
            <w:vMerge/>
          </w:tcPr>
          <w:p w14:paraId="77B79996" w14:textId="77777777" w:rsidR="00D46892" w:rsidRPr="00C71FA9" w:rsidRDefault="00D46892">
            <w:pPr>
              <w:pStyle w:val="TableBodyText"/>
            </w:pPr>
          </w:p>
        </w:tc>
        <w:tc>
          <w:tcPr>
            <w:tcW w:w="5244" w:type="dxa"/>
          </w:tcPr>
          <w:p w14:paraId="598C043B" w14:textId="77777777" w:rsidR="00D46892" w:rsidRPr="00C71FA9" w:rsidRDefault="00D46892">
            <w:pPr>
              <w:pStyle w:val="TableBodyText"/>
            </w:pPr>
            <w:r w:rsidRPr="00C71FA9">
              <w:t>No. of quarterly OHS committee meetings</w:t>
            </w:r>
          </w:p>
        </w:tc>
        <w:tc>
          <w:tcPr>
            <w:tcW w:w="1134" w:type="dxa"/>
            <w:shd w:val="clear" w:color="auto" w:fill="F2F2F2" w:themeFill="background1" w:themeFillShade="F2"/>
          </w:tcPr>
          <w:p w14:paraId="6B8B2545" w14:textId="7EF31861" w:rsidR="00D46892" w:rsidRPr="00DA748B" w:rsidRDefault="007D0930">
            <w:pPr>
              <w:pStyle w:val="TableBodyTextrightalign"/>
            </w:pPr>
            <w:r w:rsidRPr="00DA748B">
              <w:t>4</w:t>
            </w:r>
          </w:p>
        </w:tc>
        <w:tc>
          <w:tcPr>
            <w:tcW w:w="1089" w:type="dxa"/>
            <w:shd w:val="clear" w:color="auto" w:fill="FFFFFF" w:themeFill="background1"/>
          </w:tcPr>
          <w:p w14:paraId="5421C01A" w14:textId="77777777" w:rsidR="00D46892" w:rsidRPr="00DA748B" w:rsidRDefault="00D46892">
            <w:pPr>
              <w:pStyle w:val="TableBodyTextrightalign"/>
            </w:pPr>
            <w:r w:rsidRPr="00DA748B">
              <w:t>4</w:t>
            </w:r>
          </w:p>
        </w:tc>
      </w:tr>
      <w:tr w:rsidR="00D46892" w:rsidRPr="00C71FA9" w14:paraId="06A75BF7" w14:textId="77777777">
        <w:tc>
          <w:tcPr>
            <w:tcW w:w="1560" w:type="dxa"/>
            <w:vMerge w:val="restart"/>
          </w:tcPr>
          <w:p w14:paraId="25BB65B6" w14:textId="77777777" w:rsidR="00D46892" w:rsidRPr="00C71FA9" w:rsidRDefault="00D46892">
            <w:pPr>
              <w:pStyle w:val="TableBodyText"/>
            </w:pPr>
            <w:r w:rsidRPr="00C71FA9">
              <w:t>Risk management</w:t>
            </w:r>
          </w:p>
        </w:tc>
        <w:tc>
          <w:tcPr>
            <w:tcW w:w="5244" w:type="dxa"/>
          </w:tcPr>
          <w:p w14:paraId="2139BAA1" w14:textId="77777777" w:rsidR="00D46892" w:rsidRPr="00C71FA9" w:rsidRDefault="00D46892">
            <w:pPr>
              <w:pStyle w:val="TableBodyText"/>
            </w:pPr>
            <w:r w:rsidRPr="00C71FA9">
              <w:t>Percentage of internal audits/inspections conducted as planned</w:t>
            </w:r>
          </w:p>
        </w:tc>
        <w:tc>
          <w:tcPr>
            <w:tcW w:w="1134" w:type="dxa"/>
            <w:shd w:val="clear" w:color="auto" w:fill="F2F2F2" w:themeFill="background1" w:themeFillShade="F2"/>
          </w:tcPr>
          <w:p w14:paraId="3EB97F37" w14:textId="4830BDAC" w:rsidR="00D46892" w:rsidRPr="00DA748B" w:rsidRDefault="007D0930">
            <w:pPr>
              <w:pStyle w:val="TableBodyTextrightalign"/>
            </w:pPr>
            <w:r w:rsidRPr="00DA748B">
              <w:t>40</w:t>
            </w:r>
            <w:r w:rsidR="004E3C96">
              <w:t>.0</w:t>
            </w:r>
            <w:r w:rsidR="00D46892" w:rsidRPr="00DA748B">
              <w:t>%</w:t>
            </w:r>
          </w:p>
        </w:tc>
        <w:tc>
          <w:tcPr>
            <w:tcW w:w="1089" w:type="dxa"/>
            <w:shd w:val="clear" w:color="auto" w:fill="FFFFFF" w:themeFill="background1"/>
          </w:tcPr>
          <w:p w14:paraId="6D523AD1" w14:textId="1CCE78D1" w:rsidR="00D46892" w:rsidRPr="00DA748B" w:rsidRDefault="00D46892">
            <w:pPr>
              <w:pStyle w:val="TableBodyTextrightalign"/>
            </w:pPr>
            <w:r w:rsidRPr="00DA748B">
              <w:t>50</w:t>
            </w:r>
            <w:r w:rsidR="004E3C96">
              <w:t>.0</w:t>
            </w:r>
            <w:r w:rsidRPr="00DA748B">
              <w:t>%</w:t>
            </w:r>
          </w:p>
        </w:tc>
      </w:tr>
      <w:tr w:rsidR="00D46892" w:rsidRPr="00C71FA9" w14:paraId="1D01157E" w14:textId="77777777">
        <w:tc>
          <w:tcPr>
            <w:tcW w:w="1560" w:type="dxa"/>
            <w:vMerge/>
          </w:tcPr>
          <w:p w14:paraId="5D7FC5E8" w14:textId="77777777" w:rsidR="00D46892" w:rsidRPr="00C71FA9" w:rsidRDefault="00D46892">
            <w:pPr>
              <w:pStyle w:val="TableBodyText"/>
            </w:pPr>
          </w:p>
        </w:tc>
        <w:tc>
          <w:tcPr>
            <w:tcW w:w="5244" w:type="dxa"/>
          </w:tcPr>
          <w:p w14:paraId="09D83172" w14:textId="2E4E8AA3" w:rsidR="00D46892" w:rsidRPr="00C71FA9" w:rsidRDefault="00D46892">
            <w:pPr>
              <w:pStyle w:val="TableBodyText"/>
            </w:pPr>
            <w:r w:rsidRPr="00C71FA9">
              <w:t>No. of improvement notices issued by WorkSafe inspector</w:t>
            </w:r>
            <w:r w:rsidR="00666688">
              <w:t>s</w:t>
            </w:r>
          </w:p>
        </w:tc>
        <w:tc>
          <w:tcPr>
            <w:tcW w:w="1134" w:type="dxa"/>
            <w:shd w:val="clear" w:color="auto" w:fill="F2F2F2" w:themeFill="background1" w:themeFillShade="F2"/>
          </w:tcPr>
          <w:p w14:paraId="45EDA5ED" w14:textId="2CDF09CF" w:rsidR="00D46892" w:rsidRPr="00DA748B" w:rsidRDefault="00831BFF">
            <w:pPr>
              <w:pStyle w:val="TableBodyTextrightalign"/>
            </w:pPr>
            <w:r w:rsidRPr="00DA748B">
              <w:t>–</w:t>
            </w:r>
          </w:p>
        </w:tc>
        <w:tc>
          <w:tcPr>
            <w:tcW w:w="1089" w:type="dxa"/>
            <w:shd w:val="clear" w:color="auto" w:fill="FFFFFF" w:themeFill="background1"/>
          </w:tcPr>
          <w:p w14:paraId="490341D3" w14:textId="77777777" w:rsidR="00D46892" w:rsidRPr="00DA748B" w:rsidRDefault="00D46892">
            <w:pPr>
              <w:pStyle w:val="TableBodyTextrightalign"/>
              <w:rPr>
                <w:rStyle w:val="Characterbold"/>
                <w:rFonts w:asciiTheme="minorHAnsi" w:hAnsiTheme="minorHAnsi" w:cstheme="minorHAnsi"/>
                <w:b w:val="0"/>
              </w:rPr>
            </w:pPr>
            <w:r w:rsidRPr="00DA748B">
              <w:t>–</w:t>
            </w:r>
          </w:p>
        </w:tc>
      </w:tr>
      <w:tr w:rsidR="00D46892" w:rsidRPr="00C71FA9" w14:paraId="79676FFC" w14:textId="77777777">
        <w:tc>
          <w:tcPr>
            <w:tcW w:w="1560" w:type="dxa"/>
            <w:vMerge/>
          </w:tcPr>
          <w:p w14:paraId="4DA25472" w14:textId="77777777" w:rsidR="00D46892" w:rsidRPr="00C71FA9" w:rsidRDefault="00D46892">
            <w:pPr>
              <w:pStyle w:val="TableBodyText"/>
            </w:pPr>
          </w:p>
        </w:tc>
        <w:tc>
          <w:tcPr>
            <w:tcW w:w="5244" w:type="dxa"/>
          </w:tcPr>
          <w:p w14:paraId="678E72CD" w14:textId="77777777" w:rsidR="00D46892" w:rsidRPr="00C71FA9" w:rsidRDefault="00D46892">
            <w:pPr>
              <w:pStyle w:val="TableBodyText"/>
            </w:pPr>
            <w:r w:rsidRPr="00C71FA9">
              <w:t>Percentage of issues identified and actioned arising from:</w:t>
            </w:r>
          </w:p>
          <w:p w14:paraId="5ED7170F" w14:textId="77777777" w:rsidR="00D46892" w:rsidRPr="00C71FA9" w:rsidRDefault="00D46892" w:rsidP="00457A51">
            <w:pPr>
              <w:pStyle w:val="TableListBullet"/>
            </w:pPr>
            <w:r w:rsidRPr="00C71FA9">
              <w:t>internal audits</w:t>
            </w:r>
          </w:p>
          <w:p w14:paraId="7C9C8C90" w14:textId="77777777" w:rsidR="00D46892" w:rsidRPr="00C71FA9" w:rsidRDefault="00D46892" w:rsidP="00457A51">
            <w:pPr>
              <w:pStyle w:val="TableListBullet"/>
            </w:pPr>
            <w:r w:rsidRPr="00C71FA9">
              <w:t>HSR provisional improvement notices</w:t>
            </w:r>
          </w:p>
          <w:p w14:paraId="1CC962A8" w14:textId="77777777" w:rsidR="00D46892" w:rsidRPr="00C71FA9" w:rsidRDefault="00D46892" w:rsidP="00457A51">
            <w:pPr>
              <w:pStyle w:val="TableListBullet"/>
            </w:pPr>
            <w:r w:rsidRPr="00C71FA9">
              <w:t>WorkSafe Victoria notices</w:t>
            </w:r>
          </w:p>
        </w:tc>
        <w:tc>
          <w:tcPr>
            <w:tcW w:w="1134" w:type="dxa"/>
            <w:shd w:val="clear" w:color="auto" w:fill="F2F2F2" w:themeFill="background1" w:themeFillShade="F2"/>
          </w:tcPr>
          <w:p w14:paraId="74DA81B2" w14:textId="77777777" w:rsidR="00D46892" w:rsidRPr="00DA748B" w:rsidRDefault="00D46892">
            <w:pPr>
              <w:pStyle w:val="TableBodyTextrightalign"/>
            </w:pPr>
          </w:p>
          <w:p w14:paraId="7DAE927B" w14:textId="27D8876E" w:rsidR="00D46892" w:rsidRPr="00DA748B" w:rsidRDefault="007D0930">
            <w:pPr>
              <w:pStyle w:val="TableBodyTextrightalign"/>
            </w:pPr>
            <w:r w:rsidRPr="00DA748B">
              <w:t>100</w:t>
            </w:r>
            <w:r w:rsidR="004E3C96">
              <w:t>.0</w:t>
            </w:r>
            <w:r w:rsidR="00D46892" w:rsidRPr="00DA748B">
              <w:t>%</w:t>
            </w:r>
          </w:p>
          <w:p w14:paraId="2D366C99" w14:textId="18098EC0" w:rsidR="00D46892" w:rsidRPr="00DA748B" w:rsidRDefault="00831BFF">
            <w:pPr>
              <w:pStyle w:val="TableBodyTextrightalign"/>
              <w:rPr>
                <w:szCs w:val="18"/>
              </w:rPr>
            </w:pPr>
            <w:r w:rsidRPr="00DA748B">
              <w:t>–</w:t>
            </w:r>
          </w:p>
          <w:p w14:paraId="1BF1036C" w14:textId="7F78E0FD" w:rsidR="00D46892" w:rsidRPr="00DA748B" w:rsidRDefault="00831BFF">
            <w:pPr>
              <w:pStyle w:val="TableBodyTextrightalign"/>
            </w:pPr>
            <w:r w:rsidRPr="00DA748B">
              <w:t>–</w:t>
            </w:r>
          </w:p>
        </w:tc>
        <w:tc>
          <w:tcPr>
            <w:tcW w:w="1089" w:type="dxa"/>
            <w:shd w:val="clear" w:color="auto" w:fill="FFFFFF" w:themeFill="background1"/>
          </w:tcPr>
          <w:p w14:paraId="081D17E9" w14:textId="77777777" w:rsidR="00D46892" w:rsidRPr="00DA748B" w:rsidRDefault="00D46892">
            <w:pPr>
              <w:pStyle w:val="TableBodyTextrightalign"/>
            </w:pPr>
          </w:p>
          <w:p w14:paraId="5F2AF8AB" w14:textId="744AFF4E" w:rsidR="00D46892" w:rsidRPr="00DA748B" w:rsidRDefault="00D46892">
            <w:pPr>
              <w:pStyle w:val="TableBodyTextrightalign"/>
            </w:pPr>
            <w:r w:rsidRPr="00DA748B">
              <w:t>100</w:t>
            </w:r>
            <w:r w:rsidR="004E3C96">
              <w:t>.0</w:t>
            </w:r>
            <w:r w:rsidRPr="00DA748B">
              <w:t>%</w:t>
            </w:r>
          </w:p>
          <w:p w14:paraId="0E92ACB6" w14:textId="77777777" w:rsidR="00D46892" w:rsidRPr="00DA748B" w:rsidRDefault="00D46892">
            <w:pPr>
              <w:pStyle w:val="TableBodyTextrightalign"/>
              <w:rPr>
                <w:szCs w:val="18"/>
              </w:rPr>
            </w:pPr>
            <w:r w:rsidRPr="00DA748B">
              <w:t>–</w:t>
            </w:r>
          </w:p>
          <w:p w14:paraId="2BF88DDF" w14:textId="77777777" w:rsidR="00D46892" w:rsidRPr="00DA748B" w:rsidRDefault="00D46892">
            <w:pPr>
              <w:pStyle w:val="TableBodyTextrightalign"/>
              <w:rPr>
                <w:rStyle w:val="Characterbold"/>
                <w:rFonts w:asciiTheme="minorHAnsi" w:hAnsiTheme="minorHAnsi" w:cstheme="minorHAnsi"/>
                <w:b w:val="0"/>
              </w:rPr>
            </w:pPr>
            <w:r w:rsidRPr="00DA748B">
              <w:t>–</w:t>
            </w:r>
          </w:p>
        </w:tc>
      </w:tr>
      <w:tr w:rsidR="00D46892" w:rsidRPr="00C71FA9" w14:paraId="48CAC291" w14:textId="77777777">
        <w:tc>
          <w:tcPr>
            <w:tcW w:w="1560" w:type="dxa"/>
            <w:vMerge w:val="restart"/>
          </w:tcPr>
          <w:p w14:paraId="10401DCC" w14:textId="77777777" w:rsidR="00D46892" w:rsidRPr="00C71FA9" w:rsidRDefault="00D46892">
            <w:pPr>
              <w:pStyle w:val="TableBodyText"/>
            </w:pPr>
            <w:r w:rsidRPr="00C71FA9">
              <w:t>Training</w:t>
            </w:r>
          </w:p>
        </w:tc>
        <w:tc>
          <w:tcPr>
            <w:tcW w:w="5244" w:type="dxa"/>
          </w:tcPr>
          <w:p w14:paraId="06C3C958" w14:textId="77777777" w:rsidR="00D46892" w:rsidRPr="00C71FA9" w:rsidRDefault="00D46892">
            <w:pPr>
              <w:pStyle w:val="TableBodyText"/>
            </w:pPr>
            <w:r w:rsidRPr="00C71FA9">
              <w:t>Percentage of managers and staff who have received OHS training:</w:t>
            </w:r>
          </w:p>
          <w:p w14:paraId="200FEB38" w14:textId="242BD9F9" w:rsidR="00D46892" w:rsidRPr="00C71FA9" w:rsidRDefault="00D40DCB" w:rsidP="00457A51">
            <w:pPr>
              <w:pStyle w:val="TableListBullet"/>
            </w:pPr>
            <w:r>
              <w:t xml:space="preserve">Staff </w:t>
            </w:r>
            <w:r w:rsidR="00D46892" w:rsidRPr="00C71FA9">
              <w:t>induction</w:t>
            </w:r>
            <w:r>
              <w:t xml:space="preserve"> training</w:t>
            </w:r>
          </w:p>
          <w:p w14:paraId="1DBF8A4E" w14:textId="779AEB52" w:rsidR="00D46892" w:rsidRPr="00C71FA9" w:rsidRDefault="00D46892" w:rsidP="00457A51">
            <w:pPr>
              <w:pStyle w:val="TableListBullet"/>
            </w:pPr>
            <w:r w:rsidRPr="00C71FA9">
              <w:t>manage</w:t>
            </w:r>
            <w:r w:rsidR="00D40DCB">
              <w:t>rs</w:t>
            </w:r>
            <w:r w:rsidRPr="00C71FA9">
              <w:t xml:space="preserve"> training</w:t>
            </w:r>
          </w:p>
          <w:p w14:paraId="58298656" w14:textId="77777777" w:rsidR="00D46892" w:rsidRPr="00C71FA9" w:rsidRDefault="00D46892" w:rsidP="00457A51">
            <w:pPr>
              <w:pStyle w:val="TableListBullet"/>
            </w:pPr>
            <w:r w:rsidRPr="00C71FA9">
              <w:t>contractors and temporary staff</w:t>
            </w:r>
          </w:p>
        </w:tc>
        <w:tc>
          <w:tcPr>
            <w:tcW w:w="1134" w:type="dxa"/>
            <w:shd w:val="clear" w:color="auto" w:fill="F2F2F2" w:themeFill="background1" w:themeFillShade="F2"/>
          </w:tcPr>
          <w:p w14:paraId="31D1C2A9" w14:textId="5B5C56ED" w:rsidR="00666FC5" w:rsidRPr="00DA748B" w:rsidRDefault="00666FC5">
            <w:pPr>
              <w:pStyle w:val="TableBodyTextrightalign"/>
            </w:pPr>
          </w:p>
          <w:p w14:paraId="32DF1992" w14:textId="77777777" w:rsidR="00D46892" w:rsidRPr="00DA748B" w:rsidRDefault="00831BFF">
            <w:pPr>
              <w:pStyle w:val="TableBodyTextrightalign"/>
            </w:pPr>
            <w:r w:rsidRPr="00DA748B">
              <w:t>68.5</w:t>
            </w:r>
            <w:r w:rsidR="00D46892" w:rsidRPr="00DA748B">
              <w:t>%</w:t>
            </w:r>
          </w:p>
          <w:p w14:paraId="19DB827C" w14:textId="53597B0C" w:rsidR="00831BFF" w:rsidRPr="00DA748B" w:rsidRDefault="00831BFF">
            <w:pPr>
              <w:pStyle w:val="TableBodyTextrightalign"/>
            </w:pPr>
            <w:r w:rsidRPr="00DA748B">
              <w:t>78</w:t>
            </w:r>
            <w:r w:rsidR="004E3C96">
              <w:t>.0</w:t>
            </w:r>
            <w:r w:rsidRPr="00DA748B">
              <w:t>%</w:t>
            </w:r>
          </w:p>
          <w:p w14:paraId="1F772118" w14:textId="0E671143" w:rsidR="00831BFF" w:rsidRPr="00DA748B" w:rsidRDefault="00831BFF">
            <w:pPr>
              <w:pStyle w:val="TableBodyTextrightalign"/>
            </w:pPr>
            <w:r w:rsidRPr="00DA748B">
              <w:t>–</w:t>
            </w:r>
          </w:p>
        </w:tc>
        <w:tc>
          <w:tcPr>
            <w:tcW w:w="1089" w:type="dxa"/>
            <w:shd w:val="clear" w:color="auto" w:fill="FFFFFF" w:themeFill="background1"/>
          </w:tcPr>
          <w:p w14:paraId="383D6AEA" w14:textId="3B4EBC9F" w:rsidR="00D46892" w:rsidRPr="00DA748B" w:rsidRDefault="00D46892">
            <w:pPr>
              <w:pStyle w:val="TableBodyTextrightalign"/>
            </w:pPr>
          </w:p>
          <w:p w14:paraId="273B5AA4" w14:textId="44E036E9" w:rsidR="00D46892" w:rsidRPr="00DA748B" w:rsidRDefault="00D46892">
            <w:pPr>
              <w:pStyle w:val="TableBodyTextrightalign"/>
              <w:rPr>
                <w:szCs w:val="18"/>
              </w:rPr>
            </w:pPr>
            <w:r w:rsidRPr="00DA748B">
              <w:t>83</w:t>
            </w:r>
            <w:r w:rsidR="004E3C96">
              <w:t>.0</w:t>
            </w:r>
            <w:r w:rsidRPr="00DA748B">
              <w:t>%</w:t>
            </w:r>
          </w:p>
          <w:p w14:paraId="2B1111EF" w14:textId="646F6C87" w:rsidR="00D46892" w:rsidRPr="00DA748B" w:rsidRDefault="00D46892">
            <w:pPr>
              <w:pStyle w:val="TableBodyTextrightalign"/>
              <w:rPr>
                <w:szCs w:val="18"/>
              </w:rPr>
            </w:pPr>
            <w:r w:rsidRPr="00DA748B">
              <w:t>100</w:t>
            </w:r>
            <w:r w:rsidR="004E3C96">
              <w:t>.0</w:t>
            </w:r>
            <w:r w:rsidRPr="00DA748B">
              <w:t>%</w:t>
            </w:r>
          </w:p>
          <w:p w14:paraId="48E9B4D2" w14:textId="77777777" w:rsidR="00D46892" w:rsidRPr="00DA748B" w:rsidRDefault="00D46892">
            <w:pPr>
              <w:pStyle w:val="TableBodyTextrightalign"/>
              <w:rPr>
                <w:rStyle w:val="Characterbold"/>
                <w:rFonts w:asciiTheme="minorHAnsi" w:hAnsiTheme="minorHAnsi" w:cstheme="minorHAnsi"/>
                <w:b w:val="0"/>
              </w:rPr>
            </w:pPr>
            <w:r w:rsidRPr="00DA748B">
              <w:t>–</w:t>
            </w:r>
          </w:p>
        </w:tc>
      </w:tr>
      <w:tr w:rsidR="00D46892" w:rsidRPr="00C71FA9" w14:paraId="609C83F1" w14:textId="77777777">
        <w:tc>
          <w:tcPr>
            <w:tcW w:w="1560" w:type="dxa"/>
            <w:vMerge/>
          </w:tcPr>
          <w:p w14:paraId="25970C32" w14:textId="77777777" w:rsidR="00D46892" w:rsidRPr="00C71FA9" w:rsidRDefault="00D46892">
            <w:pPr>
              <w:pStyle w:val="TableBodyText"/>
              <w:rPr>
                <w:rFonts w:asciiTheme="minorHAnsi" w:hAnsiTheme="minorHAnsi" w:cstheme="minorHAnsi"/>
              </w:rPr>
            </w:pPr>
          </w:p>
        </w:tc>
        <w:tc>
          <w:tcPr>
            <w:tcW w:w="5244" w:type="dxa"/>
          </w:tcPr>
          <w:p w14:paraId="2EBB93A3" w14:textId="6FA3A553" w:rsidR="00D46892" w:rsidRPr="007211D6" w:rsidRDefault="00D46892" w:rsidP="007211D6">
            <w:pPr>
              <w:pStyle w:val="TableBodyText"/>
            </w:pPr>
            <w:r w:rsidRPr="007211D6">
              <w:t>Percentage of HSRs:</w:t>
            </w:r>
          </w:p>
          <w:p w14:paraId="6D1B93E7" w14:textId="7EE1D067" w:rsidR="00D46892" w:rsidRPr="00C71FA9" w:rsidRDefault="00A84BF7" w:rsidP="00457A51">
            <w:pPr>
              <w:pStyle w:val="TableListBullet"/>
            </w:pPr>
            <w:r>
              <w:t xml:space="preserve">trained </w:t>
            </w:r>
            <w:r w:rsidR="00D46892" w:rsidRPr="00C71FA9">
              <w:t>on acceptance of role (initial training)</w:t>
            </w:r>
          </w:p>
          <w:p w14:paraId="5605EDE4" w14:textId="77777777" w:rsidR="00D46892" w:rsidRPr="00C71FA9" w:rsidRDefault="00D46892" w:rsidP="00457A51">
            <w:pPr>
              <w:pStyle w:val="TableListBullet"/>
            </w:pPr>
            <w:r w:rsidRPr="00C71FA9">
              <w:t>retraining (annual refresher)</w:t>
            </w:r>
          </w:p>
        </w:tc>
        <w:tc>
          <w:tcPr>
            <w:tcW w:w="1134" w:type="dxa"/>
            <w:shd w:val="clear" w:color="auto" w:fill="F2F2F2" w:themeFill="background1" w:themeFillShade="F2"/>
          </w:tcPr>
          <w:p w14:paraId="3C84301A" w14:textId="77777777" w:rsidR="00D46892" w:rsidRPr="00DA748B" w:rsidRDefault="00D46892">
            <w:pPr>
              <w:pStyle w:val="TableBodyTextrightalign"/>
            </w:pPr>
          </w:p>
          <w:p w14:paraId="36361AFB" w14:textId="603809CE" w:rsidR="00D46892" w:rsidRPr="00DA748B" w:rsidRDefault="00831BFF">
            <w:pPr>
              <w:pStyle w:val="TableBodyTextrightalign"/>
              <w:rPr>
                <w:szCs w:val="18"/>
              </w:rPr>
            </w:pPr>
            <w:r w:rsidRPr="00DA748B">
              <w:t>–</w:t>
            </w:r>
          </w:p>
          <w:p w14:paraId="54B5D83D" w14:textId="40CE9A5B" w:rsidR="00D46892" w:rsidRPr="00DA748B" w:rsidRDefault="009B7673">
            <w:pPr>
              <w:pStyle w:val="TableBodyTextrightalign"/>
            </w:pPr>
            <w:r w:rsidRPr="00DA748B">
              <w:t>100</w:t>
            </w:r>
            <w:r w:rsidR="00D46892" w:rsidRPr="00DA748B">
              <w:t>%</w:t>
            </w:r>
          </w:p>
        </w:tc>
        <w:tc>
          <w:tcPr>
            <w:tcW w:w="1089" w:type="dxa"/>
            <w:shd w:val="clear" w:color="auto" w:fill="FFFFFF" w:themeFill="background1"/>
          </w:tcPr>
          <w:p w14:paraId="5F3579D2" w14:textId="77777777" w:rsidR="00D46892" w:rsidRPr="00DA748B" w:rsidRDefault="00D46892">
            <w:pPr>
              <w:pStyle w:val="TableBodyTextrightalign"/>
            </w:pPr>
          </w:p>
          <w:p w14:paraId="218F4914" w14:textId="77777777" w:rsidR="00D46892" w:rsidRPr="00DA748B" w:rsidRDefault="00D46892">
            <w:pPr>
              <w:pStyle w:val="TableBodyTextrightalign"/>
              <w:rPr>
                <w:szCs w:val="18"/>
              </w:rPr>
            </w:pPr>
            <w:r w:rsidRPr="00DA748B">
              <w:t>–</w:t>
            </w:r>
          </w:p>
          <w:p w14:paraId="10F34B4D" w14:textId="77777777" w:rsidR="00D46892" w:rsidRPr="00DA748B" w:rsidRDefault="00D46892">
            <w:pPr>
              <w:pStyle w:val="TableBodyTextrightalign"/>
              <w:rPr>
                <w:rStyle w:val="Characterbold"/>
                <w:rFonts w:asciiTheme="minorHAnsi" w:hAnsiTheme="minorHAnsi" w:cstheme="minorHAnsi"/>
                <w:b w:val="0"/>
              </w:rPr>
            </w:pPr>
            <w:r w:rsidRPr="00DA748B">
              <w:t>–</w:t>
            </w:r>
          </w:p>
        </w:tc>
      </w:tr>
    </w:tbl>
    <w:p w14:paraId="6F7E8C84" w14:textId="033A3B5C" w:rsidR="00D46892" w:rsidRPr="007211D6" w:rsidRDefault="00465B9C" w:rsidP="007211D6">
      <w:pPr>
        <w:pStyle w:val="TableNote"/>
      </w:pPr>
      <w:r w:rsidRPr="007211D6">
        <w:t>Notes</w:t>
      </w:r>
    </w:p>
    <w:p w14:paraId="64E1873B" w14:textId="3BB6BF3D" w:rsidR="00D46892" w:rsidRPr="00C71FA9" w:rsidRDefault="00D46892" w:rsidP="00D46892">
      <w:pPr>
        <w:pStyle w:val="TableNote"/>
      </w:pPr>
      <w:r w:rsidRPr="00C71FA9">
        <w:rPr>
          <w:rStyle w:val="Charactersuperscript"/>
        </w:rPr>
        <w:t>(a)</w:t>
      </w:r>
      <w:r w:rsidRPr="007E78B5">
        <w:t xml:space="preserve"> </w:t>
      </w:r>
      <w:r w:rsidRPr="00C71FA9">
        <w:t xml:space="preserve">Data sourced from IBAC’s WorkSafe Victoria agent. Data for standard claims, claims for time lost, and fatality claims is at 30 June for the year shown. Standard claims are those that have exceeded the employer excess (for medical and like expenses) threshold and/or liability of </w:t>
      </w:r>
      <w:r w:rsidRPr="00DA748B">
        <w:t>10</w:t>
      </w:r>
      <w:r w:rsidRPr="00C71FA9">
        <w:t xml:space="preserve"> working days of time lost. The average cost per claim is reported based on actual costs and excludes estimated future costs that contribute to IBAC’s premium.</w:t>
      </w:r>
    </w:p>
    <w:p w14:paraId="557DC66F" w14:textId="77777777" w:rsidR="005A27EE" w:rsidRPr="00BA2226" w:rsidRDefault="005A27EE" w:rsidP="005A27EE">
      <w:pPr>
        <w:pStyle w:val="Heading2"/>
      </w:pPr>
      <w:bookmarkStart w:id="224" w:name="_Toc133585238"/>
      <w:bookmarkStart w:id="225" w:name="_Toc133920513"/>
      <w:r w:rsidRPr="002F6765">
        <w:t>Comparative workforce data</w:t>
      </w:r>
      <w:bookmarkEnd w:id="224"/>
      <w:bookmarkEnd w:id="225"/>
    </w:p>
    <w:p w14:paraId="55326451" w14:textId="6C6D7194" w:rsidR="005A27EE" w:rsidRPr="00455B74" w:rsidRDefault="00233067" w:rsidP="00455B74">
      <w:pPr>
        <w:pStyle w:val="BodyText"/>
      </w:pPr>
      <w:r>
        <w:fldChar w:fldCharType="begin"/>
      </w:r>
      <w:r>
        <w:instrText xml:space="preserve"> REF _Ref140852115 \h </w:instrText>
      </w:r>
      <w:r>
        <w:fldChar w:fldCharType="separate"/>
      </w:r>
      <w:r w:rsidR="00214316">
        <w:t xml:space="preserve">Table </w:t>
      </w:r>
      <w:r w:rsidR="00214316">
        <w:rPr>
          <w:noProof/>
        </w:rPr>
        <w:t>23</w:t>
      </w:r>
      <w:r>
        <w:fldChar w:fldCharType="end"/>
      </w:r>
      <w:r w:rsidR="00591B9F" w:rsidRPr="00233067">
        <w:t xml:space="preserve"> </w:t>
      </w:r>
      <w:r w:rsidR="005A27EE" w:rsidRPr="00455B74">
        <w:t>details the headcount and FTE of all active public service employees of IBAC, employed in the last full pay period in June 2023 for the current reporting period (</w:t>
      </w:r>
      <w:r w:rsidR="000A1691">
        <w:t>2022/23</w:t>
      </w:r>
      <w:r w:rsidR="005A27EE" w:rsidRPr="00455B74">
        <w:t>), and in the last full pay period in June 2022 for the previous reporting period (</w:t>
      </w:r>
      <w:r w:rsidR="000A1691">
        <w:t>2021/22</w:t>
      </w:r>
      <w:r w:rsidR="005A27EE" w:rsidRPr="00455B74">
        <w:t>).</w:t>
      </w:r>
    </w:p>
    <w:p w14:paraId="093F6905" w14:textId="77777777" w:rsidR="005A27EE" w:rsidRPr="007211D6" w:rsidRDefault="005A27EE" w:rsidP="007211D6">
      <w:pPr>
        <w:pStyle w:val="BodyText"/>
      </w:pPr>
    </w:p>
    <w:p w14:paraId="60ACA661" w14:textId="77777777" w:rsidR="005A27EE" w:rsidRPr="007211D6" w:rsidRDefault="005A27EE" w:rsidP="007211D6">
      <w:pPr>
        <w:pStyle w:val="BodyText"/>
        <w:sectPr w:rsidR="005A27EE" w:rsidRPr="007211D6" w:rsidSect="00060C9F">
          <w:headerReference w:type="even" r:id="rId73"/>
          <w:headerReference w:type="default" r:id="rId74"/>
          <w:headerReference w:type="first" r:id="rId75"/>
          <w:pgSz w:w="11907" w:h="16839" w:code="9"/>
          <w:pgMar w:top="1440" w:right="1440" w:bottom="1440" w:left="1440" w:header="720" w:footer="720" w:gutter="0"/>
          <w:cols w:space="720"/>
          <w:docGrid w:linePitch="360"/>
        </w:sectPr>
      </w:pPr>
    </w:p>
    <w:p w14:paraId="64B24183" w14:textId="3C404DF4" w:rsidR="00233067" w:rsidRDefault="00233067" w:rsidP="00834775">
      <w:pPr>
        <w:pStyle w:val="Caption"/>
      </w:pPr>
      <w:bookmarkStart w:id="226" w:name="_Ref140852115"/>
      <w:r>
        <w:t xml:space="preserve">Table </w:t>
      </w:r>
      <w:r>
        <w:fldChar w:fldCharType="begin"/>
      </w:r>
      <w:r>
        <w:instrText xml:space="preserve"> SEQ Table \* ARABIC </w:instrText>
      </w:r>
      <w:r>
        <w:fldChar w:fldCharType="separate"/>
      </w:r>
      <w:r w:rsidR="00A93F95">
        <w:rPr>
          <w:noProof/>
        </w:rPr>
        <w:t>23</w:t>
      </w:r>
      <w:r>
        <w:fldChar w:fldCharType="end"/>
      </w:r>
      <w:bookmarkEnd w:id="226"/>
      <w:r>
        <w:t xml:space="preserve">: </w:t>
      </w:r>
      <w:r w:rsidRPr="00945DCA">
        <w:t>Details of employment levels in June 2022 and 2023</w:t>
      </w:r>
      <w:r w:rsidRPr="00233067">
        <w:rPr>
          <w:rStyle w:val="Charactersuperscript"/>
        </w:rPr>
        <w:t>(a)</w:t>
      </w:r>
    </w:p>
    <w:tbl>
      <w:tblPr>
        <w:tblStyle w:val="CustomTabledetailed"/>
        <w:tblW w:w="5000" w:type="pct"/>
        <w:tblLayout w:type="fixed"/>
        <w:tblLook w:val="06E0" w:firstRow="1" w:lastRow="1" w:firstColumn="1" w:lastColumn="0" w:noHBand="1" w:noVBand="1"/>
      </w:tblPr>
      <w:tblGrid>
        <w:gridCol w:w="1562"/>
        <w:gridCol w:w="991"/>
        <w:gridCol w:w="712"/>
        <w:gridCol w:w="988"/>
        <w:gridCol w:w="994"/>
        <w:gridCol w:w="709"/>
        <w:gridCol w:w="991"/>
        <w:gridCol w:w="851"/>
        <w:gridCol w:w="991"/>
        <w:gridCol w:w="709"/>
        <w:gridCol w:w="991"/>
        <w:gridCol w:w="994"/>
        <w:gridCol w:w="709"/>
        <w:gridCol w:w="991"/>
        <w:gridCol w:w="776"/>
      </w:tblGrid>
      <w:tr w:rsidR="00500A68" w:rsidRPr="00962B49" w14:paraId="5E36A07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pct"/>
            <w:vMerge w:val="restart"/>
            <w:hideMark/>
          </w:tcPr>
          <w:p w14:paraId="69141F45" w14:textId="77777777" w:rsidR="00500A68" w:rsidRPr="00962B49" w:rsidRDefault="00500A68">
            <w:pPr>
              <w:pStyle w:val="TableBodyText"/>
            </w:pPr>
            <w:r w:rsidRPr="00962B49">
              <w:t> </w:t>
            </w:r>
          </w:p>
        </w:tc>
        <w:tc>
          <w:tcPr>
            <w:tcW w:w="2228" w:type="pct"/>
            <w:gridSpan w:val="7"/>
            <w:hideMark/>
          </w:tcPr>
          <w:p w14:paraId="44008570" w14:textId="77777777" w:rsidR="00500A68" w:rsidRPr="00962B49" w:rsidRDefault="00500A68">
            <w:pPr>
              <w:pStyle w:val="TableHeading2centrealign"/>
              <w:cnfStyle w:val="100000000000" w:firstRow="1" w:lastRow="0" w:firstColumn="0" w:lastColumn="0" w:oddVBand="0" w:evenVBand="0" w:oddHBand="0" w:evenHBand="0" w:firstRowFirstColumn="0" w:firstRowLastColumn="0" w:lastRowFirstColumn="0" w:lastRowLastColumn="0"/>
            </w:pPr>
            <w:r w:rsidRPr="00962B49">
              <w:t>Jun</w:t>
            </w:r>
            <w:r>
              <w:t>e 20</w:t>
            </w:r>
            <w:r w:rsidRPr="00962B49">
              <w:t>2</w:t>
            </w:r>
            <w:r>
              <w:t>3</w:t>
            </w:r>
          </w:p>
        </w:tc>
        <w:tc>
          <w:tcPr>
            <w:tcW w:w="2213" w:type="pct"/>
            <w:gridSpan w:val="7"/>
            <w:hideMark/>
          </w:tcPr>
          <w:p w14:paraId="630BFEB0" w14:textId="77777777" w:rsidR="00500A68" w:rsidRPr="00962B49" w:rsidRDefault="00500A68">
            <w:pPr>
              <w:pStyle w:val="TableHeading2centrealign"/>
              <w:cnfStyle w:val="100000000000" w:firstRow="1" w:lastRow="0" w:firstColumn="0" w:lastColumn="0" w:oddVBand="0" w:evenVBand="0" w:oddHBand="0" w:evenHBand="0" w:firstRowFirstColumn="0" w:firstRowLastColumn="0" w:lastRowFirstColumn="0" w:lastRowLastColumn="0"/>
            </w:pPr>
            <w:r w:rsidRPr="00962B49">
              <w:t>Jun</w:t>
            </w:r>
            <w:r>
              <w:t>e 20</w:t>
            </w:r>
            <w:r w:rsidRPr="00962B49">
              <w:t>2</w:t>
            </w:r>
            <w:r>
              <w:t>2</w:t>
            </w:r>
          </w:p>
        </w:tc>
      </w:tr>
      <w:tr w:rsidR="00500A68" w:rsidRPr="00962B49" w14:paraId="75EDAB55" w14:textId="77777777">
        <w:trPr>
          <w:trHeight w:val="57"/>
        </w:trPr>
        <w:tc>
          <w:tcPr>
            <w:cnfStyle w:val="001000000000" w:firstRow="0" w:lastRow="0" w:firstColumn="1" w:lastColumn="0" w:oddVBand="0" w:evenVBand="0" w:oddHBand="0" w:evenHBand="0" w:firstRowFirstColumn="0" w:firstRowLastColumn="0" w:lastRowFirstColumn="0" w:lastRowLastColumn="0"/>
            <w:tcW w:w="559" w:type="pct"/>
            <w:vMerge/>
            <w:hideMark/>
          </w:tcPr>
          <w:p w14:paraId="70B60E93" w14:textId="77777777" w:rsidR="00500A68" w:rsidRPr="00962B49" w:rsidRDefault="00500A68">
            <w:pPr>
              <w:pStyle w:val="TableBodyText"/>
            </w:pPr>
          </w:p>
        </w:tc>
        <w:tc>
          <w:tcPr>
            <w:tcW w:w="610" w:type="pct"/>
            <w:gridSpan w:val="2"/>
            <w:hideMark/>
          </w:tcPr>
          <w:p w14:paraId="135A2374" w14:textId="77777777" w:rsidR="00500A68" w:rsidRPr="00962B49" w:rsidRDefault="00500A68">
            <w:pPr>
              <w:pStyle w:val="TableBodyTextsmall"/>
              <w:cnfStyle w:val="000000000000" w:firstRow="0" w:lastRow="0" w:firstColumn="0" w:lastColumn="0" w:oddVBand="0" w:evenVBand="0" w:oddHBand="0" w:evenHBand="0" w:firstRowFirstColumn="0" w:firstRowLastColumn="0" w:lastRowFirstColumn="0" w:lastRowLastColumn="0"/>
              <w:rPr>
                <w:rStyle w:val="Characterbold"/>
              </w:rPr>
            </w:pPr>
            <w:r w:rsidRPr="00962B49">
              <w:rPr>
                <w:rStyle w:val="Characterbold"/>
              </w:rPr>
              <w:t>All employees</w:t>
            </w:r>
          </w:p>
        </w:tc>
        <w:tc>
          <w:tcPr>
            <w:tcW w:w="964" w:type="pct"/>
            <w:gridSpan w:val="3"/>
            <w:hideMark/>
          </w:tcPr>
          <w:p w14:paraId="040ECAF9" w14:textId="77777777" w:rsidR="00500A68" w:rsidRPr="00962B49" w:rsidRDefault="00500A68">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rPr>
            </w:pPr>
            <w:r w:rsidRPr="00962B49">
              <w:rPr>
                <w:rStyle w:val="Characterbold"/>
              </w:rPr>
              <w:t>Ongoing</w:t>
            </w:r>
          </w:p>
        </w:tc>
        <w:tc>
          <w:tcPr>
            <w:tcW w:w="660" w:type="pct"/>
            <w:gridSpan w:val="2"/>
            <w:hideMark/>
          </w:tcPr>
          <w:p w14:paraId="468D5DEA" w14:textId="198193B1" w:rsidR="00500A68" w:rsidRPr="00962B49" w:rsidRDefault="00500A68">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rPr>
            </w:pPr>
            <w:r w:rsidRPr="00962B49">
              <w:rPr>
                <w:rStyle w:val="Characterbold"/>
              </w:rPr>
              <w:t>Fixed</w:t>
            </w:r>
            <w:r w:rsidR="00AB0293">
              <w:rPr>
                <w:rStyle w:val="Characterbold"/>
              </w:rPr>
              <w:t>-</w:t>
            </w:r>
            <w:r w:rsidRPr="00962B49">
              <w:rPr>
                <w:rStyle w:val="Characterbold"/>
              </w:rPr>
              <w:t>term/casual</w:t>
            </w:r>
          </w:p>
        </w:tc>
        <w:tc>
          <w:tcPr>
            <w:tcW w:w="609" w:type="pct"/>
            <w:gridSpan w:val="2"/>
            <w:shd w:val="clear" w:color="auto" w:fill="F2F2F2" w:themeFill="background1" w:themeFillShade="F2"/>
            <w:hideMark/>
          </w:tcPr>
          <w:p w14:paraId="3858C156" w14:textId="77777777" w:rsidR="00500A68" w:rsidRPr="00962B49" w:rsidRDefault="00500A68">
            <w:pPr>
              <w:pStyle w:val="TableBodyTextsmall"/>
              <w:cnfStyle w:val="000000000000" w:firstRow="0" w:lastRow="0" w:firstColumn="0" w:lastColumn="0" w:oddVBand="0" w:evenVBand="0" w:oddHBand="0" w:evenHBand="0" w:firstRowFirstColumn="0" w:firstRowLastColumn="0" w:lastRowFirstColumn="0" w:lastRowLastColumn="0"/>
              <w:rPr>
                <w:rStyle w:val="Characterbold"/>
              </w:rPr>
            </w:pPr>
            <w:r w:rsidRPr="00962B49">
              <w:rPr>
                <w:rStyle w:val="Characterbold"/>
              </w:rPr>
              <w:t>All employees</w:t>
            </w:r>
          </w:p>
        </w:tc>
        <w:tc>
          <w:tcPr>
            <w:tcW w:w="965" w:type="pct"/>
            <w:gridSpan w:val="3"/>
            <w:shd w:val="clear" w:color="auto" w:fill="F2F2F2" w:themeFill="background1" w:themeFillShade="F2"/>
            <w:hideMark/>
          </w:tcPr>
          <w:p w14:paraId="3FFDC63A" w14:textId="77777777" w:rsidR="00500A68" w:rsidRPr="00962B49" w:rsidRDefault="00500A68">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rPr>
            </w:pPr>
            <w:r w:rsidRPr="00962B49">
              <w:rPr>
                <w:rStyle w:val="Characterbold"/>
              </w:rPr>
              <w:t>Ongoing</w:t>
            </w:r>
          </w:p>
        </w:tc>
        <w:tc>
          <w:tcPr>
            <w:tcW w:w="633" w:type="pct"/>
            <w:gridSpan w:val="2"/>
            <w:shd w:val="clear" w:color="auto" w:fill="F2F2F2" w:themeFill="background1" w:themeFillShade="F2"/>
            <w:hideMark/>
          </w:tcPr>
          <w:p w14:paraId="05AA6B93" w14:textId="0006BC2D" w:rsidR="00500A68" w:rsidRPr="00962B49" w:rsidRDefault="00500A68">
            <w:pPr>
              <w:pStyle w:val="TableBodyTextsmall"/>
              <w:jc w:val="center"/>
              <w:cnfStyle w:val="000000000000" w:firstRow="0" w:lastRow="0" w:firstColumn="0" w:lastColumn="0" w:oddVBand="0" w:evenVBand="0" w:oddHBand="0" w:evenHBand="0" w:firstRowFirstColumn="0" w:firstRowLastColumn="0" w:lastRowFirstColumn="0" w:lastRowLastColumn="0"/>
              <w:rPr>
                <w:rStyle w:val="Characterbold"/>
              </w:rPr>
            </w:pPr>
            <w:r w:rsidRPr="00962B49">
              <w:rPr>
                <w:rStyle w:val="Characterbold"/>
              </w:rPr>
              <w:t>Fixed</w:t>
            </w:r>
            <w:r w:rsidR="00AB0293">
              <w:rPr>
                <w:rStyle w:val="Characterbold"/>
              </w:rPr>
              <w:t>-</w:t>
            </w:r>
            <w:r w:rsidRPr="00962B49">
              <w:rPr>
                <w:rStyle w:val="Characterbold"/>
              </w:rPr>
              <w:t>term/casual</w:t>
            </w:r>
          </w:p>
        </w:tc>
      </w:tr>
      <w:tr w:rsidR="00EF75E6" w:rsidRPr="00962B49" w14:paraId="361679B1" w14:textId="77777777">
        <w:trPr>
          <w:trHeight w:val="480"/>
        </w:trPr>
        <w:tc>
          <w:tcPr>
            <w:cnfStyle w:val="001000000000" w:firstRow="0" w:lastRow="0" w:firstColumn="1" w:lastColumn="0" w:oddVBand="0" w:evenVBand="0" w:oddHBand="0" w:evenHBand="0" w:firstRowFirstColumn="0" w:firstRowLastColumn="0" w:lastRowFirstColumn="0" w:lastRowLastColumn="0"/>
            <w:tcW w:w="559" w:type="pct"/>
            <w:vMerge/>
            <w:hideMark/>
          </w:tcPr>
          <w:p w14:paraId="39D2E047" w14:textId="77777777" w:rsidR="00500A68" w:rsidRPr="00962B49" w:rsidRDefault="00500A68">
            <w:pPr>
              <w:pStyle w:val="TableBodyText"/>
            </w:pPr>
          </w:p>
        </w:tc>
        <w:tc>
          <w:tcPr>
            <w:tcW w:w="355" w:type="pct"/>
            <w:hideMark/>
          </w:tcPr>
          <w:p w14:paraId="69F2DC22"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Number/ headcount</w:t>
            </w:r>
          </w:p>
        </w:tc>
        <w:tc>
          <w:tcPr>
            <w:tcW w:w="255" w:type="pct"/>
            <w:hideMark/>
          </w:tcPr>
          <w:p w14:paraId="24F3E41D"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FTE</w:t>
            </w:r>
          </w:p>
        </w:tc>
        <w:tc>
          <w:tcPr>
            <w:tcW w:w="354" w:type="pct"/>
            <w:hideMark/>
          </w:tcPr>
          <w:p w14:paraId="3B82E542"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Full-time headcount</w:t>
            </w:r>
          </w:p>
        </w:tc>
        <w:tc>
          <w:tcPr>
            <w:tcW w:w="356" w:type="pct"/>
            <w:hideMark/>
          </w:tcPr>
          <w:p w14:paraId="27A1DBB6"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Part-time headcount</w:t>
            </w:r>
          </w:p>
        </w:tc>
        <w:tc>
          <w:tcPr>
            <w:tcW w:w="254" w:type="pct"/>
            <w:hideMark/>
          </w:tcPr>
          <w:p w14:paraId="07769A94"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FTE</w:t>
            </w:r>
          </w:p>
        </w:tc>
        <w:tc>
          <w:tcPr>
            <w:tcW w:w="355" w:type="pct"/>
            <w:hideMark/>
          </w:tcPr>
          <w:p w14:paraId="6C14E1DA"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Headcount</w:t>
            </w:r>
          </w:p>
        </w:tc>
        <w:tc>
          <w:tcPr>
            <w:tcW w:w="305" w:type="pct"/>
            <w:hideMark/>
          </w:tcPr>
          <w:p w14:paraId="782949F9"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FTE</w:t>
            </w:r>
          </w:p>
        </w:tc>
        <w:tc>
          <w:tcPr>
            <w:tcW w:w="355" w:type="pct"/>
            <w:shd w:val="clear" w:color="auto" w:fill="F2F2F2" w:themeFill="background1" w:themeFillShade="F2"/>
            <w:hideMark/>
          </w:tcPr>
          <w:p w14:paraId="6307D74E"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Number/ headcount</w:t>
            </w:r>
          </w:p>
        </w:tc>
        <w:tc>
          <w:tcPr>
            <w:tcW w:w="254" w:type="pct"/>
            <w:shd w:val="clear" w:color="auto" w:fill="F2F2F2" w:themeFill="background1" w:themeFillShade="F2"/>
            <w:hideMark/>
          </w:tcPr>
          <w:p w14:paraId="3EDBC34C"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FTE</w:t>
            </w:r>
          </w:p>
        </w:tc>
        <w:tc>
          <w:tcPr>
            <w:tcW w:w="355" w:type="pct"/>
            <w:shd w:val="clear" w:color="auto" w:fill="F2F2F2" w:themeFill="background1" w:themeFillShade="F2"/>
            <w:hideMark/>
          </w:tcPr>
          <w:p w14:paraId="0FE00D09"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Full-time headcount</w:t>
            </w:r>
          </w:p>
        </w:tc>
        <w:tc>
          <w:tcPr>
            <w:tcW w:w="356" w:type="pct"/>
            <w:shd w:val="clear" w:color="auto" w:fill="F2F2F2" w:themeFill="background1" w:themeFillShade="F2"/>
            <w:hideMark/>
          </w:tcPr>
          <w:p w14:paraId="2160BE41"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Part-time headcount</w:t>
            </w:r>
          </w:p>
        </w:tc>
        <w:tc>
          <w:tcPr>
            <w:tcW w:w="254" w:type="pct"/>
            <w:shd w:val="clear" w:color="auto" w:fill="F2F2F2" w:themeFill="background1" w:themeFillShade="F2"/>
            <w:hideMark/>
          </w:tcPr>
          <w:p w14:paraId="176F8EFE"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FTE</w:t>
            </w:r>
          </w:p>
        </w:tc>
        <w:tc>
          <w:tcPr>
            <w:tcW w:w="355" w:type="pct"/>
            <w:shd w:val="clear" w:color="auto" w:fill="F2F2F2" w:themeFill="background1" w:themeFillShade="F2"/>
            <w:hideMark/>
          </w:tcPr>
          <w:p w14:paraId="2DCD75C6"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Headcount</w:t>
            </w:r>
          </w:p>
        </w:tc>
        <w:tc>
          <w:tcPr>
            <w:tcW w:w="278" w:type="pct"/>
            <w:shd w:val="clear" w:color="auto" w:fill="F2F2F2" w:themeFill="background1" w:themeFillShade="F2"/>
            <w:hideMark/>
          </w:tcPr>
          <w:p w14:paraId="3E2BFC0E" w14:textId="77777777" w:rsidR="00500A68" w:rsidRPr="00962B49" w:rsidRDefault="00500A68" w:rsidP="00D24762">
            <w:pPr>
              <w:pStyle w:val="TableBodyTextsmall"/>
              <w:jc w:val="right"/>
              <w:cnfStyle w:val="000000000000" w:firstRow="0" w:lastRow="0" w:firstColumn="0" w:lastColumn="0" w:oddVBand="0" w:evenVBand="0" w:oddHBand="0" w:evenHBand="0" w:firstRowFirstColumn="0" w:firstRowLastColumn="0" w:lastRowFirstColumn="0" w:lastRowLastColumn="0"/>
            </w:pPr>
            <w:r w:rsidRPr="00962B49">
              <w:t>FTE</w:t>
            </w:r>
          </w:p>
        </w:tc>
      </w:tr>
      <w:tr w:rsidR="00500A68" w:rsidRPr="00962B49" w14:paraId="1846CAD7" w14:textId="77777777">
        <w:trPr>
          <w:trHeight w:val="283"/>
        </w:trPr>
        <w:tc>
          <w:tcPr>
            <w:cnfStyle w:val="001000000000" w:firstRow="0" w:lastRow="0" w:firstColumn="1" w:lastColumn="0" w:oddVBand="0" w:evenVBand="0" w:oddHBand="0" w:evenHBand="0" w:firstRowFirstColumn="0" w:firstRowLastColumn="0" w:lastRowFirstColumn="0" w:lastRowLastColumn="0"/>
            <w:tcW w:w="2793" w:type="pct"/>
            <w:gridSpan w:val="8"/>
            <w:hideMark/>
          </w:tcPr>
          <w:p w14:paraId="740B282F" w14:textId="77777777" w:rsidR="00500A68" w:rsidRPr="00962B49" w:rsidRDefault="00500A68">
            <w:pPr>
              <w:pStyle w:val="TableBodyText"/>
              <w:rPr>
                <w:rStyle w:val="Characterbold"/>
              </w:rPr>
            </w:pPr>
            <w:r w:rsidRPr="00962B49">
              <w:rPr>
                <w:rStyle w:val="Characterbold"/>
              </w:rPr>
              <w:t>Gender</w:t>
            </w:r>
          </w:p>
        </w:tc>
        <w:tc>
          <w:tcPr>
            <w:tcW w:w="2207" w:type="pct"/>
            <w:gridSpan w:val="7"/>
            <w:shd w:val="clear" w:color="auto" w:fill="D9D9D9" w:themeFill="background1" w:themeFillShade="D9"/>
            <w:hideMark/>
          </w:tcPr>
          <w:p w14:paraId="6B117873" w14:textId="77777777" w:rsidR="00500A68" w:rsidRPr="00962B49" w:rsidRDefault="00500A68">
            <w:pPr>
              <w:pStyle w:val="TableBodyTextsmall"/>
              <w:cnfStyle w:val="000000000000" w:firstRow="0" w:lastRow="0" w:firstColumn="0" w:lastColumn="0" w:oddVBand="0" w:evenVBand="0" w:oddHBand="0" w:evenHBand="0" w:firstRowFirstColumn="0" w:firstRowLastColumn="0" w:lastRowFirstColumn="0" w:lastRowLastColumn="0"/>
              <w:rPr>
                <w:rStyle w:val="Characterbold"/>
              </w:rPr>
            </w:pPr>
            <w:r w:rsidRPr="00962B49">
              <w:rPr>
                <w:rStyle w:val="Characterbold"/>
              </w:rPr>
              <w:t> </w:t>
            </w:r>
          </w:p>
        </w:tc>
      </w:tr>
      <w:tr w:rsidR="00EF75E6" w:rsidRPr="00C71FA9" w14:paraId="7DEE75B8"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6EE065B5" w14:textId="77777777" w:rsidR="00500A68" w:rsidRPr="00C71FA9" w:rsidRDefault="00500A68">
            <w:pPr>
              <w:pStyle w:val="TableBodyText"/>
            </w:pPr>
            <w:r w:rsidRPr="00C71FA9">
              <w:t>Male</w:t>
            </w:r>
          </w:p>
        </w:tc>
        <w:tc>
          <w:tcPr>
            <w:tcW w:w="355" w:type="pct"/>
            <w:shd w:val="clear" w:color="auto" w:fill="F2F2F2" w:themeFill="background1" w:themeFillShade="F2"/>
            <w:hideMark/>
          </w:tcPr>
          <w:p w14:paraId="31AAB529"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117</w:t>
            </w:r>
          </w:p>
        </w:tc>
        <w:tc>
          <w:tcPr>
            <w:tcW w:w="255" w:type="pct"/>
            <w:shd w:val="clear" w:color="auto" w:fill="F2F2F2" w:themeFill="background1" w:themeFillShade="F2"/>
            <w:hideMark/>
          </w:tcPr>
          <w:p w14:paraId="7CF4A8A7"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116.2</w:t>
            </w:r>
          </w:p>
        </w:tc>
        <w:tc>
          <w:tcPr>
            <w:tcW w:w="354" w:type="pct"/>
            <w:shd w:val="clear" w:color="auto" w:fill="F2F2F2" w:themeFill="background1" w:themeFillShade="F2"/>
            <w:hideMark/>
          </w:tcPr>
          <w:p w14:paraId="50F708CD"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109</w:t>
            </w:r>
          </w:p>
        </w:tc>
        <w:tc>
          <w:tcPr>
            <w:tcW w:w="356" w:type="pct"/>
            <w:shd w:val="clear" w:color="auto" w:fill="F2F2F2" w:themeFill="background1" w:themeFillShade="F2"/>
            <w:hideMark/>
          </w:tcPr>
          <w:p w14:paraId="30197D4F"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254" w:type="pct"/>
            <w:shd w:val="clear" w:color="auto" w:fill="F2F2F2" w:themeFill="background1" w:themeFillShade="F2"/>
            <w:hideMark/>
          </w:tcPr>
          <w:p w14:paraId="5CE91B8F"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110.4</w:t>
            </w:r>
          </w:p>
        </w:tc>
        <w:tc>
          <w:tcPr>
            <w:tcW w:w="355" w:type="pct"/>
            <w:shd w:val="clear" w:color="auto" w:fill="F2F2F2" w:themeFill="background1" w:themeFillShade="F2"/>
            <w:hideMark/>
          </w:tcPr>
          <w:p w14:paraId="75D3314F"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6</w:t>
            </w:r>
          </w:p>
        </w:tc>
        <w:tc>
          <w:tcPr>
            <w:tcW w:w="305" w:type="pct"/>
            <w:shd w:val="clear" w:color="auto" w:fill="F2F2F2" w:themeFill="background1" w:themeFillShade="F2"/>
            <w:hideMark/>
          </w:tcPr>
          <w:p w14:paraId="4217A746"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5.8</w:t>
            </w:r>
          </w:p>
        </w:tc>
        <w:tc>
          <w:tcPr>
            <w:tcW w:w="355" w:type="pct"/>
            <w:shd w:val="clear" w:color="auto" w:fill="auto"/>
            <w:hideMark/>
          </w:tcPr>
          <w:p w14:paraId="207900C6"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105</w:t>
            </w:r>
          </w:p>
        </w:tc>
        <w:tc>
          <w:tcPr>
            <w:tcW w:w="254" w:type="pct"/>
            <w:shd w:val="clear" w:color="auto" w:fill="auto"/>
            <w:hideMark/>
          </w:tcPr>
          <w:p w14:paraId="5D1F6553"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103.3</w:t>
            </w:r>
          </w:p>
        </w:tc>
        <w:tc>
          <w:tcPr>
            <w:tcW w:w="355" w:type="pct"/>
            <w:shd w:val="clear" w:color="auto" w:fill="auto"/>
            <w:hideMark/>
          </w:tcPr>
          <w:p w14:paraId="187F003D"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81</w:t>
            </w:r>
          </w:p>
        </w:tc>
        <w:tc>
          <w:tcPr>
            <w:tcW w:w="356" w:type="pct"/>
            <w:shd w:val="clear" w:color="auto" w:fill="auto"/>
            <w:hideMark/>
          </w:tcPr>
          <w:p w14:paraId="5B38EAE4" w14:textId="2B1F7461"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254" w:type="pct"/>
            <w:shd w:val="clear" w:color="auto" w:fill="auto"/>
            <w:hideMark/>
          </w:tcPr>
          <w:p w14:paraId="319818A7"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82.6</w:t>
            </w:r>
          </w:p>
        </w:tc>
        <w:tc>
          <w:tcPr>
            <w:tcW w:w="355" w:type="pct"/>
            <w:shd w:val="clear" w:color="auto" w:fill="auto"/>
            <w:hideMark/>
          </w:tcPr>
          <w:p w14:paraId="32F680C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21</w:t>
            </w:r>
          </w:p>
        </w:tc>
        <w:tc>
          <w:tcPr>
            <w:tcW w:w="278" w:type="pct"/>
            <w:shd w:val="clear" w:color="auto" w:fill="auto"/>
            <w:hideMark/>
          </w:tcPr>
          <w:p w14:paraId="35B64DE5"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34.9</w:t>
            </w:r>
          </w:p>
        </w:tc>
      </w:tr>
      <w:tr w:rsidR="00EF75E6" w:rsidRPr="00C71FA9" w14:paraId="24012463"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31CA75DD" w14:textId="77777777" w:rsidR="00500A68" w:rsidRPr="00C71FA9" w:rsidRDefault="00500A68">
            <w:pPr>
              <w:pStyle w:val="TableBodyText"/>
            </w:pPr>
            <w:r w:rsidRPr="00C71FA9">
              <w:t>Female</w:t>
            </w:r>
          </w:p>
        </w:tc>
        <w:tc>
          <w:tcPr>
            <w:tcW w:w="355" w:type="pct"/>
            <w:shd w:val="clear" w:color="auto" w:fill="F2F2F2" w:themeFill="background1" w:themeFillShade="F2"/>
            <w:hideMark/>
          </w:tcPr>
          <w:p w14:paraId="3F186EDC"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139</w:t>
            </w:r>
          </w:p>
        </w:tc>
        <w:tc>
          <w:tcPr>
            <w:tcW w:w="255" w:type="pct"/>
            <w:shd w:val="clear" w:color="auto" w:fill="F2F2F2" w:themeFill="background1" w:themeFillShade="F2"/>
            <w:hideMark/>
          </w:tcPr>
          <w:p w14:paraId="2761C40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132.7</w:t>
            </w:r>
          </w:p>
        </w:tc>
        <w:tc>
          <w:tcPr>
            <w:tcW w:w="354" w:type="pct"/>
            <w:shd w:val="clear" w:color="auto" w:fill="F2F2F2" w:themeFill="background1" w:themeFillShade="F2"/>
            <w:hideMark/>
          </w:tcPr>
          <w:p w14:paraId="6CA99BFA"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106</w:t>
            </w:r>
          </w:p>
        </w:tc>
        <w:tc>
          <w:tcPr>
            <w:tcW w:w="356" w:type="pct"/>
            <w:shd w:val="clear" w:color="auto" w:fill="F2F2F2" w:themeFill="background1" w:themeFillShade="F2"/>
            <w:hideMark/>
          </w:tcPr>
          <w:p w14:paraId="41D1AD7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22</w:t>
            </w:r>
          </w:p>
        </w:tc>
        <w:tc>
          <w:tcPr>
            <w:tcW w:w="254" w:type="pct"/>
            <w:shd w:val="clear" w:color="auto" w:fill="F2F2F2" w:themeFill="background1" w:themeFillShade="F2"/>
            <w:hideMark/>
          </w:tcPr>
          <w:p w14:paraId="23F7D059"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122.4</w:t>
            </w:r>
          </w:p>
        </w:tc>
        <w:tc>
          <w:tcPr>
            <w:tcW w:w="355" w:type="pct"/>
            <w:shd w:val="clear" w:color="auto" w:fill="F2F2F2" w:themeFill="background1" w:themeFillShade="F2"/>
            <w:hideMark/>
          </w:tcPr>
          <w:p w14:paraId="7500A95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11</w:t>
            </w:r>
          </w:p>
        </w:tc>
        <w:tc>
          <w:tcPr>
            <w:tcW w:w="305" w:type="pct"/>
            <w:shd w:val="clear" w:color="auto" w:fill="F2F2F2" w:themeFill="background1" w:themeFillShade="F2"/>
            <w:hideMark/>
          </w:tcPr>
          <w:p w14:paraId="356C711A"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10.3</w:t>
            </w:r>
          </w:p>
        </w:tc>
        <w:tc>
          <w:tcPr>
            <w:tcW w:w="355" w:type="pct"/>
            <w:shd w:val="clear" w:color="auto" w:fill="auto"/>
            <w:hideMark/>
          </w:tcPr>
          <w:p w14:paraId="1C3BC2D9"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125</w:t>
            </w:r>
          </w:p>
        </w:tc>
        <w:tc>
          <w:tcPr>
            <w:tcW w:w="254" w:type="pct"/>
            <w:shd w:val="clear" w:color="auto" w:fill="auto"/>
            <w:hideMark/>
          </w:tcPr>
          <w:p w14:paraId="3BAEAE7D"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118.8</w:t>
            </w:r>
          </w:p>
        </w:tc>
        <w:tc>
          <w:tcPr>
            <w:tcW w:w="355" w:type="pct"/>
            <w:shd w:val="clear" w:color="auto" w:fill="auto"/>
            <w:hideMark/>
          </w:tcPr>
          <w:p w14:paraId="3768B8F8"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73</w:t>
            </w:r>
          </w:p>
        </w:tc>
        <w:tc>
          <w:tcPr>
            <w:tcW w:w="356" w:type="pct"/>
            <w:shd w:val="clear" w:color="auto" w:fill="auto"/>
            <w:hideMark/>
          </w:tcPr>
          <w:p w14:paraId="478CC77A"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16</w:t>
            </w:r>
          </w:p>
        </w:tc>
        <w:tc>
          <w:tcPr>
            <w:tcW w:w="254" w:type="pct"/>
            <w:shd w:val="clear" w:color="auto" w:fill="auto"/>
            <w:hideMark/>
          </w:tcPr>
          <w:p w14:paraId="7ECD74CC"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83.9</w:t>
            </w:r>
          </w:p>
        </w:tc>
        <w:tc>
          <w:tcPr>
            <w:tcW w:w="355" w:type="pct"/>
            <w:shd w:val="clear" w:color="auto" w:fill="auto"/>
            <w:hideMark/>
          </w:tcPr>
          <w:p w14:paraId="2B06C26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36</w:t>
            </w:r>
          </w:p>
        </w:tc>
        <w:tc>
          <w:tcPr>
            <w:tcW w:w="278" w:type="pct"/>
            <w:shd w:val="clear" w:color="auto" w:fill="auto"/>
            <w:hideMark/>
          </w:tcPr>
          <w:p w14:paraId="3D5BB7EA"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20.7</w:t>
            </w:r>
          </w:p>
        </w:tc>
      </w:tr>
      <w:tr w:rsidR="00EF75E6" w:rsidRPr="00C71FA9" w14:paraId="1345EA65"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02ABBBD0" w14:textId="77777777" w:rsidR="00500A68" w:rsidRPr="00C71FA9" w:rsidRDefault="00500A68">
            <w:pPr>
              <w:pStyle w:val="TableBodyText"/>
            </w:pPr>
            <w:r w:rsidRPr="00C71FA9">
              <w:t>Self-described</w:t>
            </w:r>
          </w:p>
        </w:tc>
        <w:tc>
          <w:tcPr>
            <w:tcW w:w="355" w:type="pct"/>
            <w:shd w:val="clear" w:color="auto" w:fill="F2F2F2" w:themeFill="background1" w:themeFillShade="F2"/>
            <w:hideMark/>
          </w:tcPr>
          <w:p w14:paraId="1150C86D"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255" w:type="pct"/>
            <w:shd w:val="clear" w:color="auto" w:fill="F2F2F2" w:themeFill="background1" w:themeFillShade="F2"/>
            <w:hideMark/>
          </w:tcPr>
          <w:p w14:paraId="6325A80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4" w:type="pct"/>
            <w:shd w:val="clear" w:color="auto" w:fill="F2F2F2" w:themeFill="background1" w:themeFillShade="F2"/>
            <w:hideMark/>
          </w:tcPr>
          <w:p w14:paraId="36AAF93C"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6" w:type="pct"/>
            <w:shd w:val="clear" w:color="auto" w:fill="F2F2F2" w:themeFill="background1" w:themeFillShade="F2"/>
            <w:hideMark/>
          </w:tcPr>
          <w:p w14:paraId="58285660" w14:textId="7B642577"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4" w:type="pct"/>
            <w:shd w:val="clear" w:color="auto" w:fill="F2F2F2" w:themeFill="background1" w:themeFillShade="F2"/>
            <w:hideMark/>
          </w:tcPr>
          <w:p w14:paraId="1E868A1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5" w:type="pct"/>
            <w:shd w:val="clear" w:color="auto" w:fill="F2F2F2" w:themeFill="background1" w:themeFillShade="F2"/>
            <w:hideMark/>
          </w:tcPr>
          <w:p w14:paraId="2A6BD5A4" w14:textId="1AA828CE"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05" w:type="pct"/>
            <w:shd w:val="clear" w:color="auto" w:fill="F2F2F2" w:themeFill="background1" w:themeFillShade="F2"/>
            <w:hideMark/>
          </w:tcPr>
          <w:p w14:paraId="05EFCD26" w14:textId="58CB32DC"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5" w:type="pct"/>
            <w:shd w:val="clear" w:color="auto" w:fill="auto"/>
            <w:hideMark/>
          </w:tcPr>
          <w:p w14:paraId="5B9DD2BD"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254" w:type="pct"/>
            <w:shd w:val="clear" w:color="auto" w:fill="auto"/>
            <w:hideMark/>
          </w:tcPr>
          <w:p w14:paraId="50AA95BE" w14:textId="4BE5F1E4"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355" w:type="pct"/>
            <w:shd w:val="clear" w:color="auto" w:fill="auto"/>
            <w:hideMark/>
          </w:tcPr>
          <w:p w14:paraId="3B3F883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6" w:type="pct"/>
            <w:shd w:val="clear" w:color="auto" w:fill="auto"/>
            <w:hideMark/>
          </w:tcPr>
          <w:p w14:paraId="0F5A93C9"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4" w:type="pct"/>
            <w:shd w:val="clear" w:color="auto" w:fill="auto"/>
            <w:hideMark/>
          </w:tcPr>
          <w:p w14:paraId="20E430A8"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5" w:type="pct"/>
            <w:shd w:val="clear" w:color="auto" w:fill="auto"/>
            <w:hideMark/>
          </w:tcPr>
          <w:p w14:paraId="6D2B5E1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278" w:type="pct"/>
            <w:shd w:val="clear" w:color="auto" w:fill="auto"/>
            <w:hideMark/>
          </w:tcPr>
          <w:p w14:paraId="33C4A57E" w14:textId="4F7DA4C6"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r>
      <w:tr w:rsidR="00500A68" w:rsidRPr="00C71FA9" w14:paraId="2B8A93A0" w14:textId="77777777">
        <w:trPr>
          <w:trHeight w:val="283"/>
        </w:trPr>
        <w:tc>
          <w:tcPr>
            <w:cnfStyle w:val="001000000000" w:firstRow="0" w:lastRow="0" w:firstColumn="1" w:lastColumn="0" w:oddVBand="0" w:evenVBand="0" w:oddHBand="0" w:evenHBand="0" w:firstRowFirstColumn="0" w:firstRowLastColumn="0" w:lastRowFirstColumn="0" w:lastRowLastColumn="0"/>
            <w:tcW w:w="2793" w:type="pct"/>
            <w:gridSpan w:val="8"/>
            <w:hideMark/>
          </w:tcPr>
          <w:p w14:paraId="1708F2B7" w14:textId="77777777" w:rsidR="00500A68" w:rsidRPr="0052343C" w:rsidRDefault="00500A68">
            <w:pPr>
              <w:pStyle w:val="TableBodyText"/>
              <w:rPr>
                <w:rStyle w:val="Characterbold"/>
                <w:rFonts w:eastAsiaTheme="minorHAnsi" w:cstheme="minorBidi"/>
                <w:bCs w:val="0"/>
                <w:sz w:val="22"/>
                <w:szCs w:val="20"/>
                <w:lang w:eastAsia="en-US"/>
              </w:rPr>
            </w:pPr>
            <w:r w:rsidRPr="0052343C">
              <w:rPr>
                <w:rStyle w:val="Characterbold"/>
              </w:rPr>
              <w:t>Age</w:t>
            </w:r>
          </w:p>
        </w:tc>
        <w:tc>
          <w:tcPr>
            <w:tcW w:w="2207" w:type="pct"/>
            <w:gridSpan w:val="7"/>
            <w:shd w:val="clear" w:color="auto" w:fill="D9D9D9" w:themeFill="background1" w:themeFillShade="D9"/>
            <w:hideMark/>
          </w:tcPr>
          <w:p w14:paraId="4D540682" w14:textId="77777777" w:rsidR="00500A68" w:rsidRPr="0052343C" w:rsidRDefault="00500A68">
            <w:pPr>
              <w:pStyle w:val="TableBodyText"/>
              <w:cnfStyle w:val="000000000000" w:firstRow="0" w:lastRow="0" w:firstColumn="0" w:lastColumn="0" w:oddVBand="0" w:evenVBand="0" w:oddHBand="0" w:evenHBand="0" w:firstRowFirstColumn="0" w:firstRowLastColumn="0" w:lastRowFirstColumn="0" w:lastRowLastColumn="0"/>
            </w:pPr>
            <w:r w:rsidRPr="0052343C">
              <w:t> </w:t>
            </w:r>
          </w:p>
        </w:tc>
      </w:tr>
      <w:tr w:rsidR="00EF75E6" w:rsidRPr="00C71FA9" w14:paraId="7CE8FBB3"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7E4E3843" w14:textId="77777777" w:rsidR="00500A68" w:rsidRPr="00C71FA9" w:rsidRDefault="00500A68">
            <w:pPr>
              <w:pStyle w:val="TableBodyText"/>
            </w:pPr>
            <w:r w:rsidRPr="00C71FA9">
              <w:t>15–24</w:t>
            </w:r>
          </w:p>
        </w:tc>
        <w:tc>
          <w:tcPr>
            <w:tcW w:w="355" w:type="pct"/>
            <w:shd w:val="clear" w:color="auto" w:fill="F2F2F2" w:themeFill="background1" w:themeFillShade="F2"/>
            <w:hideMark/>
          </w:tcPr>
          <w:p w14:paraId="19D16C1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255" w:type="pct"/>
            <w:shd w:val="clear" w:color="auto" w:fill="F2F2F2" w:themeFill="background1" w:themeFillShade="F2"/>
            <w:hideMark/>
          </w:tcPr>
          <w:p w14:paraId="122B4FE6"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354" w:type="pct"/>
            <w:shd w:val="clear" w:color="auto" w:fill="F2F2F2" w:themeFill="background1" w:themeFillShade="F2"/>
            <w:hideMark/>
          </w:tcPr>
          <w:p w14:paraId="22A4D2D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356" w:type="pct"/>
            <w:shd w:val="clear" w:color="auto" w:fill="F2F2F2" w:themeFill="background1" w:themeFillShade="F2"/>
            <w:hideMark/>
          </w:tcPr>
          <w:p w14:paraId="283A5DD9" w14:textId="5CD77512"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4" w:type="pct"/>
            <w:shd w:val="clear" w:color="auto" w:fill="F2F2F2" w:themeFill="background1" w:themeFillShade="F2"/>
            <w:hideMark/>
          </w:tcPr>
          <w:p w14:paraId="622F277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355" w:type="pct"/>
            <w:shd w:val="clear" w:color="auto" w:fill="F2F2F2" w:themeFill="background1" w:themeFillShade="F2"/>
            <w:hideMark/>
          </w:tcPr>
          <w:p w14:paraId="4609238B" w14:textId="3A5E2D0A"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05" w:type="pct"/>
            <w:shd w:val="clear" w:color="auto" w:fill="F2F2F2" w:themeFill="background1" w:themeFillShade="F2"/>
            <w:hideMark/>
          </w:tcPr>
          <w:p w14:paraId="67A5713F" w14:textId="333995E5"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5" w:type="pct"/>
            <w:shd w:val="clear" w:color="auto" w:fill="auto"/>
            <w:hideMark/>
          </w:tcPr>
          <w:p w14:paraId="50F6715A"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w:t>
            </w:r>
          </w:p>
        </w:tc>
        <w:tc>
          <w:tcPr>
            <w:tcW w:w="254" w:type="pct"/>
            <w:shd w:val="clear" w:color="auto" w:fill="auto"/>
            <w:hideMark/>
          </w:tcPr>
          <w:p w14:paraId="19676004" w14:textId="22271DD1"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w:t>
            </w:r>
          </w:p>
        </w:tc>
        <w:tc>
          <w:tcPr>
            <w:tcW w:w="355" w:type="pct"/>
            <w:shd w:val="clear" w:color="auto" w:fill="auto"/>
            <w:hideMark/>
          </w:tcPr>
          <w:p w14:paraId="2DDB3685"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6" w:type="pct"/>
            <w:shd w:val="clear" w:color="auto" w:fill="auto"/>
            <w:hideMark/>
          </w:tcPr>
          <w:p w14:paraId="4DC7679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4" w:type="pct"/>
            <w:shd w:val="clear" w:color="auto" w:fill="auto"/>
            <w:hideMark/>
          </w:tcPr>
          <w:p w14:paraId="75DD7BBE" w14:textId="51AFA541"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5" w:type="pct"/>
            <w:shd w:val="clear" w:color="auto" w:fill="auto"/>
            <w:hideMark/>
          </w:tcPr>
          <w:p w14:paraId="4CE1263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278" w:type="pct"/>
            <w:shd w:val="clear" w:color="auto" w:fill="auto"/>
            <w:hideMark/>
          </w:tcPr>
          <w:p w14:paraId="74836E3B" w14:textId="5A638FA5"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r>
      <w:tr w:rsidR="00EF75E6" w:rsidRPr="00C71FA9" w14:paraId="5B357A91"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44C1DF68" w14:textId="77777777" w:rsidR="00500A68" w:rsidRPr="00C71FA9" w:rsidRDefault="00500A68">
            <w:pPr>
              <w:pStyle w:val="TableBodyText"/>
            </w:pPr>
            <w:r w:rsidRPr="00C71FA9">
              <w:t>25–34</w:t>
            </w:r>
          </w:p>
        </w:tc>
        <w:tc>
          <w:tcPr>
            <w:tcW w:w="355" w:type="pct"/>
            <w:shd w:val="clear" w:color="auto" w:fill="F2F2F2" w:themeFill="background1" w:themeFillShade="F2"/>
            <w:hideMark/>
          </w:tcPr>
          <w:p w14:paraId="5CA484E7"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81</w:t>
            </w:r>
          </w:p>
        </w:tc>
        <w:tc>
          <w:tcPr>
            <w:tcW w:w="255" w:type="pct"/>
            <w:shd w:val="clear" w:color="auto" w:fill="F2F2F2" w:themeFill="background1" w:themeFillShade="F2"/>
            <w:hideMark/>
          </w:tcPr>
          <w:p w14:paraId="2E8B6FE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78.2</w:t>
            </w:r>
          </w:p>
        </w:tc>
        <w:tc>
          <w:tcPr>
            <w:tcW w:w="354" w:type="pct"/>
            <w:shd w:val="clear" w:color="auto" w:fill="F2F2F2" w:themeFill="background1" w:themeFillShade="F2"/>
            <w:hideMark/>
          </w:tcPr>
          <w:p w14:paraId="364FDC09"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69</w:t>
            </w:r>
          </w:p>
        </w:tc>
        <w:tc>
          <w:tcPr>
            <w:tcW w:w="356" w:type="pct"/>
            <w:shd w:val="clear" w:color="auto" w:fill="F2F2F2" w:themeFill="background1" w:themeFillShade="F2"/>
            <w:hideMark/>
          </w:tcPr>
          <w:p w14:paraId="30B9222F"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w:t>
            </w:r>
          </w:p>
        </w:tc>
        <w:tc>
          <w:tcPr>
            <w:tcW w:w="254" w:type="pct"/>
            <w:shd w:val="clear" w:color="auto" w:fill="F2F2F2" w:themeFill="background1" w:themeFillShade="F2"/>
            <w:hideMark/>
          </w:tcPr>
          <w:p w14:paraId="4961218B"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74.4</w:t>
            </w:r>
          </w:p>
        </w:tc>
        <w:tc>
          <w:tcPr>
            <w:tcW w:w="355" w:type="pct"/>
            <w:shd w:val="clear" w:color="auto" w:fill="F2F2F2" w:themeFill="background1" w:themeFillShade="F2"/>
            <w:hideMark/>
          </w:tcPr>
          <w:p w14:paraId="2E509B6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w:t>
            </w:r>
          </w:p>
        </w:tc>
        <w:tc>
          <w:tcPr>
            <w:tcW w:w="305" w:type="pct"/>
            <w:shd w:val="clear" w:color="auto" w:fill="F2F2F2" w:themeFill="background1" w:themeFillShade="F2"/>
            <w:hideMark/>
          </w:tcPr>
          <w:p w14:paraId="65658F75"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3.8</w:t>
            </w:r>
          </w:p>
        </w:tc>
        <w:tc>
          <w:tcPr>
            <w:tcW w:w="355" w:type="pct"/>
            <w:shd w:val="clear" w:color="auto" w:fill="auto"/>
            <w:hideMark/>
          </w:tcPr>
          <w:p w14:paraId="043D76B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63</w:t>
            </w:r>
          </w:p>
        </w:tc>
        <w:tc>
          <w:tcPr>
            <w:tcW w:w="254" w:type="pct"/>
            <w:shd w:val="clear" w:color="auto" w:fill="auto"/>
            <w:hideMark/>
          </w:tcPr>
          <w:p w14:paraId="44FF0917"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61.4</w:t>
            </w:r>
          </w:p>
        </w:tc>
        <w:tc>
          <w:tcPr>
            <w:tcW w:w="355" w:type="pct"/>
            <w:shd w:val="clear" w:color="auto" w:fill="auto"/>
            <w:hideMark/>
          </w:tcPr>
          <w:p w14:paraId="070C985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39</w:t>
            </w:r>
          </w:p>
        </w:tc>
        <w:tc>
          <w:tcPr>
            <w:tcW w:w="356" w:type="pct"/>
            <w:shd w:val="clear" w:color="auto" w:fill="auto"/>
            <w:hideMark/>
          </w:tcPr>
          <w:p w14:paraId="093C108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254" w:type="pct"/>
            <w:shd w:val="clear" w:color="auto" w:fill="auto"/>
            <w:hideMark/>
          </w:tcPr>
          <w:p w14:paraId="6053C2B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40.7</w:t>
            </w:r>
          </w:p>
        </w:tc>
        <w:tc>
          <w:tcPr>
            <w:tcW w:w="355" w:type="pct"/>
            <w:shd w:val="clear" w:color="auto" w:fill="auto"/>
            <w:hideMark/>
          </w:tcPr>
          <w:p w14:paraId="0862E4D8"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21</w:t>
            </w:r>
          </w:p>
        </w:tc>
        <w:tc>
          <w:tcPr>
            <w:tcW w:w="278" w:type="pct"/>
            <w:shd w:val="clear" w:color="auto" w:fill="auto"/>
            <w:hideMark/>
          </w:tcPr>
          <w:p w14:paraId="54F1E29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20.7</w:t>
            </w:r>
          </w:p>
        </w:tc>
      </w:tr>
      <w:tr w:rsidR="00EF75E6" w:rsidRPr="00C71FA9" w14:paraId="500BB900"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05B324CE" w14:textId="77777777" w:rsidR="00500A68" w:rsidRPr="00C71FA9" w:rsidRDefault="00500A68">
            <w:pPr>
              <w:pStyle w:val="TableBodyText"/>
            </w:pPr>
            <w:r w:rsidRPr="00C71FA9">
              <w:t>35–44</w:t>
            </w:r>
          </w:p>
        </w:tc>
        <w:tc>
          <w:tcPr>
            <w:tcW w:w="355" w:type="pct"/>
            <w:shd w:val="clear" w:color="auto" w:fill="F2F2F2" w:themeFill="background1" w:themeFillShade="F2"/>
            <w:hideMark/>
          </w:tcPr>
          <w:p w14:paraId="4497B03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86</w:t>
            </w:r>
          </w:p>
        </w:tc>
        <w:tc>
          <w:tcPr>
            <w:tcW w:w="255" w:type="pct"/>
            <w:shd w:val="clear" w:color="auto" w:fill="F2F2F2" w:themeFill="background1" w:themeFillShade="F2"/>
            <w:hideMark/>
          </w:tcPr>
          <w:p w14:paraId="0A4F8BAB"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83.4</w:t>
            </w:r>
          </w:p>
        </w:tc>
        <w:tc>
          <w:tcPr>
            <w:tcW w:w="354" w:type="pct"/>
            <w:shd w:val="clear" w:color="auto" w:fill="F2F2F2" w:themeFill="background1" w:themeFillShade="F2"/>
            <w:hideMark/>
          </w:tcPr>
          <w:p w14:paraId="28ADCB4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71</w:t>
            </w:r>
          </w:p>
        </w:tc>
        <w:tc>
          <w:tcPr>
            <w:tcW w:w="356" w:type="pct"/>
            <w:shd w:val="clear" w:color="auto" w:fill="F2F2F2" w:themeFill="background1" w:themeFillShade="F2"/>
            <w:hideMark/>
          </w:tcPr>
          <w:p w14:paraId="2E5B55E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w:t>
            </w:r>
          </w:p>
        </w:tc>
        <w:tc>
          <w:tcPr>
            <w:tcW w:w="254" w:type="pct"/>
            <w:shd w:val="clear" w:color="auto" w:fill="F2F2F2" w:themeFill="background1" w:themeFillShade="F2"/>
            <w:hideMark/>
          </w:tcPr>
          <w:p w14:paraId="00FC52B9"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76.8</w:t>
            </w:r>
          </w:p>
        </w:tc>
        <w:tc>
          <w:tcPr>
            <w:tcW w:w="355" w:type="pct"/>
            <w:shd w:val="clear" w:color="auto" w:fill="F2F2F2" w:themeFill="background1" w:themeFillShade="F2"/>
            <w:hideMark/>
          </w:tcPr>
          <w:p w14:paraId="6AFE2CB7"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w:t>
            </w:r>
          </w:p>
        </w:tc>
        <w:tc>
          <w:tcPr>
            <w:tcW w:w="305" w:type="pct"/>
            <w:shd w:val="clear" w:color="auto" w:fill="F2F2F2" w:themeFill="background1" w:themeFillShade="F2"/>
            <w:hideMark/>
          </w:tcPr>
          <w:p w14:paraId="34065A73" w14:textId="388A8F66"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6.6</w:t>
            </w:r>
          </w:p>
        </w:tc>
        <w:tc>
          <w:tcPr>
            <w:tcW w:w="355" w:type="pct"/>
            <w:shd w:val="clear" w:color="auto" w:fill="auto"/>
            <w:hideMark/>
          </w:tcPr>
          <w:p w14:paraId="72C8B76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85</w:t>
            </w:r>
          </w:p>
        </w:tc>
        <w:tc>
          <w:tcPr>
            <w:tcW w:w="254" w:type="pct"/>
            <w:shd w:val="clear" w:color="auto" w:fill="auto"/>
            <w:hideMark/>
          </w:tcPr>
          <w:p w14:paraId="1931E60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79.9</w:t>
            </w:r>
          </w:p>
        </w:tc>
        <w:tc>
          <w:tcPr>
            <w:tcW w:w="355" w:type="pct"/>
            <w:shd w:val="clear" w:color="auto" w:fill="auto"/>
            <w:hideMark/>
          </w:tcPr>
          <w:p w14:paraId="2A5195B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54</w:t>
            </w:r>
          </w:p>
        </w:tc>
        <w:tc>
          <w:tcPr>
            <w:tcW w:w="356" w:type="pct"/>
            <w:shd w:val="clear" w:color="auto" w:fill="auto"/>
            <w:hideMark/>
          </w:tcPr>
          <w:p w14:paraId="16E8A5A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11</w:t>
            </w:r>
          </w:p>
        </w:tc>
        <w:tc>
          <w:tcPr>
            <w:tcW w:w="254" w:type="pct"/>
            <w:shd w:val="clear" w:color="auto" w:fill="auto"/>
            <w:hideMark/>
          </w:tcPr>
          <w:p w14:paraId="7626F4C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60.9</w:t>
            </w:r>
          </w:p>
        </w:tc>
        <w:tc>
          <w:tcPr>
            <w:tcW w:w="355" w:type="pct"/>
            <w:shd w:val="clear" w:color="auto" w:fill="auto"/>
            <w:hideMark/>
          </w:tcPr>
          <w:p w14:paraId="4F88F6E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20</w:t>
            </w:r>
          </w:p>
        </w:tc>
        <w:tc>
          <w:tcPr>
            <w:tcW w:w="278" w:type="pct"/>
            <w:shd w:val="clear" w:color="auto" w:fill="auto"/>
            <w:hideMark/>
          </w:tcPr>
          <w:p w14:paraId="5474740D" w14:textId="36AC0975"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19</w:t>
            </w:r>
          </w:p>
        </w:tc>
      </w:tr>
      <w:tr w:rsidR="00EF75E6" w:rsidRPr="00C71FA9" w14:paraId="6B33B064"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76733AC4" w14:textId="77777777" w:rsidR="00500A68" w:rsidRPr="00C71FA9" w:rsidRDefault="00500A68">
            <w:pPr>
              <w:pStyle w:val="TableBodyText"/>
            </w:pPr>
            <w:r w:rsidRPr="00C71FA9">
              <w:t>45–54</w:t>
            </w:r>
          </w:p>
        </w:tc>
        <w:tc>
          <w:tcPr>
            <w:tcW w:w="355" w:type="pct"/>
            <w:shd w:val="clear" w:color="auto" w:fill="F2F2F2" w:themeFill="background1" w:themeFillShade="F2"/>
            <w:hideMark/>
          </w:tcPr>
          <w:p w14:paraId="3DA26FFB"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59</w:t>
            </w:r>
          </w:p>
        </w:tc>
        <w:tc>
          <w:tcPr>
            <w:tcW w:w="255" w:type="pct"/>
            <w:shd w:val="clear" w:color="auto" w:fill="F2F2F2" w:themeFill="background1" w:themeFillShade="F2"/>
            <w:hideMark/>
          </w:tcPr>
          <w:p w14:paraId="1BAED6EA"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57.7</w:t>
            </w:r>
          </w:p>
        </w:tc>
        <w:tc>
          <w:tcPr>
            <w:tcW w:w="354" w:type="pct"/>
            <w:shd w:val="clear" w:color="auto" w:fill="F2F2F2" w:themeFill="background1" w:themeFillShade="F2"/>
            <w:hideMark/>
          </w:tcPr>
          <w:p w14:paraId="1D77839C"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47</w:t>
            </w:r>
          </w:p>
        </w:tc>
        <w:tc>
          <w:tcPr>
            <w:tcW w:w="356" w:type="pct"/>
            <w:shd w:val="clear" w:color="auto" w:fill="F2F2F2" w:themeFill="background1" w:themeFillShade="F2"/>
            <w:hideMark/>
          </w:tcPr>
          <w:p w14:paraId="0D00BEC8"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w:t>
            </w:r>
          </w:p>
        </w:tc>
        <w:tc>
          <w:tcPr>
            <w:tcW w:w="254" w:type="pct"/>
            <w:shd w:val="clear" w:color="auto" w:fill="F2F2F2" w:themeFill="background1" w:themeFillShade="F2"/>
            <w:hideMark/>
          </w:tcPr>
          <w:p w14:paraId="70A3C097"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53</w:t>
            </w:r>
          </w:p>
        </w:tc>
        <w:tc>
          <w:tcPr>
            <w:tcW w:w="355" w:type="pct"/>
            <w:shd w:val="clear" w:color="auto" w:fill="F2F2F2" w:themeFill="background1" w:themeFillShade="F2"/>
            <w:hideMark/>
          </w:tcPr>
          <w:p w14:paraId="55205B1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w:t>
            </w:r>
          </w:p>
        </w:tc>
        <w:tc>
          <w:tcPr>
            <w:tcW w:w="305" w:type="pct"/>
            <w:shd w:val="clear" w:color="auto" w:fill="F2F2F2" w:themeFill="background1" w:themeFillShade="F2"/>
            <w:hideMark/>
          </w:tcPr>
          <w:p w14:paraId="5552588B"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4.7</w:t>
            </w:r>
          </w:p>
        </w:tc>
        <w:tc>
          <w:tcPr>
            <w:tcW w:w="355" w:type="pct"/>
            <w:shd w:val="clear" w:color="auto" w:fill="auto"/>
            <w:hideMark/>
          </w:tcPr>
          <w:p w14:paraId="531B9D45"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49</w:t>
            </w:r>
          </w:p>
        </w:tc>
        <w:tc>
          <w:tcPr>
            <w:tcW w:w="254" w:type="pct"/>
            <w:shd w:val="clear" w:color="auto" w:fill="auto"/>
            <w:hideMark/>
          </w:tcPr>
          <w:p w14:paraId="656D328F"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48.3</w:t>
            </w:r>
          </w:p>
        </w:tc>
        <w:tc>
          <w:tcPr>
            <w:tcW w:w="355" w:type="pct"/>
            <w:shd w:val="clear" w:color="auto" w:fill="auto"/>
            <w:hideMark/>
          </w:tcPr>
          <w:p w14:paraId="293997A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38</w:t>
            </w:r>
          </w:p>
        </w:tc>
        <w:tc>
          <w:tcPr>
            <w:tcW w:w="356" w:type="pct"/>
            <w:shd w:val="clear" w:color="auto" w:fill="auto"/>
            <w:hideMark/>
          </w:tcPr>
          <w:p w14:paraId="217AC2BF"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254" w:type="pct"/>
            <w:shd w:val="clear" w:color="auto" w:fill="auto"/>
            <w:hideMark/>
          </w:tcPr>
          <w:p w14:paraId="7D8DE94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40.4</w:t>
            </w:r>
          </w:p>
        </w:tc>
        <w:tc>
          <w:tcPr>
            <w:tcW w:w="355" w:type="pct"/>
            <w:shd w:val="clear" w:color="auto" w:fill="auto"/>
            <w:hideMark/>
          </w:tcPr>
          <w:p w14:paraId="483A7AF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8</w:t>
            </w:r>
          </w:p>
        </w:tc>
        <w:tc>
          <w:tcPr>
            <w:tcW w:w="278" w:type="pct"/>
            <w:shd w:val="clear" w:color="auto" w:fill="auto"/>
            <w:hideMark/>
          </w:tcPr>
          <w:p w14:paraId="068B5409"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7.9</w:t>
            </w:r>
          </w:p>
        </w:tc>
      </w:tr>
      <w:tr w:rsidR="00EF75E6" w:rsidRPr="00C71FA9" w14:paraId="2066E575"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2F0ABCDD" w14:textId="77777777" w:rsidR="00500A68" w:rsidRPr="00C71FA9" w:rsidRDefault="00500A68">
            <w:pPr>
              <w:pStyle w:val="TableBodyText"/>
            </w:pPr>
            <w:r w:rsidRPr="00C71FA9">
              <w:t>55–64</w:t>
            </w:r>
          </w:p>
        </w:tc>
        <w:tc>
          <w:tcPr>
            <w:tcW w:w="355" w:type="pct"/>
            <w:shd w:val="clear" w:color="auto" w:fill="F2F2F2" w:themeFill="background1" w:themeFillShade="F2"/>
            <w:hideMark/>
          </w:tcPr>
          <w:p w14:paraId="49FC4759"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27</w:t>
            </w:r>
          </w:p>
        </w:tc>
        <w:tc>
          <w:tcPr>
            <w:tcW w:w="255" w:type="pct"/>
            <w:shd w:val="clear" w:color="auto" w:fill="F2F2F2" w:themeFill="background1" w:themeFillShade="F2"/>
            <w:hideMark/>
          </w:tcPr>
          <w:p w14:paraId="6E49EBBC"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26.7</w:t>
            </w:r>
          </w:p>
        </w:tc>
        <w:tc>
          <w:tcPr>
            <w:tcW w:w="354" w:type="pct"/>
            <w:shd w:val="clear" w:color="auto" w:fill="F2F2F2" w:themeFill="background1" w:themeFillShade="F2"/>
            <w:hideMark/>
          </w:tcPr>
          <w:p w14:paraId="24E5734D"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25</w:t>
            </w:r>
          </w:p>
        </w:tc>
        <w:tc>
          <w:tcPr>
            <w:tcW w:w="356" w:type="pct"/>
            <w:shd w:val="clear" w:color="auto" w:fill="F2F2F2" w:themeFill="background1" w:themeFillShade="F2"/>
            <w:hideMark/>
          </w:tcPr>
          <w:p w14:paraId="118508F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254" w:type="pct"/>
            <w:shd w:val="clear" w:color="auto" w:fill="F2F2F2" w:themeFill="background1" w:themeFillShade="F2"/>
            <w:hideMark/>
          </w:tcPr>
          <w:p w14:paraId="37B4F9B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25.7</w:t>
            </w:r>
          </w:p>
        </w:tc>
        <w:tc>
          <w:tcPr>
            <w:tcW w:w="355" w:type="pct"/>
            <w:shd w:val="clear" w:color="auto" w:fill="F2F2F2" w:themeFill="background1" w:themeFillShade="F2"/>
            <w:hideMark/>
          </w:tcPr>
          <w:p w14:paraId="34DBC39C"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305" w:type="pct"/>
            <w:shd w:val="clear" w:color="auto" w:fill="F2F2F2" w:themeFill="background1" w:themeFillShade="F2"/>
            <w:hideMark/>
          </w:tcPr>
          <w:p w14:paraId="6DEBF60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355" w:type="pct"/>
            <w:shd w:val="clear" w:color="auto" w:fill="auto"/>
            <w:hideMark/>
          </w:tcPr>
          <w:p w14:paraId="1049AFBA"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27</w:t>
            </w:r>
          </w:p>
        </w:tc>
        <w:tc>
          <w:tcPr>
            <w:tcW w:w="254" w:type="pct"/>
            <w:shd w:val="clear" w:color="auto" w:fill="auto"/>
            <w:hideMark/>
          </w:tcPr>
          <w:p w14:paraId="75E735E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26.5</w:t>
            </w:r>
          </w:p>
        </w:tc>
        <w:tc>
          <w:tcPr>
            <w:tcW w:w="355" w:type="pct"/>
            <w:shd w:val="clear" w:color="auto" w:fill="auto"/>
            <w:hideMark/>
          </w:tcPr>
          <w:p w14:paraId="420CD09D"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20</w:t>
            </w:r>
          </w:p>
        </w:tc>
        <w:tc>
          <w:tcPr>
            <w:tcW w:w="356" w:type="pct"/>
            <w:shd w:val="clear" w:color="auto" w:fill="auto"/>
            <w:hideMark/>
          </w:tcPr>
          <w:p w14:paraId="00ABF945"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254" w:type="pct"/>
            <w:shd w:val="clear" w:color="auto" w:fill="auto"/>
            <w:hideMark/>
          </w:tcPr>
          <w:p w14:paraId="6086849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21.5</w:t>
            </w:r>
          </w:p>
        </w:tc>
        <w:tc>
          <w:tcPr>
            <w:tcW w:w="355" w:type="pct"/>
            <w:shd w:val="clear" w:color="auto" w:fill="auto"/>
            <w:hideMark/>
          </w:tcPr>
          <w:p w14:paraId="2398608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w:t>
            </w:r>
          </w:p>
        </w:tc>
        <w:tc>
          <w:tcPr>
            <w:tcW w:w="278" w:type="pct"/>
            <w:shd w:val="clear" w:color="auto" w:fill="auto"/>
            <w:hideMark/>
          </w:tcPr>
          <w:p w14:paraId="27BB1227" w14:textId="00F39956"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w:t>
            </w:r>
          </w:p>
        </w:tc>
      </w:tr>
      <w:tr w:rsidR="00EF75E6" w:rsidRPr="00C71FA9" w14:paraId="4149E5B4"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6E81032C" w14:textId="77777777" w:rsidR="00500A68" w:rsidRPr="00C71FA9" w:rsidRDefault="00500A68">
            <w:pPr>
              <w:pStyle w:val="TableBodyText"/>
            </w:pPr>
            <w:r w:rsidRPr="00C71FA9">
              <w:t>65+</w:t>
            </w:r>
          </w:p>
        </w:tc>
        <w:tc>
          <w:tcPr>
            <w:tcW w:w="355" w:type="pct"/>
            <w:shd w:val="clear" w:color="auto" w:fill="F2F2F2" w:themeFill="background1" w:themeFillShade="F2"/>
            <w:hideMark/>
          </w:tcPr>
          <w:p w14:paraId="66638E7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255" w:type="pct"/>
            <w:shd w:val="clear" w:color="auto" w:fill="F2F2F2" w:themeFill="background1" w:themeFillShade="F2"/>
            <w:hideMark/>
          </w:tcPr>
          <w:p w14:paraId="145C6EC7"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4" w:type="pct"/>
            <w:shd w:val="clear" w:color="auto" w:fill="F2F2F2" w:themeFill="background1" w:themeFillShade="F2"/>
            <w:hideMark/>
          </w:tcPr>
          <w:p w14:paraId="39128715"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6" w:type="pct"/>
            <w:shd w:val="clear" w:color="auto" w:fill="F2F2F2" w:themeFill="background1" w:themeFillShade="F2"/>
            <w:hideMark/>
          </w:tcPr>
          <w:p w14:paraId="16D512B6" w14:textId="62AA77D8"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4" w:type="pct"/>
            <w:shd w:val="clear" w:color="auto" w:fill="F2F2F2" w:themeFill="background1" w:themeFillShade="F2"/>
            <w:hideMark/>
          </w:tcPr>
          <w:p w14:paraId="073BA10B"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5" w:type="pct"/>
            <w:shd w:val="clear" w:color="auto" w:fill="F2F2F2" w:themeFill="background1" w:themeFillShade="F2"/>
            <w:hideMark/>
          </w:tcPr>
          <w:p w14:paraId="159DDD12" w14:textId="72EEE910"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05" w:type="pct"/>
            <w:shd w:val="clear" w:color="auto" w:fill="F2F2F2" w:themeFill="background1" w:themeFillShade="F2"/>
            <w:hideMark/>
          </w:tcPr>
          <w:p w14:paraId="6436A63F" w14:textId="780B5166"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5" w:type="pct"/>
            <w:shd w:val="clear" w:color="auto" w:fill="auto"/>
            <w:hideMark/>
          </w:tcPr>
          <w:p w14:paraId="1F94AD4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254" w:type="pct"/>
            <w:shd w:val="clear" w:color="auto" w:fill="auto"/>
            <w:hideMark/>
          </w:tcPr>
          <w:p w14:paraId="25C785CF" w14:textId="1C4E24D4"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5" w:type="pct"/>
            <w:shd w:val="clear" w:color="auto" w:fill="auto"/>
            <w:hideMark/>
          </w:tcPr>
          <w:p w14:paraId="72651EF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356" w:type="pct"/>
            <w:shd w:val="clear" w:color="auto" w:fill="auto"/>
            <w:hideMark/>
          </w:tcPr>
          <w:p w14:paraId="2C615ECB"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4" w:type="pct"/>
            <w:shd w:val="clear" w:color="auto" w:fill="auto"/>
            <w:hideMark/>
          </w:tcPr>
          <w:p w14:paraId="2E7E57CE" w14:textId="7CE78F69"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355" w:type="pct"/>
            <w:shd w:val="clear" w:color="auto" w:fill="auto"/>
            <w:hideMark/>
          </w:tcPr>
          <w:p w14:paraId="3FFB4D4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278" w:type="pct"/>
            <w:shd w:val="clear" w:color="auto" w:fill="auto"/>
            <w:hideMark/>
          </w:tcPr>
          <w:p w14:paraId="26D19084" w14:textId="5A75B5E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r>
      <w:tr w:rsidR="00500A68" w:rsidRPr="00C71FA9" w14:paraId="6D1D411D" w14:textId="77777777">
        <w:trPr>
          <w:trHeight w:val="283"/>
        </w:trPr>
        <w:tc>
          <w:tcPr>
            <w:cnfStyle w:val="001000000000" w:firstRow="0" w:lastRow="0" w:firstColumn="1" w:lastColumn="0" w:oddVBand="0" w:evenVBand="0" w:oddHBand="0" w:evenHBand="0" w:firstRowFirstColumn="0" w:firstRowLastColumn="0" w:lastRowFirstColumn="0" w:lastRowLastColumn="0"/>
            <w:tcW w:w="2793" w:type="pct"/>
            <w:gridSpan w:val="8"/>
            <w:hideMark/>
          </w:tcPr>
          <w:p w14:paraId="6AB564BE" w14:textId="77777777" w:rsidR="00500A68" w:rsidRPr="0052343C" w:rsidRDefault="00500A68">
            <w:pPr>
              <w:pStyle w:val="TableBodyText"/>
              <w:rPr>
                <w:rStyle w:val="Characterbold"/>
                <w:rFonts w:eastAsiaTheme="minorHAnsi" w:cstheme="minorBidi"/>
                <w:bCs w:val="0"/>
                <w:sz w:val="22"/>
                <w:szCs w:val="20"/>
                <w:lang w:eastAsia="en-US"/>
              </w:rPr>
            </w:pPr>
            <w:r w:rsidRPr="0052343C">
              <w:rPr>
                <w:rStyle w:val="Characterbold"/>
              </w:rPr>
              <w:t>Classification</w:t>
            </w:r>
          </w:p>
        </w:tc>
        <w:tc>
          <w:tcPr>
            <w:tcW w:w="2207" w:type="pct"/>
            <w:gridSpan w:val="7"/>
            <w:shd w:val="clear" w:color="auto" w:fill="D9D9D9" w:themeFill="background1" w:themeFillShade="D9"/>
            <w:hideMark/>
          </w:tcPr>
          <w:p w14:paraId="4BE6B792" w14:textId="77777777" w:rsidR="00500A68" w:rsidRPr="0052343C" w:rsidRDefault="00500A68">
            <w:pPr>
              <w:pStyle w:val="TableBodyText"/>
              <w:cnfStyle w:val="000000000000" w:firstRow="0" w:lastRow="0" w:firstColumn="0" w:lastColumn="0" w:oddVBand="0" w:evenVBand="0" w:oddHBand="0" w:evenHBand="0" w:firstRowFirstColumn="0" w:firstRowLastColumn="0" w:lastRowFirstColumn="0" w:lastRowLastColumn="0"/>
            </w:pPr>
            <w:r w:rsidRPr="0052343C">
              <w:t> </w:t>
            </w:r>
          </w:p>
        </w:tc>
      </w:tr>
      <w:tr w:rsidR="00EF75E6" w:rsidRPr="00C71FA9" w14:paraId="3217BD24"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1657F704" w14:textId="77777777" w:rsidR="00500A68" w:rsidRPr="00C71FA9" w:rsidRDefault="00500A68">
            <w:pPr>
              <w:pStyle w:val="TableBodyText"/>
            </w:pPr>
            <w:r w:rsidRPr="00C71FA9">
              <w:t>VPS 2</w:t>
            </w:r>
          </w:p>
        </w:tc>
        <w:tc>
          <w:tcPr>
            <w:tcW w:w="355" w:type="pct"/>
            <w:shd w:val="clear" w:color="auto" w:fill="F2F2F2" w:themeFill="background1" w:themeFillShade="F2"/>
            <w:hideMark/>
          </w:tcPr>
          <w:p w14:paraId="47AC0322" w14:textId="08B326A2"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5" w:type="pct"/>
            <w:shd w:val="clear" w:color="auto" w:fill="F2F2F2" w:themeFill="background1" w:themeFillShade="F2"/>
            <w:hideMark/>
          </w:tcPr>
          <w:p w14:paraId="2D010F69" w14:textId="3E9859A6"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4" w:type="pct"/>
            <w:shd w:val="clear" w:color="auto" w:fill="F2F2F2" w:themeFill="background1" w:themeFillShade="F2"/>
            <w:hideMark/>
          </w:tcPr>
          <w:p w14:paraId="1CB903BE" w14:textId="6FD4235D"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6" w:type="pct"/>
            <w:shd w:val="clear" w:color="auto" w:fill="F2F2F2" w:themeFill="background1" w:themeFillShade="F2"/>
            <w:hideMark/>
          </w:tcPr>
          <w:p w14:paraId="00D14647" w14:textId="514EA4C6"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4" w:type="pct"/>
            <w:shd w:val="clear" w:color="auto" w:fill="F2F2F2" w:themeFill="background1" w:themeFillShade="F2"/>
            <w:hideMark/>
          </w:tcPr>
          <w:p w14:paraId="7781B262" w14:textId="2DB40726"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5" w:type="pct"/>
            <w:shd w:val="clear" w:color="auto" w:fill="F2F2F2" w:themeFill="background1" w:themeFillShade="F2"/>
            <w:hideMark/>
          </w:tcPr>
          <w:p w14:paraId="45A55A54" w14:textId="6E83185D"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05" w:type="pct"/>
            <w:shd w:val="clear" w:color="auto" w:fill="F2F2F2" w:themeFill="background1" w:themeFillShade="F2"/>
            <w:hideMark/>
          </w:tcPr>
          <w:p w14:paraId="73873023" w14:textId="364AA6A4"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5" w:type="pct"/>
            <w:shd w:val="clear" w:color="auto" w:fill="auto"/>
            <w:hideMark/>
          </w:tcPr>
          <w:p w14:paraId="244EB6F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254" w:type="pct"/>
            <w:shd w:val="clear" w:color="auto" w:fill="auto"/>
            <w:hideMark/>
          </w:tcPr>
          <w:p w14:paraId="7ACCD15A" w14:textId="70D03FCC"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355" w:type="pct"/>
            <w:shd w:val="clear" w:color="auto" w:fill="auto"/>
            <w:hideMark/>
          </w:tcPr>
          <w:p w14:paraId="1E88646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6" w:type="pct"/>
            <w:shd w:val="clear" w:color="auto" w:fill="auto"/>
            <w:hideMark/>
          </w:tcPr>
          <w:p w14:paraId="718197D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4" w:type="pct"/>
            <w:shd w:val="clear" w:color="auto" w:fill="auto"/>
            <w:hideMark/>
          </w:tcPr>
          <w:p w14:paraId="13AA0E3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355" w:type="pct"/>
            <w:shd w:val="clear" w:color="auto" w:fill="auto"/>
            <w:hideMark/>
          </w:tcPr>
          <w:p w14:paraId="7DEEF238"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278" w:type="pct"/>
            <w:shd w:val="clear" w:color="auto" w:fill="auto"/>
            <w:hideMark/>
          </w:tcPr>
          <w:p w14:paraId="52CF43AE" w14:textId="002C6FFF"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r>
      <w:tr w:rsidR="00EF75E6" w:rsidRPr="00C71FA9" w14:paraId="4AF618CD"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482E5A64" w14:textId="77777777" w:rsidR="00500A68" w:rsidRPr="00C71FA9" w:rsidRDefault="00500A68">
            <w:pPr>
              <w:pStyle w:val="TableBodyText"/>
            </w:pPr>
            <w:r w:rsidRPr="00C71FA9">
              <w:t>VPS 3</w:t>
            </w:r>
          </w:p>
        </w:tc>
        <w:tc>
          <w:tcPr>
            <w:tcW w:w="355" w:type="pct"/>
            <w:shd w:val="clear" w:color="auto" w:fill="F2F2F2" w:themeFill="background1" w:themeFillShade="F2"/>
            <w:hideMark/>
          </w:tcPr>
          <w:p w14:paraId="354E8AD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45</w:t>
            </w:r>
          </w:p>
        </w:tc>
        <w:tc>
          <w:tcPr>
            <w:tcW w:w="255" w:type="pct"/>
            <w:shd w:val="clear" w:color="auto" w:fill="F2F2F2" w:themeFill="background1" w:themeFillShade="F2"/>
            <w:hideMark/>
          </w:tcPr>
          <w:p w14:paraId="213226A4" w14:textId="43D138EB"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43.</w:t>
            </w:r>
            <w:r w:rsidR="004A1B5E" w:rsidRPr="00475EEC">
              <w:t>4</w:t>
            </w:r>
          </w:p>
        </w:tc>
        <w:tc>
          <w:tcPr>
            <w:tcW w:w="354" w:type="pct"/>
            <w:shd w:val="clear" w:color="auto" w:fill="F2F2F2" w:themeFill="background1" w:themeFillShade="F2"/>
            <w:hideMark/>
          </w:tcPr>
          <w:p w14:paraId="1C0119B4"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37</w:t>
            </w:r>
          </w:p>
        </w:tc>
        <w:tc>
          <w:tcPr>
            <w:tcW w:w="356" w:type="pct"/>
            <w:shd w:val="clear" w:color="auto" w:fill="F2F2F2" w:themeFill="background1" w:themeFillShade="F2"/>
            <w:hideMark/>
          </w:tcPr>
          <w:p w14:paraId="7143C3BD"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6</w:t>
            </w:r>
          </w:p>
        </w:tc>
        <w:tc>
          <w:tcPr>
            <w:tcW w:w="254" w:type="pct"/>
            <w:shd w:val="clear" w:color="auto" w:fill="F2F2F2" w:themeFill="background1" w:themeFillShade="F2"/>
            <w:hideMark/>
          </w:tcPr>
          <w:p w14:paraId="4FB91016" w14:textId="4C815A73"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41.</w:t>
            </w:r>
            <w:r w:rsidR="004A1B5E" w:rsidRPr="00475EEC">
              <w:t>4</w:t>
            </w:r>
          </w:p>
        </w:tc>
        <w:tc>
          <w:tcPr>
            <w:tcW w:w="355" w:type="pct"/>
            <w:shd w:val="clear" w:color="auto" w:fill="F2F2F2" w:themeFill="background1" w:themeFillShade="F2"/>
            <w:hideMark/>
          </w:tcPr>
          <w:p w14:paraId="09AB0186"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305" w:type="pct"/>
            <w:shd w:val="clear" w:color="auto" w:fill="F2F2F2" w:themeFill="background1" w:themeFillShade="F2"/>
            <w:hideMark/>
          </w:tcPr>
          <w:p w14:paraId="006629E1"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355" w:type="pct"/>
            <w:shd w:val="clear" w:color="auto" w:fill="auto"/>
            <w:hideMark/>
          </w:tcPr>
          <w:p w14:paraId="6A61590E"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37</w:t>
            </w:r>
          </w:p>
        </w:tc>
        <w:tc>
          <w:tcPr>
            <w:tcW w:w="254" w:type="pct"/>
            <w:shd w:val="clear" w:color="auto" w:fill="auto"/>
            <w:hideMark/>
          </w:tcPr>
          <w:p w14:paraId="33A25065"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34.9</w:t>
            </w:r>
          </w:p>
        </w:tc>
        <w:tc>
          <w:tcPr>
            <w:tcW w:w="355" w:type="pct"/>
            <w:shd w:val="clear" w:color="auto" w:fill="auto"/>
            <w:hideMark/>
          </w:tcPr>
          <w:p w14:paraId="74F3008A"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19</w:t>
            </w:r>
          </w:p>
        </w:tc>
        <w:tc>
          <w:tcPr>
            <w:tcW w:w="356" w:type="pct"/>
            <w:shd w:val="clear" w:color="auto" w:fill="auto"/>
            <w:hideMark/>
          </w:tcPr>
          <w:p w14:paraId="2968A3C6"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7</w:t>
            </w:r>
          </w:p>
        </w:tc>
        <w:tc>
          <w:tcPr>
            <w:tcW w:w="254" w:type="pct"/>
            <w:shd w:val="clear" w:color="auto" w:fill="auto"/>
            <w:hideMark/>
          </w:tcPr>
          <w:p w14:paraId="2E5F9D4D"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23.9</w:t>
            </w:r>
          </w:p>
        </w:tc>
        <w:tc>
          <w:tcPr>
            <w:tcW w:w="355" w:type="pct"/>
            <w:shd w:val="clear" w:color="auto" w:fill="auto"/>
            <w:hideMark/>
          </w:tcPr>
          <w:p w14:paraId="2522598F"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11</w:t>
            </w:r>
          </w:p>
        </w:tc>
        <w:tc>
          <w:tcPr>
            <w:tcW w:w="278" w:type="pct"/>
            <w:shd w:val="clear" w:color="auto" w:fill="auto"/>
            <w:hideMark/>
          </w:tcPr>
          <w:p w14:paraId="31D27A79" w14:textId="1977D628"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11</w:t>
            </w:r>
          </w:p>
        </w:tc>
      </w:tr>
      <w:tr w:rsidR="00EF75E6" w:rsidRPr="00C71FA9" w14:paraId="3D55D7D1"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14AF578E" w14:textId="77777777" w:rsidR="00500A68" w:rsidRPr="00C71FA9" w:rsidRDefault="00500A68">
            <w:pPr>
              <w:pStyle w:val="TableBodyText"/>
            </w:pPr>
            <w:r w:rsidRPr="00C71FA9">
              <w:t>VPS 4</w:t>
            </w:r>
          </w:p>
        </w:tc>
        <w:tc>
          <w:tcPr>
            <w:tcW w:w="355" w:type="pct"/>
            <w:shd w:val="clear" w:color="auto" w:fill="F2F2F2" w:themeFill="background1" w:themeFillShade="F2"/>
            <w:hideMark/>
          </w:tcPr>
          <w:p w14:paraId="25BE9EC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61</w:t>
            </w:r>
          </w:p>
        </w:tc>
        <w:tc>
          <w:tcPr>
            <w:tcW w:w="255" w:type="pct"/>
            <w:shd w:val="clear" w:color="auto" w:fill="F2F2F2" w:themeFill="background1" w:themeFillShade="F2"/>
            <w:hideMark/>
          </w:tcPr>
          <w:p w14:paraId="1CDD267C"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60.2</w:t>
            </w:r>
          </w:p>
        </w:tc>
        <w:tc>
          <w:tcPr>
            <w:tcW w:w="354" w:type="pct"/>
            <w:shd w:val="clear" w:color="auto" w:fill="F2F2F2" w:themeFill="background1" w:themeFillShade="F2"/>
            <w:hideMark/>
          </w:tcPr>
          <w:p w14:paraId="6B1A2AC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55</w:t>
            </w:r>
          </w:p>
        </w:tc>
        <w:tc>
          <w:tcPr>
            <w:tcW w:w="356" w:type="pct"/>
            <w:shd w:val="clear" w:color="auto" w:fill="F2F2F2" w:themeFill="background1" w:themeFillShade="F2"/>
            <w:hideMark/>
          </w:tcPr>
          <w:p w14:paraId="65E7016E"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254" w:type="pct"/>
            <w:shd w:val="clear" w:color="auto" w:fill="F2F2F2" w:themeFill="background1" w:themeFillShade="F2"/>
            <w:hideMark/>
          </w:tcPr>
          <w:p w14:paraId="6A2ED89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57</w:t>
            </w:r>
          </w:p>
        </w:tc>
        <w:tc>
          <w:tcPr>
            <w:tcW w:w="355" w:type="pct"/>
            <w:shd w:val="clear" w:color="auto" w:fill="F2F2F2" w:themeFill="background1" w:themeFillShade="F2"/>
            <w:hideMark/>
          </w:tcPr>
          <w:p w14:paraId="2236F2F7"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305" w:type="pct"/>
            <w:shd w:val="clear" w:color="auto" w:fill="F2F2F2" w:themeFill="background1" w:themeFillShade="F2"/>
            <w:hideMark/>
          </w:tcPr>
          <w:p w14:paraId="3113C1BA"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3</w:t>
            </w:r>
          </w:p>
        </w:tc>
        <w:tc>
          <w:tcPr>
            <w:tcW w:w="355" w:type="pct"/>
            <w:shd w:val="clear" w:color="auto" w:fill="auto"/>
            <w:hideMark/>
          </w:tcPr>
          <w:p w14:paraId="5DFBC7CC"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60</w:t>
            </w:r>
          </w:p>
        </w:tc>
        <w:tc>
          <w:tcPr>
            <w:tcW w:w="254" w:type="pct"/>
            <w:shd w:val="clear" w:color="auto" w:fill="auto"/>
            <w:hideMark/>
          </w:tcPr>
          <w:p w14:paraId="1F2CC50A"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58.3</w:t>
            </w:r>
          </w:p>
        </w:tc>
        <w:tc>
          <w:tcPr>
            <w:tcW w:w="355" w:type="pct"/>
            <w:shd w:val="clear" w:color="auto" w:fill="auto"/>
            <w:hideMark/>
          </w:tcPr>
          <w:p w14:paraId="138FC1A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43</w:t>
            </w:r>
          </w:p>
        </w:tc>
        <w:tc>
          <w:tcPr>
            <w:tcW w:w="356" w:type="pct"/>
            <w:shd w:val="clear" w:color="auto" w:fill="auto"/>
            <w:hideMark/>
          </w:tcPr>
          <w:p w14:paraId="0D045C1D"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w:t>
            </w:r>
          </w:p>
        </w:tc>
        <w:tc>
          <w:tcPr>
            <w:tcW w:w="254" w:type="pct"/>
            <w:shd w:val="clear" w:color="auto" w:fill="auto"/>
            <w:hideMark/>
          </w:tcPr>
          <w:p w14:paraId="7B4E8C77"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42.9</w:t>
            </w:r>
          </w:p>
        </w:tc>
        <w:tc>
          <w:tcPr>
            <w:tcW w:w="355" w:type="pct"/>
            <w:shd w:val="clear" w:color="auto" w:fill="auto"/>
            <w:hideMark/>
          </w:tcPr>
          <w:p w14:paraId="0F6F9976"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16</w:t>
            </w:r>
          </w:p>
        </w:tc>
        <w:tc>
          <w:tcPr>
            <w:tcW w:w="278" w:type="pct"/>
            <w:shd w:val="clear" w:color="auto" w:fill="auto"/>
            <w:hideMark/>
          </w:tcPr>
          <w:p w14:paraId="475EEA75"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15.4</w:t>
            </w:r>
          </w:p>
        </w:tc>
      </w:tr>
      <w:tr w:rsidR="00EF75E6" w:rsidRPr="00C71FA9" w14:paraId="28D90C19"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275993C6" w14:textId="77777777" w:rsidR="00500A68" w:rsidRPr="00C71FA9" w:rsidRDefault="00500A68">
            <w:pPr>
              <w:pStyle w:val="TableBodyText"/>
            </w:pPr>
            <w:r w:rsidRPr="00C71FA9">
              <w:t>VPS 5</w:t>
            </w:r>
          </w:p>
        </w:tc>
        <w:tc>
          <w:tcPr>
            <w:tcW w:w="355" w:type="pct"/>
            <w:shd w:val="clear" w:color="auto" w:fill="F2F2F2" w:themeFill="background1" w:themeFillShade="F2"/>
            <w:hideMark/>
          </w:tcPr>
          <w:p w14:paraId="3286ED7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94</w:t>
            </w:r>
          </w:p>
        </w:tc>
        <w:tc>
          <w:tcPr>
            <w:tcW w:w="255" w:type="pct"/>
            <w:shd w:val="clear" w:color="auto" w:fill="F2F2F2" w:themeFill="background1" w:themeFillShade="F2"/>
            <w:hideMark/>
          </w:tcPr>
          <w:p w14:paraId="7D4FF212"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90.7</w:t>
            </w:r>
          </w:p>
        </w:tc>
        <w:tc>
          <w:tcPr>
            <w:tcW w:w="354" w:type="pct"/>
            <w:shd w:val="clear" w:color="auto" w:fill="F2F2F2" w:themeFill="background1" w:themeFillShade="F2"/>
            <w:hideMark/>
          </w:tcPr>
          <w:p w14:paraId="7F069D90"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74</w:t>
            </w:r>
          </w:p>
        </w:tc>
        <w:tc>
          <w:tcPr>
            <w:tcW w:w="356" w:type="pct"/>
            <w:shd w:val="clear" w:color="auto" w:fill="F2F2F2" w:themeFill="background1" w:themeFillShade="F2"/>
            <w:hideMark/>
          </w:tcPr>
          <w:p w14:paraId="3BD7956C"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10</w:t>
            </w:r>
          </w:p>
        </w:tc>
        <w:tc>
          <w:tcPr>
            <w:tcW w:w="254" w:type="pct"/>
            <w:shd w:val="clear" w:color="auto" w:fill="F2F2F2" w:themeFill="background1" w:themeFillShade="F2"/>
            <w:hideMark/>
          </w:tcPr>
          <w:p w14:paraId="588C30AA" w14:textId="255F70FC"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81.</w:t>
            </w:r>
            <w:r w:rsidR="004A1B5E" w:rsidRPr="00475EEC">
              <w:t>6</w:t>
            </w:r>
          </w:p>
        </w:tc>
        <w:tc>
          <w:tcPr>
            <w:tcW w:w="355" w:type="pct"/>
            <w:shd w:val="clear" w:color="auto" w:fill="F2F2F2" w:themeFill="background1" w:themeFillShade="F2"/>
            <w:hideMark/>
          </w:tcPr>
          <w:p w14:paraId="1533E132"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10</w:t>
            </w:r>
          </w:p>
        </w:tc>
        <w:tc>
          <w:tcPr>
            <w:tcW w:w="305" w:type="pct"/>
            <w:shd w:val="clear" w:color="auto" w:fill="F2F2F2" w:themeFill="background1" w:themeFillShade="F2"/>
            <w:hideMark/>
          </w:tcPr>
          <w:p w14:paraId="0253032D"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9.1</w:t>
            </w:r>
          </w:p>
        </w:tc>
        <w:tc>
          <w:tcPr>
            <w:tcW w:w="355" w:type="pct"/>
            <w:shd w:val="clear" w:color="auto" w:fill="auto"/>
            <w:hideMark/>
          </w:tcPr>
          <w:p w14:paraId="45AD77D1"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77</w:t>
            </w:r>
          </w:p>
        </w:tc>
        <w:tc>
          <w:tcPr>
            <w:tcW w:w="254" w:type="pct"/>
            <w:shd w:val="clear" w:color="auto" w:fill="auto"/>
            <w:hideMark/>
          </w:tcPr>
          <w:p w14:paraId="2ADA55AF"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73.7</w:t>
            </w:r>
          </w:p>
        </w:tc>
        <w:tc>
          <w:tcPr>
            <w:tcW w:w="355" w:type="pct"/>
            <w:shd w:val="clear" w:color="auto" w:fill="auto"/>
            <w:hideMark/>
          </w:tcPr>
          <w:p w14:paraId="1515F35E"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52</w:t>
            </w:r>
          </w:p>
        </w:tc>
        <w:tc>
          <w:tcPr>
            <w:tcW w:w="356" w:type="pct"/>
            <w:shd w:val="clear" w:color="auto" w:fill="auto"/>
            <w:hideMark/>
          </w:tcPr>
          <w:p w14:paraId="062619FE"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9</w:t>
            </w:r>
          </w:p>
        </w:tc>
        <w:tc>
          <w:tcPr>
            <w:tcW w:w="254" w:type="pct"/>
            <w:shd w:val="clear" w:color="auto" w:fill="auto"/>
            <w:hideMark/>
          </w:tcPr>
          <w:p w14:paraId="7EBFEBA1"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58.3</w:t>
            </w:r>
          </w:p>
        </w:tc>
        <w:tc>
          <w:tcPr>
            <w:tcW w:w="355" w:type="pct"/>
            <w:shd w:val="clear" w:color="auto" w:fill="auto"/>
            <w:hideMark/>
          </w:tcPr>
          <w:p w14:paraId="23BF6ED5"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16</w:t>
            </w:r>
          </w:p>
        </w:tc>
        <w:tc>
          <w:tcPr>
            <w:tcW w:w="278" w:type="pct"/>
            <w:shd w:val="clear" w:color="auto" w:fill="auto"/>
            <w:hideMark/>
          </w:tcPr>
          <w:p w14:paraId="020BB83A"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15.4</w:t>
            </w:r>
          </w:p>
        </w:tc>
      </w:tr>
      <w:tr w:rsidR="00EF75E6" w:rsidRPr="00C71FA9" w14:paraId="6DF63373"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260A5838" w14:textId="77777777" w:rsidR="00500A68" w:rsidRPr="00C71FA9" w:rsidRDefault="00500A68">
            <w:pPr>
              <w:pStyle w:val="TableBodyText"/>
            </w:pPr>
            <w:r w:rsidRPr="00C71FA9">
              <w:t>VPS 6</w:t>
            </w:r>
          </w:p>
        </w:tc>
        <w:tc>
          <w:tcPr>
            <w:tcW w:w="355" w:type="pct"/>
            <w:shd w:val="clear" w:color="auto" w:fill="F2F2F2" w:themeFill="background1" w:themeFillShade="F2"/>
            <w:hideMark/>
          </w:tcPr>
          <w:p w14:paraId="75E73295"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56</w:t>
            </w:r>
          </w:p>
        </w:tc>
        <w:tc>
          <w:tcPr>
            <w:tcW w:w="255" w:type="pct"/>
            <w:shd w:val="clear" w:color="auto" w:fill="F2F2F2" w:themeFill="background1" w:themeFillShade="F2"/>
            <w:hideMark/>
          </w:tcPr>
          <w:p w14:paraId="418C80F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54.7</w:t>
            </w:r>
          </w:p>
        </w:tc>
        <w:tc>
          <w:tcPr>
            <w:tcW w:w="354" w:type="pct"/>
            <w:shd w:val="clear" w:color="auto" w:fill="F2F2F2" w:themeFill="background1" w:themeFillShade="F2"/>
            <w:hideMark/>
          </w:tcPr>
          <w:p w14:paraId="463BF02D" w14:textId="6398F6DB"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48</w:t>
            </w:r>
          </w:p>
        </w:tc>
        <w:tc>
          <w:tcPr>
            <w:tcW w:w="356" w:type="pct"/>
            <w:shd w:val="clear" w:color="auto" w:fill="F2F2F2" w:themeFill="background1" w:themeFillShade="F2"/>
            <w:hideMark/>
          </w:tcPr>
          <w:p w14:paraId="0479B888"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5</w:t>
            </w:r>
          </w:p>
        </w:tc>
        <w:tc>
          <w:tcPr>
            <w:tcW w:w="254" w:type="pct"/>
            <w:shd w:val="clear" w:color="auto" w:fill="F2F2F2" w:themeFill="background1" w:themeFillShade="F2"/>
            <w:hideMark/>
          </w:tcPr>
          <w:p w14:paraId="4CA8E623"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52.7</w:t>
            </w:r>
          </w:p>
        </w:tc>
        <w:tc>
          <w:tcPr>
            <w:tcW w:w="355" w:type="pct"/>
            <w:shd w:val="clear" w:color="auto" w:fill="F2F2F2" w:themeFill="background1" w:themeFillShade="F2"/>
            <w:hideMark/>
          </w:tcPr>
          <w:p w14:paraId="0691B76B"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305" w:type="pct"/>
            <w:shd w:val="clear" w:color="auto" w:fill="F2F2F2" w:themeFill="background1" w:themeFillShade="F2"/>
            <w:hideMark/>
          </w:tcPr>
          <w:p w14:paraId="1F362A29"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355" w:type="pct"/>
            <w:shd w:val="clear" w:color="auto" w:fill="auto"/>
            <w:hideMark/>
          </w:tcPr>
          <w:p w14:paraId="7BFC39C3"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54</w:t>
            </w:r>
          </w:p>
        </w:tc>
        <w:tc>
          <w:tcPr>
            <w:tcW w:w="254" w:type="pct"/>
            <w:shd w:val="clear" w:color="auto" w:fill="auto"/>
            <w:hideMark/>
          </w:tcPr>
          <w:p w14:paraId="1640EA00"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53.2</w:t>
            </w:r>
          </w:p>
        </w:tc>
        <w:tc>
          <w:tcPr>
            <w:tcW w:w="355" w:type="pct"/>
            <w:shd w:val="clear" w:color="auto" w:fill="auto"/>
            <w:hideMark/>
          </w:tcPr>
          <w:p w14:paraId="535DB4BA"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38</w:t>
            </w:r>
          </w:p>
        </w:tc>
        <w:tc>
          <w:tcPr>
            <w:tcW w:w="356" w:type="pct"/>
            <w:shd w:val="clear" w:color="auto" w:fill="auto"/>
            <w:hideMark/>
          </w:tcPr>
          <w:p w14:paraId="4CEB1C49"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254" w:type="pct"/>
            <w:shd w:val="clear" w:color="auto" w:fill="auto"/>
            <w:hideMark/>
          </w:tcPr>
          <w:p w14:paraId="72A8F8C1"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39.4</w:t>
            </w:r>
          </w:p>
        </w:tc>
        <w:tc>
          <w:tcPr>
            <w:tcW w:w="355" w:type="pct"/>
            <w:shd w:val="clear" w:color="auto" w:fill="auto"/>
            <w:hideMark/>
          </w:tcPr>
          <w:p w14:paraId="575BF4F4"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14</w:t>
            </w:r>
          </w:p>
        </w:tc>
        <w:tc>
          <w:tcPr>
            <w:tcW w:w="278" w:type="pct"/>
            <w:shd w:val="clear" w:color="auto" w:fill="auto"/>
            <w:hideMark/>
          </w:tcPr>
          <w:p w14:paraId="7DD123C1"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13.8</w:t>
            </w:r>
          </w:p>
        </w:tc>
      </w:tr>
      <w:tr w:rsidR="00EF75E6" w:rsidRPr="00C71FA9" w14:paraId="40A2542C" w14:textId="77777777">
        <w:trPr>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018C338D" w14:textId="77777777" w:rsidR="00500A68" w:rsidRPr="00C71FA9" w:rsidRDefault="00500A68">
            <w:pPr>
              <w:pStyle w:val="TableBodyText"/>
            </w:pPr>
            <w:r w:rsidRPr="00C71FA9">
              <w:t>STS</w:t>
            </w:r>
          </w:p>
        </w:tc>
        <w:tc>
          <w:tcPr>
            <w:tcW w:w="355" w:type="pct"/>
            <w:shd w:val="clear" w:color="auto" w:fill="F2F2F2" w:themeFill="background1" w:themeFillShade="F2"/>
            <w:hideMark/>
          </w:tcPr>
          <w:p w14:paraId="7AA25554"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255" w:type="pct"/>
            <w:shd w:val="clear" w:color="auto" w:fill="F2F2F2" w:themeFill="background1" w:themeFillShade="F2"/>
            <w:hideMark/>
          </w:tcPr>
          <w:p w14:paraId="40B05EB1"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4" w:type="pct"/>
            <w:shd w:val="clear" w:color="auto" w:fill="F2F2F2" w:themeFill="background1" w:themeFillShade="F2"/>
            <w:hideMark/>
          </w:tcPr>
          <w:p w14:paraId="492D9653" w14:textId="77777777" w:rsidR="00500A68" w:rsidRPr="0052343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52343C">
              <w:t>2</w:t>
            </w:r>
          </w:p>
        </w:tc>
        <w:tc>
          <w:tcPr>
            <w:tcW w:w="356" w:type="pct"/>
            <w:shd w:val="clear" w:color="auto" w:fill="F2F2F2" w:themeFill="background1" w:themeFillShade="F2"/>
            <w:hideMark/>
          </w:tcPr>
          <w:p w14:paraId="74ECC8D0" w14:textId="68E7A8FC" w:rsidR="00500A68" w:rsidRPr="0052343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52343C">
              <w:t>–</w:t>
            </w:r>
          </w:p>
        </w:tc>
        <w:tc>
          <w:tcPr>
            <w:tcW w:w="254" w:type="pct"/>
            <w:shd w:val="clear" w:color="auto" w:fill="F2F2F2" w:themeFill="background1" w:themeFillShade="F2"/>
            <w:hideMark/>
          </w:tcPr>
          <w:p w14:paraId="3AE0CB86"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355" w:type="pct"/>
            <w:shd w:val="clear" w:color="auto" w:fill="F2F2F2" w:themeFill="background1" w:themeFillShade="F2"/>
            <w:hideMark/>
          </w:tcPr>
          <w:p w14:paraId="5CECA62D" w14:textId="1A4AA95C" w:rsidR="00500A68" w:rsidRPr="00475EE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475EEC">
              <w:t>–</w:t>
            </w:r>
          </w:p>
        </w:tc>
        <w:tc>
          <w:tcPr>
            <w:tcW w:w="305" w:type="pct"/>
            <w:shd w:val="clear" w:color="auto" w:fill="F2F2F2" w:themeFill="background1" w:themeFillShade="F2"/>
            <w:hideMark/>
          </w:tcPr>
          <w:p w14:paraId="7DAFE5A9" w14:textId="3D4FF1C8" w:rsidR="00500A68" w:rsidRPr="00475EEC" w:rsidRDefault="00E7479B">
            <w:pPr>
              <w:pStyle w:val="TableBodyTextrightalign"/>
              <w:cnfStyle w:val="000000000000" w:firstRow="0" w:lastRow="0" w:firstColumn="0" w:lastColumn="0" w:oddVBand="0" w:evenVBand="0" w:oddHBand="0" w:evenHBand="0" w:firstRowFirstColumn="0" w:firstRowLastColumn="0" w:lastRowFirstColumn="0" w:lastRowLastColumn="0"/>
            </w:pPr>
            <w:r w:rsidRPr="00475EEC">
              <w:t>–</w:t>
            </w:r>
          </w:p>
        </w:tc>
        <w:tc>
          <w:tcPr>
            <w:tcW w:w="355" w:type="pct"/>
            <w:shd w:val="clear" w:color="auto" w:fill="auto"/>
            <w:hideMark/>
          </w:tcPr>
          <w:p w14:paraId="600A7203"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254" w:type="pct"/>
            <w:shd w:val="clear" w:color="auto" w:fill="auto"/>
            <w:hideMark/>
          </w:tcPr>
          <w:p w14:paraId="0BC4D368" w14:textId="597E2CB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355" w:type="pct"/>
            <w:shd w:val="clear" w:color="auto" w:fill="auto"/>
            <w:hideMark/>
          </w:tcPr>
          <w:p w14:paraId="18EEE8FE"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356" w:type="pct"/>
            <w:shd w:val="clear" w:color="auto" w:fill="auto"/>
            <w:hideMark/>
          </w:tcPr>
          <w:p w14:paraId="206D1232"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w:t>
            </w:r>
          </w:p>
        </w:tc>
        <w:tc>
          <w:tcPr>
            <w:tcW w:w="254" w:type="pct"/>
            <w:shd w:val="clear" w:color="auto" w:fill="auto"/>
            <w:hideMark/>
          </w:tcPr>
          <w:p w14:paraId="135FCB4E" w14:textId="58865906"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2</w:t>
            </w:r>
          </w:p>
        </w:tc>
        <w:tc>
          <w:tcPr>
            <w:tcW w:w="355" w:type="pct"/>
            <w:shd w:val="clear" w:color="auto" w:fill="auto"/>
            <w:hideMark/>
          </w:tcPr>
          <w:p w14:paraId="5D071938"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w:t>
            </w:r>
          </w:p>
        </w:tc>
        <w:tc>
          <w:tcPr>
            <w:tcW w:w="278" w:type="pct"/>
            <w:shd w:val="clear" w:color="auto" w:fill="auto"/>
            <w:hideMark/>
          </w:tcPr>
          <w:p w14:paraId="745F67C9" w14:textId="77777777" w:rsidR="00500A68" w:rsidRPr="00475EEC" w:rsidRDefault="00500A68">
            <w:pPr>
              <w:pStyle w:val="TableBodyTextrightalign"/>
              <w:cnfStyle w:val="000000000000" w:firstRow="0" w:lastRow="0" w:firstColumn="0" w:lastColumn="0" w:oddVBand="0" w:evenVBand="0" w:oddHBand="0" w:evenHBand="0" w:firstRowFirstColumn="0" w:firstRowLastColumn="0" w:lastRowFirstColumn="0" w:lastRowLastColumn="0"/>
            </w:pPr>
            <w:r w:rsidRPr="00475EEC">
              <w:t>–</w:t>
            </w:r>
          </w:p>
        </w:tc>
      </w:tr>
      <w:tr w:rsidR="00EF75E6" w:rsidRPr="00C71FA9" w14:paraId="3F650D05" w14:textId="77777777">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59" w:type="pct"/>
            <w:shd w:val="clear" w:color="auto" w:fill="FFFFFF" w:themeFill="background1"/>
            <w:hideMark/>
          </w:tcPr>
          <w:p w14:paraId="05CB4FCA" w14:textId="77777777" w:rsidR="00500A68" w:rsidRPr="00C71FA9" w:rsidRDefault="00500A68">
            <w:pPr>
              <w:pStyle w:val="TableBodyText"/>
            </w:pPr>
            <w:r w:rsidRPr="00C71FA9">
              <w:t>Total</w:t>
            </w:r>
          </w:p>
        </w:tc>
        <w:tc>
          <w:tcPr>
            <w:tcW w:w="355" w:type="pct"/>
            <w:shd w:val="clear" w:color="auto" w:fill="F2F2F2" w:themeFill="background1" w:themeFillShade="F2"/>
            <w:hideMark/>
          </w:tcPr>
          <w:p w14:paraId="63C09B26"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258</w:t>
            </w:r>
          </w:p>
        </w:tc>
        <w:tc>
          <w:tcPr>
            <w:tcW w:w="255" w:type="pct"/>
            <w:shd w:val="clear" w:color="auto" w:fill="F2F2F2" w:themeFill="background1" w:themeFillShade="F2"/>
            <w:hideMark/>
          </w:tcPr>
          <w:p w14:paraId="6F0CE56E"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250.9</w:t>
            </w:r>
          </w:p>
        </w:tc>
        <w:tc>
          <w:tcPr>
            <w:tcW w:w="354" w:type="pct"/>
            <w:shd w:val="clear" w:color="auto" w:fill="F2F2F2" w:themeFill="background1" w:themeFillShade="F2"/>
            <w:hideMark/>
          </w:tcPr>
          <w:p w14:paraId="5CCAAAFD"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217</w:t>
            </w:r>
          </w:p>
        </w:tc>
        <w:tc>
          <w:tcPr>
            <w:tcW w:w="356" w:type="pct"/>
            <w:shd w:val="clear" w:color="auto" w:fill="F2F2F2" w:themeFill="background1" w:themeFillShade="F2"/>
            <w:hideMark/>
          </w:tcPr>
          <w:p w14:paraId="660E99D4"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24</w:t>
            </w:r>
          </w:p>
        </w:tc>
        <w:tc>
          <w:tcPr>
            <w:tcW w:w="254" w:type="pct"/>
            <w:shd w:val="clear" w:color="auto" w:fill="F2F2F2" w:themeFill="background1" w:themeFillShade="F2"/>
            <w:hideMark/>
          </w:tcPr>
          <w:p w14:paraId="593045C3"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234.8</w:t>
            </w:r>
          </w:p>
        </w:tc>
        <w:tc>
          <w:tcPr>
            <w:tcW w:w="355" w:type="pct"/>
            <w:shd w:val="clear" w:color="auto" w:fill="F2F2F2" w:themeFill="background1" w:themeFillShade="F2"/>
            <w:hideMark/>
          </w:tcPr>
          <w:p w14:paraId="2BF12B53"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17</w:t>
            </w:r>
          </w:p>
        </w:tc>
        <w:tc>
          <w:tcPr>
            <w:tcW w:w="305" w:type="pct"/>
            <w:shd w:val="clear" w:color="auto" w:fill="F2F2F2" w:themeFill="background1" w:themeFillShade="F2"/>
            <w:hideMark/>
          </w:tcPr>
          <w:p w14:paraId="5E17CEB1"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16.1</w:t>
            </w:r>
          </w:p>
        </w:tc>
        <w:tc>
          <w:tcPr>
            <w:tcW w:w="355" w:type="pct"/>
            <w:shd w:val="clear" w:color="auto" w:fill="auto"/>
            <w:hideMark/>
          </w:tcPr>
          <w:p w14:paraId="52613756"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231</w:t>
            </w:r>
          </w:p>
        </w:tc>
        <w:tc>
          <w:tcPr>
            <w:tcW w:w="254" w:type="pct"/>
            <w:shd w:val="clear" w:color="auto" w:fill="auto"/>
            <w:hideMark/>
          </w:tcPr>
          <w:p w14:paraId="7694D2AE"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223.1</w:t>
            </w:r>
          </w:p>
        </w:tc>
        <w:tc>
          <w:tcPr>
            <w:tcW w:w="355" w:type="pct"/>
            <w:shd w:val="clear" w:color="auto" w:fill="auto"/>
            <w:hideMark/>
          </w:tcPr>
          <w:p w14:paraId="46634164"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154</w:t>
            </w:r>
          </w:p>
        </w:tc>
        <w:tc>
          <w:tcPr>
            <w:tcW w:w="356" w:type="pct"/>
            <w:shd w:val="clear" w:color="auto" w:fill="auto"/>
            <w:hideMark/>
          </w:tcPr>
          <w:p w14:paraId="68D06D9F"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19</w:t>
            </w:r>
          </w:p>
        </w:tc>
        <w:tc>
          <w:tcPr>
            <w:tcW w:w="254" w:type="pct"/>
            <w:shd w:val="clear" w:color="auto" w:fill="auto"/>
            <w:hideMark/>
          </w:tcPr>
          <w:p w14:paraId="1F0A53DE"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166.5</w:t>
            </w:r>
          </w:p>
        </w:tc>
        <w:tc>
          <w:tcPr>
            <w:tcW w:w="355" w:type="pct"/>
            <w:shd w:val="clear" w:color="auto" w:fill="auto"/>
            <w:hideMark/>
          </w:tcPr>
          <w:p w14:paraId="6A401CB9"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58</w:t>
            </w:r>
          </w:p>
        </w:tc>
        <w:tc>
          <w:tcPr>
            <w:tcW w:w="278" w:type="pct"/>
            <w:shd w:val="clear" w:color="auto" w:fill="auto"/>
            <w:hideMark/>
          </w:tcPr>
          <w:p w14:paraId="389AE470" w14:textId="77777777" w:rsidR="00500A68" w:rsidRPr="0052343C" w:rsidRDefault="00500A68">
            <w:pPr>
              <w:pStyle w:val="TableBodyTextrightalign"/>
              <w:cnfStyle w:val="010000000000" w:firstRow="0" w:lastRow="1" w:firstColumn="0" w:lastColumn="0" w:oddVBand="0" w:evenVBand="0" w:oddHBand="0" w:evenHBand="0" w:firstRowFirstColumn="0" w:firstRowLastColumn="0" w:lastRowFirstColumn="0" w:lastRowLastColumn="0"/>
            </w:pPr>
            <w:r w:rsidRPr="0052343C">
              <w:t>56.6</w:t>
            </w:r>
          </w:p>
        </w:tc>
      </w:tr>
    </w:tbl>
    <w:p w14:paraId="3F94D0BD" w14:textId="6F4F5347" w:rsidR="00500A68" w:rsidRPr="007D7DCD" w:rsidRDefault="00465B9C" w:rsidP="00500A68">
      <w:pPr>
        <w:pStyle w:val="TableNote"/>
      </w:pPr>
      <w:r>
        <w:t>Notes</w:t>
      </w:r>
      <w:r w:rsidR="00500A68" w:rsidRPr="007D7DCD">
        <w:t xml:space="preserve"> </w:t>
      </w:r>
    </w:p>
    <w:p w14:paraId="0ABC15DD" w14:textId="24FCC015" w:rsidR="00C10B34" w:rsidRPr="00DA3AF2" w:rsidRDefault="00500A68" w:rsidP="00A93F95">
      <w:pPr>
        <w:pStyle w:val="TableNote"/>
      </w:pPr>
      <w:r w:rsidRPr="00D4111B">
        <w:rPr>
          <w:rStyle w:val="Charactersuperscript"/>
        </w:rPr>
        <w:t>(a)</w:t>
      </w:r>
      <w:r>
        <w:t xml:space="preserve"> </w:t>
      </w:r>
      <w:r w:rsidRPr="007D7DCD">
        <w:t>Senior non-</w:t>
      </w:r>
      <w:r w:rsidRPr="00D4111B">
        <w:t>executive</w:t>
      </w:r>
      <w:r w:rsidRPr="007D7DCD">
        <w:t xml:space="preserve"> staff are listed in this table as well as in </w:t>
      </w:r>
      <w:r w:rsidRPr="007D7DCD">
        <w:rPr>
          <w:bCs w:val="0"/>
        </w:rPr>
        <w:fldChar w:fldCharType="begin"/>
      </w:r>
      <w:r w:rsidRPr="007D7DCD">
        <w:instrText xml:space="preserve"> REF _Ref78990140 \h  \* MERGEFORMAT </w:instrText>
      </w:r>
      <w:r w:rsidRPr="007D7DCD">
        <w:rPr>
          <w:bCs w:val="0"/>
        </w:rPr>
      </w:r>
      <w:r w:rsidRPr="007D7DCD">
        <w:rPr>
          <w:bCs w:val="0"/>
        </w:rPr>
        <w:fldChar w:fldCharType="separate"/>
      </w:r>
      <w:r w:rsidR="00A93F95" w:rsidRPr="002F6765">
        <w:t xml:space="preserve">Table </w:t>
      </w:r>
      <w:r w:rsidR="00A93F95">
        <w:t>24</w:t>
      </w:r>
      <w:r w:rsidRPr="007D7DCD">
        <w:rPr>
          <w:bCs w:val="0"/>
        </w:rPr>
        <w:fldChar w:fldCharType="end"/>
      </w:r>
      <w:r w:rsidRPr="007D7DCD">
        <w:t>. Executive officers and statutory appointments are not included in this table.</w:t>
      </w:r>
    </w:p>
    <w:p w14:paraId="517E845D" w14:textId="77777777" w:rsidR="00C22542" w:rsidRPr="00DA3AF2" w:rsidRDefault="00C22542" w:rsidP="00DA3AF2">
      <w:pPr>
        <w:pStyle w:val="BodyText"/>
        <w:sectPr w:rsidR="00C22542" w:rsidRPr="00DA3AF2" w:rsidSect="00BA67F5">
          <w:headerReference w:type="even" r:id="rId76"/>
          <w:headerReference w:type="default" r:id="rId77"/>
          <w:headerReference w:type="first" r:id="rId78"/>
          <w:pgSz w:w="16839" w:h="11907" w:orient="landscape" w:code="9"/>
          <w:pgMar w:top="1440" w:right="1440" w:bottom="1440" w:left="1440" w:header="720" w:footer="720" w:gutter="0"/>
          <w:cols w:space="720"/>
          <w:docGrid w:linePitch="360"/>
        </w:sectPr>
      </w:pPr>
    </w:p>
    <w:p w14:paraId="7DA8B2E8" w14:textId="090D379E" w:rsidR="009C2188" w:rsidRPr="002F6765" w:rsidRDefault="00233067" w:rsidP="009C2188">
      <w:pPr>
        <w:pStyle w:val="BodyText"/>
      </w:pPr>
      <w:r>
        <w:fldChar w:fldCharType="begin"/>
      </w:r>
      <w:r>
        <w:instrText xml:space="preserve"> REF _Ref78990140 \h </w:instrText>
      </w:r>
      <w:r>
        <w:fldChar w:fldCharType="separate"/>
      </w:r>
      <w:r w:rsidR="00A93F95" w:rsidRPr="002F6765">
        <w:t xml:space="preserve">Table </w:t>
      </w:r>
      <w:r w:rsidR="00A93F95">
        <w:rPr>
          <w:noProof/>
        </w:rPr>
        <w:t>24</w:t>
      </w:r>
      <w:r>
        <w:fldChar w:fldCharType="end"/>
      </w:r>
      <w:r>
        <w:t xml:space="preserve"> </w:t>
      </w:r>
      <w:r w:rsidR="009C2188" w:rsidRPr="002F6765">
        <w:t xml:space="preserve">details the annualised total </w:t>
      </w:r>
      <w:r w:rsidR="009C2188" w:rsidRPr="007D7DCD">
        <w:t>salary</w:t>
      </w:r>
      <w:r w:rsidR="009C2188" w:rsidRPr="002F6765">
        <w:t xml:space="preserve"> for senior employees of IBAC, categorised by classification. The salary amount is reported as the full-time annualised salary.</w:t>
      </w:r>
    </w:p>
    <w:p w14:paraId="4BE4674A" w14:textId="310FEE4C" w:rsidR="009C2188" w:rsidRPr="002F6765" w:rsidRDefault="009C2188" w:rsidP="005C634F">
      <w:pPr>
        <w:pStyle w:val="Caption"/>
      </w:pPr>
      <w:bookmarkStart w:id="227" w:name="_Ref78990140"/>
      <w:bookmarkStart w:id="228" w:name="_Ref149136385"/>
      <w:r w:rsidRPr="002F6765">
        <w:t xml:space="preserve">Table </w:t>
      </w:r>
      <w:r>
        <w:fldChar w:fldCharType="begin"/>
      </w:r>
      <w:r>
        <w:instrText xml:space="preserve"> SEQ Table \* ARABIC </w:instrText>
      </w:r>
      <w:r>
        <w:fldChar w:fldCharType="separate"/>
      </w:r>
      <w:r w:rsidR="00A93F95">
        <w:rPr>
          <w:noProof/>
        </w:rPr>
        <w:t>24</w:t>
      </w:r>
      <w:r>
        <w:rPr>
          <w:noProof/>
        </w:rPr>
        <w:fldChar w:fldCharType="end"/>
      </w:r>
      <w:bookmarkEnd w:id="227"/>
      <w:r w:rsidRPr="002F6765">
        <w:t>: Annualised total salary for executives and other senior non-</w:t>
      </w:r>
      <w:r w:rsidRPr="007D7DCD">
        <w:t>executive</w:t>
      </w:r>
      <w:r w:rsidRPr="002F6765">
        <w:t xml:space="preserve"> staff</w:t>
      </w:r>
      <w:bookmarkEnd w:id="228"/>
    </w:p>
    <w:tbl>
      <w:tblPr>
        <w:tblStyle w:val="CustomTabledetailed"/>
        <w:tblW w:w="0" w:type="auto"/>
        <w:tblLook w:val="04E0" w:firstRow="1" w:lastRow="1" w:firstColumn="1" w:lastColumn="0" w:noHBand="0" w:noVBand="1"/>
      </w:tblPr>
      <w:tblGrid>
        <w:gridCol w:w="1284"/>
        <w:gridCol w:w="1285"/>
        <w:gridCol w:w="1284"/>
        <w:gridCol w:w="1284"/>
        <w:gridCol w:w="1283"/>
        <w:gridCol w:w="1285"/>
        <w:gridCol w:w="1322"/>
      </w:tblGrid>
      <w:tr w:rsidR="00741F19" w:rsidRPr="002F6765" w14:paraId="2AC7B13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539E735D" w14:textId="77777777" w:rsidR="00741F19" w:rsidRPr="002F6765" w:rsidRDefault="00741F19">
            <w:pPr>
              <w:pStyle w:val="TableHeading1"/>
            </w:pPr>
            <w:r w:rsidRPr="002F6765">
              <w:t xml:space="preserve">Income </w:t>
            </w:r>
            <w:r w:rsidRPr="007D7DCD">
              <w:t>band</w:t>
            </w:r>
            <w:r w:rsidRPr="002F6765">
              <w:t xml:space="preserve"> (salary)</w:t>
            </w:r>
          </w:p>
        </w:tc>
        <w:tc>
          <w:tcPr>
            <w:tcW w:w="1285" w:type="dxa"/>
          </w:tcPr>
          <w:p w14:paraId="00BC99FF" w14:textId="77777777" w:rsidR="00741F19" w:rsidRPr="002F6765" w:rsidRDefault="00741F19">
            <w:pPr>
              <w:pStyle w:val="TableHeading2centrealign"/>
              <w:cnfStyle w:val="100000000000" w:firstRow="1" w:lastRow="0" w:firstColumn="0" w:lastColumn="0" w:oddVBand="0" w:evenVBand="0" w:oddHBand="0" w:evenHBand="0" w:firstRowFirstColumn="0" w:firstRowLastColumn="0" w:lastRowFirstColumn="0" w:lastRowLastColumn="0"/>
            </w:pPr>
            <w:r w:rsidRPr="002F6765">
              <w:t>Executives</w:t>
            </w:r>
          </w:p>
        </w:tc>
        <w:tc>
          <w:tcPr>
            <w:tcW w:w="1284" w:type="dxa"/>
          </w:tcPr>
          <w:p w14:paraId="5E6C6BA1" w14:textId="65E4B888" w:rsidR="00741F19" w:rsidRPr="002F6765" w:rsidRDefault="00741F19">
            <w:pPr>
              <w:pStyle w:val="TableHeading2centrealign"/>
              <w:cnfStyle w:val="100000000000" w:firstRow="1" w:lastRow="0" w:firstColumn="0" w:lastColumn="0" w:oddVBand="0" w:evenVBand="0" w:oddHBand="0" w:evenHBand="0" w:firstRowFirstColumn="0" w:firstRowLastColumn="0" w:lastRowFirstColumn="0" w:lastRowLastColumn="0"/>
            </w:pPr>
            <w:r w:rsidRPr="002F6765">
              <w:t xml:space="preserve">Senior </w:t>
            </w:r>
            <w:r w:rsidR="006718C4">
              <w:t>t</w:t>
            </w:r>
            <w:r w:rsidRPr="002F6765">
              <w:t xml:space="preserve">echnical </w:t>
            </w:r>
            <w:r w:rsidR="006718C4">
              <w:t>s</w:t>
            </w:r>
            <w:r w:rsidRPr="002F6765">
              <w:t>pecialists</w:t>
            </w:r>
          </w:p>
        </w:tc>
        <w:tc>
          <w:tcPr>
            <w:tcW w:w="1284" w:type="dxa"/>
          </w:tcPr>
          <w:p w14:paraId="0069EED6" w14:textId="45C9A1C5" w:rsidR="00741F19" w:rsidRPr="002F6765" w:rsidRDefault="00741F19">
            <w:pPr>
              <w:pStyle w:val="TableHeading2centrealign"/>
              <w:cnfStyle w:val="100000000000" w:firstRow="1" w:lastRow="0" w:firstColumn="0" w:lastColumn="0" w:oddVBand="0" w:evenVBand="0" w:oddHBand="0" w:evenHBand="0" w:firstRowFirstColumn="0" w:firstRowLastColumn="0" w:lastRowFirstColumn="0" w:lastRowLastColumn="0"/>
            </w:pPr>
            <w:r w:rsidRPr="002F6765">
              <w:t xml:space="preserve">Principal </w:t>
            </w:r>
            <w:r w:rsidR="006718C4">
              <w:t>s</w:t>
            </w:r>
            <w:r w:rsidRPr="002F6765">
              <w:t>cientists</w:t>
            </w:r>
          </w:p>
        </w:tc>
        <w:tc>
          <w:tcPr>
            <w:tcW w:w="1283" w:type="dxa"/>
          </w:tcPr>
          <w:p w14:paraId="7AFC4388" w14:textId="76E6ED46" w:rsidR="00741F19" w:rsidRPr="002F6765" w:rsidRDefault="00741F19">
            <w:pPr>
              <w:pStyle w:val="TableHeading2centrealign"/>
              <w:cnfStyle w:val="100000000000" w:firstRow="1" w:lastRow="0" w:firstColumn="0" w:lastColumn="0" w:oddVBand="0" w:evenVBand="0" w:oddHBand="0" w:evenHBand="0" w:firstRowFirstColumn="0" w:firstRowLastColumn="0" w:lastRowFirstColumn="0" w:lastRowLastColumn="0"/>
            </w:pPr>
            <w:r w:rsidRPr="002F6765">
              <w:t xml:space="preserve">Senior </w:t>
            </w:r>
            <w:r w:rsidR="006718C4">
              <w:t>m</w:t>
            </w:r>
            <w:r w:rsidRPr="002F6765">
              <w:t xml:space="preserve">edical </w:t>
            </w:r>
            <w:r w:rsidR="006718C4">
              <w:t>a</w:t>
            </w:r>
            <w:r w:rsidRPr="002F6765">
              <w:t>dvisors</w:t>
            </w:r>
          </w:p>
        </w:tc>
        <w:tc>
          <w:tcPr>
            <w:tcW w:w="1285" w:type="dxa"/>
          </w:tcPr>
          <w:p w14:paraId="3AB7B6AA" w14:textId="1ABB43AD" w:rsidR="00741F19" w:rsidRPr="002F6765" w:rsidRDefault="00741F19">
            <w:pPr>
              <w:pStyle w:val="TableHeading2centrealign"/>
              <w:cnfStyle w:val="100000000000" w:firstRow="1" w:lastRow="0" w:firstColumn="0" w:lastColumn="0" w:oddVBand="0" w:evenVBand="0" w:oddHBand="0" w:evenHBand="0" w:firstRowFirstColumn="0" w:firstRowLastColumn="0" w:lastRowFirstColumn="0" w:lastRowLastColumn="0"/>
            </w:pPr>
            <w:r w:rsidRPr="002F6765">
              <w:t xml:space="preserve">Senior </w:t>
            </w:r>
            <w:r w:rsidR="006718C4">
              <w:t>r</w:t>
            </w:r>
            <w:r w:rsidRPr="002F6765">
              <w:t xml:space="preserve">egulatory </w:t>
            </w:r>
            <w:r w:rsidR="006718C4">
              <w:t>a</w:t>
            </w:r>
            <w:r w:rsidRPr="002F6765">
              <w:t>nalysts</w:t>
            </w:r>
          </w:p>
        </w:tc>
        <w:tc>
          <w:tcPr>
            <w:tcW w:w="1322" w:type="dxa"/>
          </w:tcPr>
          <w:p w14:paraId="34E75C2B" w14:textId="77777777" w:rsidR="00741F19" w:rsidRPr="002F6765" w:rsidRDefault="00741F19">
            <w:pPr>
              <w:pStyle w:val="TableHeading2centrealign"/>
              <w:cnfStyle w:val="100000000000" w:firstRow="1" w:lastRow="0" w:firstColumn="0" w:lastColumn="0" w:oddVBand="0" w:evenVBand="0" w:oddHBand="0" w:evenHBand="0" w:firstRowFirstColumn="0" w:firstRowLastColumn="0" w:lastRowFirstColumn="0" w:lastRowLastColumn="0"/>
            </w:pPr>
            <w:r w:rsidRPr="002F6765">
              <w:t>Other (statutory appointments)</w:t>
            </w:r>
          </w:p>
        </w:tc>
      </w:tr>
      <w:tr w:rsidR="00741F19" w:rsidRPr="002F6765" w14:paraId="729E9E4E" w14:textId="77777777">
        <w:tc>
          <w:tcPr>
            <w:cnfStyle w:val="001000000000" w:firstRow="0" w:lastRow="0" w:firstColumn="1" w:lastColumn="0" w:oddVBand="0" w:evenVBand="0" w:oddHBand="0" w:evenHBand="0" w:firstRowFirstColumn="0" w:firstRowLastColumn="0" w:lastRowFirstColumn="0" w:lastRowLastColumn="0"/>
            <w:tcW w:w="1284" w:type="dxa"/>
          </w:tcPr>
          <w:p w14:paraId="49E76646" w14:textId="4CCC564B" w:rsidR="00741F19" w:rsidRPr="007D7DCD" w:rsidRDefault="00741F19">
            <w:pPr>
              <w:pStyle w:val="TableBodyText"/>
            </w:pPr>
            <w:r w:rsidRPr="007D7DCD">
              <w:t>&lt; $160</w:t>
            </w:r>
            <w:r w:rsidR="00D4235D">
              <w:t>,</w:t>
            </w:r>
            <w:r w:rsidRPr="007D7DCD">
              <w:t>000</w:t>
            </w:r>
          </w:p>
        </w:tc>
        <w:tc>
          <w:tcPr>
            <w:tcW w:w="1285" w:type="dxa"/>
          </w:tcPr>
          <w:p w14:paraId="4D4B6199"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5FEC0013"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7BCBBC67"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3" w:type="dxa"/>
          </w:tcPr>
          <w:p w14:paraId="5207C403"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5" w:type="dxa"/>
          </w:tcPr>
          <w:p w14:paraId="0EF78607"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322" w:type="dxa"/>
          </w:tcPr>
          <w:p w14:paraId="48DD7357"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r>
      <w:tr w:rsidR="00741F19" w:rsidRPr="002F6765" w14:paraId="087F9AB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4A2BFE09" w14:textId="77777777" w:rsidR="00741F19" w:rsidRPr="007D7DCD" w:rsidRDefault="00741F19">
            <w:pPr>
              <w:pStyle w:val="TableBodyText"/>
            </w:pPr>
            <w:r w:rsidRPr="007D7DCD">
              <w:t>$160,000–$179,000</w:t>
            </w:r>
          </w:p>
        </w:tc>
        <w:tc>
          <w:tcPr>
            <w:tcW w:w="1285" w:type="dxa"/>
          </w:tcPr>
          <w:p w14:paraId="14BD8819"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461ADEFA"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0FE909FE"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3" w:type="dxa"/>
          </w:tcPr>
          <w:p w14:paraId="7A3121B2"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5" w:type="dxa"/>
          </w:tcPr>
          <w:p w14:paraId="49E6B45B"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322" w:type="dxa"/>
          </w:tcPr>
          <w:p w14:paraId="32A1E94A"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r>
      <w:tr w:rsidR="00741F19" w:rsidRPr="002F6765" w14:paraId="413D2A3A" w14:textId="77777777">
        <w:tc>
          <w:tcPr>
            <w:cnfStyle w:val="001000000000" w:firstRow="0" w:lastRow="0" w:firstColumn="1" w:lastColumn="0" w:oddVBand="0" w:evenVBand="0" w:oddHBand="0" w:evenHBand="0" w:firstRowFirstColumn="0" w:firstRowLastColumn="0" w:lastRowFirstColumn="0" w:lastRowLastColumn="0"/>
            <w:tcW w:w="1284" w:type="dxa"/>
          </w:tcPr>
          <w:p w14:paraId="22604337" w14:textId="77777777" w:rsidR="00741F19" w:rsidRPr="007D7DCD" w:rsidRDefault="00741F19">
            <w:pPr>
              <w:pStyle w:val="TableBodyText"/>
            </w:pPr>
            <w:r w:rsidRPr="007D7DCD">
              <w:t>$180,000–$199,000</w:t>
            </w:r>
          </w:p>
        </w:tc>
        <w:tc>
          <w:tcPr>
            <w:tcW w:w="1285" w:type="dxa"/>
          </w:tcPr>
          <w:p w14:paraId="61FF66CD"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1E17ADCD"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0D735776"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3" w:type="dxa"/>
          </w:tcPr>
          <w:p w14:paraId="1CEEF002"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5" w:type="dxa"/>
          </w:tcPr>
          <w:p w14:paraId="157A41AA"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322" w:type="dxa"/>
          </w:tcPr>
          <w:p w14:paraId="0E35CE6F"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r>
      <w:tr w:rsidR="00741F19" w:rsidRPr="002F6765" w14:paraId="201E6E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6289CBDC" w14:textId="77777777" w:rsidR="00741F19" w:rsidRPr="007D7DCD" w:rsidRDefault="00741F19">
            <w:pPr>
              <w:pStyle w:val="TableBodyText"/>
            </w:pPr>
            <w:r w:rsidRPr="007D7DCD">
              <w:t>$200,000–$219,000</w:t>
            </w:r>
          </w:p>
        </w:tc>
        <w:tc>
          <w:tcPr>
            <w:tcW w:w="1285" w:type="dxa"/>
          </w:tcPr>
          <w:p w14:paraId="5B5E9A20" w14:textId="62D8B87A" w:rsidR="00741F19" w:rsidRPr="003D0B7A" w:rsidRDefault="00C85F33" w:rsidP="00D24762">
            <w:pPr>
              <w:pStyle w:val="TableBodyTextcentrealign"/>
              <w:cnfStyle w:val="000000010000" w:firstRow="0" w:lastRow="0" w:firstColumn="0" w:lastColumn="0" w:oddVBand="0" w:evenVBand="0" w:oddHBand="0" w:evenHBand="1" w:firstRowFirstColumn="0" w:firstRowLastColumn="0" w:lastRowFirstColumn="0" w:lastRowLastColumn="0"/>
            </w:pPr>
            <w:r>
              <w:t>8</w:t>
            </w:r>
          </w:p>
        </w:tc>
        <w:tc>
          <w:tcPr>
            <w:tcW w:w="1284" w:type="dxa"/>
          </w:tcPr>
          <w:p w14:paraId="574BAA58"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r w:rsidRPr="003D0B7A">
              <w:t>2</w:t>
            </w:r>
          </w:p>
        </w:tc>
        <w:tc>
          <w:tcPr>
            <w:tcW w:w="1284" w:type="dxa"/>
          </w:tcPr>
          <w:p w14:paraId="0CD2E151"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3" w:type="dxa"/>
          </w:tcPr>
          <w:p w14:paraId="111A90C2"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5" w:type="dxa"/>
          </w:tcPr>
          <w:p w14:paraId="43301C06"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322" w:type="dxa"/>
          </w:tcPr>
          <w:p w14:paraId="27AFD8D7"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r>
      <w:tr w:rsidR="00741F19" w:rsidRPr="002F6765" w14:paraId="6C521CE9" w14:textId="77777777">
        <w:tc>
          <w:tcPr>
            <w:cnfStyle w:val="001000000000" w:firstRow="0" w:lastRow="0" w:firstColumn="1" w:lastColumn="0" w:oddVBand="0" w:evenVBand="0" w:oddHBand="0" w:evenHBand="0" w:firstRowFirstColumn="0" w:firstRowLastColumn="0" w:lastRowFirstColumn="0" w:lastRowLastColumn="0"/>
            <w:tcW w:w="1284" w:type="dxa"/>
          </w:tcPr>
          <w:p w14:paraId="4A85A9CA" w14:textId="77777777" w:rsidR="00741F19" w:rsidRPr="007D7DCD" w:rsidRDefault="00741F19">
            <w:pPr>
              <w:pStyle w:val="TableBodyText"/>
            </w:pPr>
            <w:r w:rsidRPr="007D7DCD">
              <w:t>$220,000–$239,000</w:t>
            </w:r>
          </w:p>
        </w:tc>
        <w:tc>
          <w:tcPr>
            <w:tcW w:w="1285" w:type="dxa"/>
          </w:tcPr>
          <w:p w14:paraId="04CF8BCB"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r w:rsidRPr="003D0B7A">
              <w:t>5</w:t>
            </w:r>
          </w:p>
        </w:tc>
        <w:tc>
          <w:tcPr>
            <w:tcW w:w="1284" w:type="dxa"/>
          </w:tcPr>
          <w:p w14:paraId="2932A352"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16B03996"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3" w:type="dxa"/>
          </w:tcPr>
          <w:p w14:paraId="019DFD32"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5" w:type="dxa"/>
          </w:tcPr>
          <w:p w14:paraId="25072881"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322" w:type="dxa"/>
          </w:tcPr>
          <w:p w14:paraId="1EA99F54"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r>
      <w:tr w:rsidR="00741F19" w:rsidRPr="002F6765" w14:paraId="00A5207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252C1277" w14:textId="0FCCC4C2" w:rsidR="00741F19" w:rsidRPr="007D7DCD" w:rsidRDefault="00741F19">
            <w:pPr>
              <w:pStyle w:val="TableBodyText"/>
            </w:pPr>
            <w:r>
              <w:t>$240,000</w:t>
            </w:r>
            <w:r w:rsidR="006718C4">
              <w:t>–</w:t>
            </w:r>
            <w:r>
              <w:t>$259,000</w:t>
            </w:r>
          </w:p>
        </w:tc>
        <w:tc>
          <w:tcPr>
            <w:tcW w:w="1285" w:type="dxa"/>
          </w:tcPr>
          <w:p w14:paraId="26CD2C2F"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2824CF75"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273780D0"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3" w:type="dxa"/>
          </w:tcPr>
          <w:p w14:paraId="17558614"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5" w:type="dxa"/>
          </w:tcPr>
          <w:p w14:paraId="470570ED"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322" w:type="dxa"/>
          </w:tcPr>
          <w:p w14:paraId="36CA0EC3"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r>
      <w:tr w:rsidR="00741F19" w:rsidRPr="002F6765" w14:paraId="2233D2AC" w14:textId="77777777">
        <w:tc>
          <w:tcPr>
            <w:cnfStyle w:val="001000000000" w:firstRow="0" w:lastRow="0" w:firstColumn="1" w:lastColumn="0" w:oddVBand="0" w:evenVBand="0" w:oddHBand="0" w:evenHBand="0" w:firstRowFirstColumn="0" w:firstRowLastColumn="0" w:lastRowFirstColumn="0" w:lastRowLastColumn="0"/>
            <w:tcW w:w="1284" w:type="dxa"/>
          </w:tcPr>
          <w:p w14:paraId="59DA3B1B" w14:textId="77777777" w:rsidR="00741F19" w:rsidRPr="007D7DCD" w:rsidRDefault="00741F19">
            <w:pPr>
              <w:pStyle w:val="TableBodyText"/>
            </w:pPr>
            <w:r w:rsidRPr="007D7DCD">
              <w:t>$260,000–$279,000</w:t>
            </w:r>
          </w:p>
        </w:tc>
        <w:tc>
          <w:tcPr>
            <w:tcW w:w="1285" w:type="dxa"/>
          </w:tcPr>
          <w:p w14:paraId="241A7385"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25CE8C29"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7FE3C85F"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3" w:type="dxa"/>
          </w:tcPr>
          <w:p w14:paraId="608AEFA7"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5" w:type="dxa"/>
          </w:tcPr>
          <w:p w14:paraId="4D18BF58"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322" w:type="dxa"/>
          </w:tcPr>
          <w:p w14:paraId="49717F77"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r>
      <w:tr w:rsidR="00741F19" w:rsidRPr="002F6765" w14:paraId="230A40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3925CD2D" w14:textId="77777777" w:rsidR="00741F19" w:rsidRPr="007D7DCD" w:rsidRDefault="00741F19">
            <w:pPr>
              <w:pStyle w:val="TableBodyText"/>
            </w:pPr>
            <w:r w:rsidRPr="007D7DCD">
              <w:t>$280,000–$299,000</w:t>
            </w:r>
          </w:p>
        </w:tc>
        <w:tc>
          <w:tcPr>
            <w:tcW w:w="1285" w:type="dxa"/>
          </w:tcPr>
          <w:p w14:paraId="7A3D1621"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r w:rsidRPr="003D0B7A">
              <w:t>1</w:t>
            </w:r>
          </w:p>
        </w:tc>
        <w:tc>
          <w:tcPr>
            <w:tcW w:w="1284" w:type="dxa"/>
          </w:tcPr>
          <w:p w14:paraId="1486E794"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166EC859"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3" w:type="dxa"/>
          </w:tcPr>
          <w:p w14:paraId="3308BEEC"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5" w:type="dxa"/>
          </w:tcPr>
          <w:p w14:paraId="71912D3D"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322" w:type="dxa"/>
          </w:tcPr>
          <w:p w14:paraId="69815E44"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r>
      <w:tr w:rsidR="00741F19" w:rsidRPr="002F6765" w14:paraId="113649CB" w14:textId="77777777">
        <w:tc>
          <w:tcPr>
            <w:cnfStyle w:val="001000000000" w:firstRow="0" w:lastRow="0" w:firstColumn="1" w:lastColumn="0" w:oddVBand="0" w:evenVBand="0" w:oddHBand="0" w:evenHBand="0" w:firstRowFirstColumn="0" w:firstRowLastColumn="0" w:lastRowFirstColumn="0" w:lastRowLastColumn="0"/>
            <w:tcW w:w="1284" w:type="dxa"/>
          </w:tcPr>
          <w:p w14:paraId="5B4AFB44" w14:textId="77777777" w:rsidR="00741F19" w:rsidRPr="007D7DCD" w:rsidRDefault="00741F19">
            <w:pPr>
              <w:pStyle w:val="TableBodyText"/>
            </w:pPr>
            <w:r w:rsidRPr="007D7DCD">
              <w:t>$300,000–$319,000</w:t>
            </w:r>
          </w:p>
        </w:tc>
        <w:tc>
          <w:tcPr>
            <w:tcW w:w="1285" w:type="dxa"/>
          </w:tcPr>
          <w:p w14:paraId="66965244"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r w:rsidRPr="003D0B7A">
              <w:t>1</w:t>
            </w:r>
          </w:p>
        </w:tc>
        <w:tc>
          <w:tcPr>
            <w:tcW w:w="1284" w:type="dxa"/>
          </w:tcPr>
          <w:p w14:paraId="2FDEF07E"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16BCD9EF"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3" w:type="dxa"/>
          </w:tcPr>
          <w:p w14:paraId="6601563A"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5" w:type="dxa"/>
          </w:tcPr>
          <w:p w14:paraId="5C55D5F2"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322" w:type="dxa"/>
          </w:tcPr>
          <w:p w14:paraId="63FD8DD0"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r>
      <w:tr w:rsidR="00741F19" w:rsidRPr="002F6765" w14:paraId="27C65C7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6AB9B36E" w14:textId="77777777" w:rsidR="00741F19" w:rsidRPr="007D7DCD" w:rsidRDefault="00741F19">
            <w:pPr>
              <w:pStyle w:val="TableBodyText"/>
            </w:pPr>
            <w:r w:rsidRPr="007D7DCD">
              <w:t>$320,000– $339,000</w:t>
            </w:r>
          </w:p>
        </w:tc>
        <w:tc>
          <w:tcPr>
            <w:tcW w:w="1285" w:type="dxa"/>
          </w:tcPr>
          <w:p w14:paraId="7125761F"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45318A6F"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189891E1"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3" w:type="dxa"/>
          </w:tcPr>
          <w:p w14:paraId="30211824"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5" w:type="dxa"/>
          </w:tcPr>
          <w:p w14:paraId="00A7E7C9"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322" w:type="dxa"/>
          </w:tcPr>
          <w:p w14:paraId="4473C12B"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r w:rsidRPr="003D0B7A">
              <w:t>1</w:t>
            </w:r>
          </w:p>
        </w:tc>
      </w:tr>
      <w:tr w:rsidR="00741F19" w:rsidRPr="002F6765" w14:paraId="2817461B" w14:textId="77777777">
        <w:tc>
          <w:tcPr>
            <w:cnfStyle w:val="001000000000" w:firstRow="0" w:lastRow="0" w:firstColumn="1" w:lastColumn="0" w:oddVBand="0" w:evenVBand="0" w:oddHBand="0" w:evenHBand="0" w:firstRowFirstColumn="0" w:firstRowLastColumn="0" w:lastRowFirstColumn="0" w:lastRowLastColumn="0"/>
            <w:tcW w:w="1284" w:type="dxa"/>
          </w:tcPr>
          <w:p w14:paraId="7FD668B1" w14:textId="77777777" w:rsidR="00741F19" w:rsidRPr="007D7DCD" w:rsidRDefault="00741F19">
            <w:pPr>
              <w:pStyle w:val="TableBodyText"/>
            </w:pPr>
            <w:r w:rsidRPr="007D7DCD">
              <w:t>$340,000–$359,000</w:t>
            </w:r>
          </w:p>
        </w:tc>
        <w:tc>
          <w:tcPr>
            <w:tcW w:w="1285" w:type="dxa"/>
          </w:tcPr>
          <w:p w14:paraId="5F7B4D3A"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r w:rsidRPr="003D0B7A">
              <w:t>1</w:t>
            </w:r>
          </w:p>
        </w:tc>
        <w:tc>
          <w:tcPr>
            <w:tcW w:w="1284" w:type="dxa"/>
          </w:tcPr>
          <w:p w14:paraId="184E9EE3"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1B3224C3"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3" w:type="dxa"/>
          </w:tcPr>
          <w:p w14:paraId="6DB90C74"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5" w:type="dxa"/>
          </w:tcPr>
          <w:p w14:paraId="6F1FA025"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322" w:type="dxa"/>
          </w:tcPr>
          <w:p w14:paraId="2B4F9BC3"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r>
      <w:tr w:rsidR="00741F19" w:rsidRPr="002F6765" w14:paraId="611DAD4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1FE9517A" w14:textId="77777777" w:rsidR="00741F19" w:rsidRPr="007D7DCD" w:rsidRDefault="00741F19">
            <w:pPr>
              <w:pStyle w:val="TableBodyText"/>
            </w:pPr>
            <w:r w:rsidRPr="007D7DCD">
              <w:t>$360,000–$379,000</w:t>
            </w:r>
          </w:p>
        </w:tc>
        <w:tc>
          <w:tcPr>
            <w:tcW w:w="1285" w:type="dxa"/>
          </w:tcPr>
          <w:p w14:paraId="54E77CBA" w14:textId="2FAD2CAE" w:rsidR="00741F19" w:rsidRPr="003D0B7A" w:rsidRDefault="00B40145" w:rsidP="00D24762">
            <w:pPr>
              <w:pStyle w:val="TableBodyTextcentrealign"/>
              <w:cnfStyle w:val="000000010000" w:firstRow="0" w:lastRow="0" w:firstColumn="0" w:lastColumn="0" w:oddVBand="0" w:evenVBand="0" w:oddHBand="0" w:evenHBand="1" w:firstRowFirstColumn="0" w:firstRowLastColumn="0" w:lastRowFirstColumn="0" w:lastRowLastColumn="0"/>
            </w:pPr>
            <w:r w:rsidRPr="003D0B7A">
              <w:t>1</w:t>
            </w:r>
          </w:p>
        </w:tc>
        <w:tc>
          <w:tcPr>
            <w:tcW w:w="1284" w:type="dxa"/>
          </w:tcPr>
          <w:p w14:paraId="4FA8C961"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194277F7"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3" w:type="dxa"/>
          </w:tcPr>
          <w:p w14:paraId="2600FD86"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5" w:type="dxa"/>
          </w:tcPr>
          <w:p w14:paraId="0F0AB967"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322" w:type="dxa"/>
          </w:tcPr>
          <w:p w14:paraId="29774EFB"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r w:rsidRPr="003D0B7A">
              <w:t>1</w:t>
            </w:r>
          </w:p>
        </w:tc>
      </w:tr>
      <w:tr w:rsidR="00741F19" w:rsidRPr="002F6765" w14:paraId="4DFF2AEB" w14:textId="77777777">
        <w:tc>
          <w:tcPr>
            <w:cnfStyle w:val="001000000000" w:firstRow="0" w:lastRow="0" w:firstColumn="1" w:lastColumn="0" w:oddVBand="0" w:evenVBand="0" w:oddHBand="0" w:evenHBand="0" w:firstRowFirstColumn="0" w:firstRowLastColumn="0" w:lastRowFirstColumn="0" w:lastRowLastColumn="0"/>
            <w:tcW w:w="1284" w:type="dxa"/>
          </w:tcPr>
          <w:p w14:paraId="4A8C67AF" w14:textId="77777777" w:rsidR="00741F19" w:rsidRPr="007D7DCD" w:rsidRDefault="00741F19">
            <w:pPr>
              <w:pStyle w:val="TableBodyText"/>
            </w:pPr>
            <w:r w:rsidRPr="007D7DCD">
              <w:t>$380,000–$399,000</w:t>
            </w:r>
          </w:p>
        </w:tc>
        <w:tc>
          <w:tcPr>
            <w:tcW w:w="1285" w:type="dxa"/>
          </w:tcPr>
          <w:p w14:paraId="077292F3" w14:textId="411AA43B"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517C16BE"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20816625"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3" w:type="dxa"/>
          </w:tcPr>
          <w:p w14:paraId="1F385B3B"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5" w:type="dxa"/>
          </w:tcPr>
          <w:p w14:paraId="5010AC57"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322" w:type="dxa"/>
          </w:tcPr>
          <w:p w14:paraId="2AB07181"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r>
      <w:tr w:rsidR="00741F19" w:rsidRPr="002F6765" w14:paraId="123CFD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511E5708" w14:textId="77777777" w:rsidR="00741F19" w:rsidRPr="007D7DCD" w:rsidRDefault="00741F19">
            <w:pPr>
              <w:pStyle w:val="TableBodyText"/>
            </w:pPr>
            <w:r w:rsidRPr="007D7DCD">
              <w:t>$400,000–$419,000</w:t>
            </w:r>
          </w:p>
        </w:tc>
        <w:tc>
          <w:tcPr>
            <w:tcW w:w="1285" w:type="dxa"/>
          </w:tcPr>
          <w:p w14:paraId="13FDA9B2"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0563D8B3"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627D05FE"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3" w:type="dxa"/>
          </w:tcPr>
          <w:p w14:paraId="715BDF9A"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5" w:type="dxa"/>
          </w:tcPr>
          <w:p w14:paraId="6C9DFA39"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322" w:type="dxa"/>
          </w:tcPr>
          <w:p w14:paraId="0395507A"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r>
      <w:tr w:rsidR="00741F19" w:rsidRPr="002F6765" w14:paraId="02D05954" w14:textId="77777777">
        <w:tc>
          <w:tcPr>
            <w:cnfStyle w:val="001000000000" w:firstRow="0" w:lastRow="0" w:firstColumn="1" w:lastColumn="0" w:oddVBand="0" w:evenVBand="0" w:oddHBand="0" w:evenHBand="0" w:firstRowFirstColumn="0" w:firstRowLastColumn="0" w:lastRowFirstColumn="0" w:lastRowLastColumn="0"/>
            <w:tcW w:w="1284" w:type="dxa"/>
          </w:tcPr>
          <w:p w14:paraId="48E3BAD6" w14:textId="77777777" w:rsidR="00741F19" w:rsidRPr="007D7DCD" w:rsidRDefault="00741F19">
            <w:pPr>
              <w:pStyle w:val="TableBodyText"/>
            </w:pPr>
            <w:r w:rsidRPr="007D7DCD">
              <w:t>$420,000– $439,000</w:t>
            </w:r>
          </w:p>
        </w:tc>
        <w:tc>
          <w:tcPr>
            <w:tcW w:w="1285" w:type="dxa"/>
          </w:tcPr>
          <w:p w14:paraId="63837C61"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464790DF"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428D899D"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3" w:type="dxa"/>
          </w:tcPr>
          <w:p w14:paraId="4AE51444"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5" w:type="dxa"/>
          </w:tcPr>
          <w:p w14:paraId="51475270"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322" w:type="dxa"/>
          </w:tcPr>
          <w:p w14:paraId="38327572"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r>
      <w:tr w:rsidR="00741F19" w:rsidRPr="002F6765" w14:paraId="2B08C37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0DFFA6DD" w14:textId="77777777" w:rsidR="00741F19" w:rsidRPr="007D7DCD" w:rsidRDefault="00741F19">
            <w:pPr>
              <w:pStyle w:val="TableBodyText"/>
            </w:pPr>
            <w:r w:rsidRPr="007D7DCD">
              <w:t>$440,000– $459,000</w:t>
            </w:r>
          </w:p>
        </w:tc>
        <w:tc>
          <w:tcPr>
            <w:tcW w:w="1285" w:type="dxa"/>
          </w:tcPr>
          <w:p w14:paraId="23B11A5F"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5C4D6DD3"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217B2427"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3" w:type="dxa"/>
          </w:tcPr>
          <w:p w14:paraId="0C26A03F"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5" w:type="dxa"/>
          </w:tcPr>
          <w:p w14:paraId="40DE4D94"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322" w:type="dxa"/>
          </w:tcPr>
          <w:p w14:paraId="2B53058D"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r>
      <w:tr w:rsidR="00741F19" w:rsidRPr="002F6765" w14:paraId="19065C2C" w14:textId="77777777">
        <w:tc>
          <w:tcPr>
            <w:cnfStyle w:val="001000000000" w:firstRow="0" w:lastRow="0" w:firstColumn="1" w:lastColumn="0" w:oddVBand="0" w:evenVBand="0" w:oddHBand="0" w:evenHBand="0" w:firstRowFirstColumn="0" w:firstRowLastColumn="0" w:lastRowFirstColumn="0" w:lastRowLastColumn="0"/>
            <w:tcW w:w="1284" w:type="dxa"/>
          </w:tcPr>
          <w:p w14:paraId="0A3EC25C" w14:textId="77777777" w:rsidR="00741F19" w:rsidRPr="007D7DCD" w:rsidRDefault="00741F19">
            <w:pPr>
              <w:pStyle w:val="TableBodyText"/>
            </w:pPr>
            <w:r w:rsidRPr="007D7DCD">
              <w:t>$460,000– $479,000</w:t>
            </w:r>
          </w:p>
        </w:tc>
        <w:tc>
          <w:tcPr>
            <w:tcW w:w="1285" w:type="dxa"/>
          </w:tcPr>
          <w:p w14:paraId="24B30403"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r w:rsidRPr="003D0B7A">
              <w:t>1</w:t>
            </w:r>
          </w:p>
        </w:tc>
        <w:tc>
          <w:tcPr>
            <w:tcW w:w="1284" w:type="dxa"/>
          </w:tcPr>
          <w:p w14:paraId="02ADB099"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4" w:type="dxa"/>
          </w:tcPr>
          <w:p w14:paraId="5C5C9853"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3" w:type="dxa"/>
          </w:tcPr>
          <w:p w14:paraId="674C9194"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285" w:type="dxa"/>
          </w:tcPr>
          <w:p w14:paraId="7F79BB0C"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c>
          <w:tcPr>
            <w:tcW w:w="1322" w:type="dxa"/>
          </w:tcPr>
          <w:p w14:paraId="7C09A4DB" w14:textId="77777777" w:rsidR="00741F19" w:rsidRPr="003D0B7A" w:rsidRDefault="00741F19" w:rsidP="00D24762">
            <w:pPr>
              <w:pStyle w:val="TableBodyTextcentrealign"/>
              <w:cnfStyle w:val="000000000000" w:firstRow="0" w:lastRow="0" w:firstColumn="0" w:lastColumn="0" w:oddVBand="0" w:evenVBand="0" w:oddHBand="0" w:evenHBand="0" w:firstRowFirstColumn="0" w:firstRowLastColumn="0" w:lastRowFirstColumn="0" w:lastRowLastColumn="0"/>
            </w:pPr>
          </w:p>
        </w:tc>
      </w:tr>
      <w:tr w:rsidR="00741F19" w:rsidRPr="002F6765" w14:paraId="2B5512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240ACC24" w14:textId="77777777" w:rsidR="00741F19" w:rsidRPr="007D7DCD" w:rsidRDefault="00741F19">
            <w:pPr>
              <w:pStyle w:val="TableBodyText"/>
            </w:pPr>
            <w:r w:rsidRPr="007D7DCD">
              <w:t>$480,000–$499,000</w:t>
            </w:r>
          </w:p>
        </w:tc>
        <w:tc>
          <w:tcPr>
            <w:tcW w:w="1285" w:type="dxa"/>
          </w:tcPr>
          <w:p w14:paraId="4D4657D8"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1EA4E059"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4" w:type="dxa"/>
          </w:tcPr>
          <w:p w14:paraId="363F78DF"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3" w:type="dxa"/>
          </w:tcPr>
          <w:p w14:paraId="3C0CC1E1"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285" w:type="dxa"/>
          </w:tcPr>
          <w:p w14:paraId="5076976C"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p>
        </w:tc>
        <w:tc>
          <w:tcPr>
            <w:tcW w:w="1322" w:type="dxa"/>
          </w:tcPr>
          <w:p w14:paraId="709BFD66" w14:textId="77777777" w:rsidR="00741F19" w:rsidRPr="003D0B7A" w:rsidRDefault="00741F19" w:rsidP="00D24762">
            <w:pPr>
              <w:pStyle w:val="TableBodyTextcentrealign"/>
              <w:cnfStyle w:val="000000010000" w:firstRow="0" w:lastRow="0" w:firstColumn="0" w:lastColumn="0" w:oddVBand="0" w:evenVBand="0" w:oddHBand="0" w:evenHBand="1" w:firstRowFirstColumn="0" w:firstRowLastColumn="0" w:lastRowFirstColumn="0" w:lastRowLastColumn="0"/>
            </w:pPr>
            <w:r w:rsidRPr="003D0B7A">
              <w:t>1</w:t>
            </w:r>
          </w:p>
        </w:tc>
      </w:tr>
      <w:tr w:rsidR="00741F19" w:rsidRPr="002F6765" w14:paraId="38B9787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79C175D5" w14:textId="77777777" w:rsidR="00741F19" w:rsidRPr="007D7DCD" w:rsidRDefault="00741F19">
            <w:pPr>
              <w:pStyle w:val="TableBodyText"/>
            </w:pPr>
            <w:r w:rsidRPr="007D7DCD">
              <w:t>Total</w:t>
            </w:r>
          </w:p>
        </w:tc>
        <w:tc>
          <w:tcPr>
            <w:tcW w:w="1285" w:type="dxa"/>
          </w:tcPr>
          <w:p w14:paraId="0DD26C82" w14:textId="77777777" w:rsidR="00741F19" w:rsidRPr="003D0B7A" w:rsidRDefault="00741F19" w:rsidP="00D24762">
            <w:pPr>
              <w:pStyle w:val="TableBodyTextcentrealign"/>
              <w:cnfStyle w:val="010000000000" w:firstRow="0" w:lastRow="1" w:firstColumn="0" w:lastColumn="0" w:oddVBand="0" w:evenVBand="0" w:oddHBand="0" w:evenHBand="0" w:firstRowFirstColumn="0" w:firstRowLastColumn="0" w:lastRowFirstColumn="0" w:lastRowLastColumn="0"/>
            </w:pPr>
            <w:r w:rsidRPr="003D0B7A">
              <w:t>18</w:t>
            </w:r>
          </w:p>
        </w:tc>
        <w:tc>
          <w:tcPr>
            <w:tcW w:w="1284" w:type="dxa"/>
          </w:tcPr>
          <w:p w14:paraId="5C998214" w14:textId="77777777" w:rsidR="00741F19" w:rsidRPr="003D0B7A" w:rsidRDefault="00741F19" w:rsidP="00D24762">
            <w:pPr>
              <w:pStyle w:val="TableBodyTextcentrealign"/>
              <w:cnfStyle w:val="010000000000" w:firstRow="0" w:lastRow="1" w:firstColumn="0" w:lastColumn="0" w:oddVBand="0" w:evenVBand="0" w:oddHBand="0" w:evenHBand="0" w:firstRowFirstColumn="0" w:firstRowLastColumn="0" w:lastRowFirstColumn="0" w:lastRowLastColumn="0"/>
            </w:pPr>
            <w:r w:rsidRPr="003D0B7A">
              <w:t>2</w:t>
            </w:r>
          </w:p>
        </w:tc>
        <w:tc>
          <w:tcPr>
            <w:tcW w:w="1284" w:type="dxa"/>
          </w:tcPr>
          <w:p w14:paraId="082024B7" w14:textId="77777777" w:rsidR="00741F19" w:rsidRPr="003D0B7A" w:rsidRDefault="00741F19" w:rsidP="00D24762">
            <w:pPr>
              <w:pStyle w:val="TableBodyTextcentrealign"/>
              <w:cnfStyle w:val="010000000000" w:firstRow="0" w:lastRow="1" w:firstColumn="0" w:lastColumn="0" w:oddVBand="0" w:evenVBand="0" w:oddHBand="0" w:evenHBand="0" w:firstRowFirstColumn="0" w:firstRowLastColumn="0" w:lastRowFirstColumn="0" w:lastRowLastColumn="0"/>
            </w:pPr>
            <w:r w:rsidRPr="003D0B7A">
              <w:t>0</w:t>
            </w:r>
          </w:p>
        </w:tc>
        <w:tc>
          <w:tcPr>
            <w:tcW w:w="1283" w:type="dxa"/>
          </w:tcPr>
          <w:p w14:paraId="542D4617" w14:textId="77777777" w:rsidR="00741F19" w:rsidRPr="003D0B7A" w:rsidRDefault="00741F19" w:rsidP="00D24762">
            <w:pPr>
              <w:pStyle w:val="TableBodyTextcentrealign"/>
              <w:cnfStyle w:val="010000000000" w:firstRow="0" w:lastRow="1" w:firstColumn="0" w:lastColumn="0" w:oddVBand="0" w:evenVBand="0" w:oddHBand="0" w:evenHBand="0" w:firstRowFirstColumn="0" w:firstRowLastColumn="0" w:lastRowFirstColumn="0" w:lastRowLastColumn="0"/>
            </w:pPr>
            <w:r w:rsidRPr="003D0B7A">
              <w:t>0</w:t>
            </w:r>
          </w:p>
        </w:tc>
        <w:tc>
          <w:tcPr>
            <w:tcW w:w="1285" w:type="dxa"/>
          </w:tcPr>
          <w:p w14:paraId="67E6B060" w14:textId="77777777" w:rsidR="00741F19" w:rsidRPr="003D0B7A" w:rsidRDefault="00741F19" w:rsidP="00D24762">
            <w:pPr>
              <w:pStyle w:val="TableBodyTextcentrealign"/>
              <w:cnfStyle w:val="010000000000" w:firstRow="0" w:lastRow="1" w:firstColumn="0" w:lastColumn="0" w:oddVBand="0" w:evenVBand="0" w:oddHBand="0" w:evenHBand="0" w:firstRowFirstColumn="0" w:firstRowLastColumn="0" w:lastRowFirstColumn="0" w:lastRowLastColumn="0"/>
            </w:pPr>
            <w:r w:rsidRPr="003D0B7A">
              <w:t>0</w:t>
            </w:r>
          </w:p>
        </w:tc>
        <w:tc>
          <w:tcPr>
            <w:tcW w:w="1322" w:type="dxa"/>
          </w:tcPr>
          <w:p w14:paraId="180952C8" w14:textId="77777777" w:rsidR="00741F19" w:rsidRPr="003D0B7A" w:rsidRDefault="00741F19" w:rsidP="00D24762">
            <w:pPr>
              <w:pStyle w:val="TableBodyTextcentrealign"/>
              <w:cnfStyle w:val="010000000000" w:firstRow="0" w:lastRow="1" w:firstColumn="0" w:lastColumn="0" w:oddVBand="0" w:evenVBand="0" w:oddHBand="0" w:evenHBand="0" w:firstRowFirstColumn="0" w:firstRowLastColumn="0" w:lastRowFirstColumn="0" w:lastRowLastColumn="0"/>
            </w:pPr>
            <w:r w:rsidRPr="003D0B7A">
              <w:t>3</w:t>
            </w:r>
          </w:p>
        </w:tc>
      </w:tr>
    </w:tbl>
    <w:p w14:paraId="18277666" w14:textId="087059B7" w:rsidR="009C2188" w:rsidRPr="005C634F" w:rsidRDefault="009C2188" w:rsidP="005C634F">
      <w:pPr>
        <w:pStyle w:val="TableNote"/>
      </w:pPr>
      <w:r w:rsidRPr="007211D6">
        <w:br w:type="page"/>
      </w:r>
    </w:p>
    <w:p w14:paraId="14179D74" w14:textId="37D0217F" w:rsidR="009C2188" w:rsidRPr="002F6765" w:rsidRDefault="009C2188" w:rsidP="00F134BA">
      <w:pPr>
        <w:pStyle w:val="Heading2"/>
      </w:pPr>
      <w:bookmarkStart w:id="229" w:name="_Toc133585240"/>
      <w:bookmarkStart w:id="230" w:name="_Toc133920515"/>
      <w:bookmarkStart w:id="231" w:name="_Ref149167360"/>
      <w:r w:rsidRPr="002F6765">
        <w:t xml:space="preserve">Executive </w:t>
      </w:r>
      <w:r w:rsidR="007B6827">
        <w:t>o</w:t>
      </w:r>
      <w:r w:rsidRPr="002F6765">
        <w:t xml:space="preserve">fficer </w:t>
      </w:r>
      <w:r w:rsidRPr="00E12CC2">
        <w:t>data</w:t>
      </w:r>
      <w:bookmarkEnd w:id="229"/>
      <w:bookmarkEnd w:id="230"/>
      <w:bookmarkEnd w:id="231"/>
    </w:p>
    <w:p w14:paraId="69002582" w14:textId="55AADC7C" w:rsidR="009C2188" w:rsidRPr="002F6765" w:rsidRDefault="009C2188" w:rsidP="009C2188">
      <w:pPr>
        <w:pStyle w:val="BodyText"/>
      </w:pPr>
      <w:r>
        <w:t>Because</w:t>
      </w:r>
      <w:r w:rsidRPr="002F6765">
        <w:t xml:space="preserve"> IBAC is a public body, an </w:t>
      </w:r>
      <w:r w:rsidR="007B6827">
        <w:t>e</w:t>
      </w:r>
      <w:r w:rsidRPr="002F6765">
        <w:t xml:space="preserve">xecutive </w:t>
      </w:r>
      <w:r w:rsidR="007B6827">
        <w:t>o</w:t>
      </w:r>
      <w:r w:rsidRPr="002F6765">
        <w:t xml:space="preserve">fficer (EO) is defined as an executive under Part 3 of the </w:t>
      </w:r>
      <w:r w:rsidRPr="00B977D3">
        <w:t>Public Administration Act</w:t>
      </w:r>
      <w:r w:rsidRPr="007211D6">
        <w:t xml:space="preserve"> </w:t>
      </w:r>
      <w:r w:rsidRPr="002F6765">
        <w:t>or</w:t>
      </w:r>
      <w:r>
        <w:t xml:space="preserve"> as</w:t>
      </w:r>
      <w:r w:rsidRPr="002F6765">
        <w:t xml:space="preserve"> a person to whom the Victorian Government’s Public Entity Executive Remuneration Policy applies. The definition of an EO does not include a statutory office </w:t>
      </w:r>
      <w:r w:rsidRPr="00E12CC2">
        <w:t>holder</w:t>
      </w:r>
      <w:r w:rsidRPr="002F6765">
        <w:t>.</w:t>
      </w:r>
    </w:p>
    <w:p w14:paraId="45ABD92C" w14:textId="77777777" w:rsidR="009C2188" w:rsidRPr="002F6765" w:rsidRDefault="009C2188" w:rsidP="009C2188">
      <w:pPr>
        <w:pStyle w:val="BodyText"/>
      </w:pPr>
      <w:r w:rsidRPr="002F6765">
        <w:t xml:space="preserve">All figures reflect </w:t>
      </w:r>
      <w:r w:rsidRPr="00E12CC2">
        <w:t>employment</w:t>
      </w:r>
      <w:r w:rsidRPr="002F6765">
        <w:t xml:space="preserve"> levels at the last full pay period in June of the current and corresponding previous reporting year.</w:t>
      </w:r>
    </w:p>
    <w:p w14:paraId="6CB74ADE" w14:textId="534F371C" w:rsidR="009C2188" w:rsidRPr="002F6765" w:rsidRDefault="009C2188" w:rsidP="00834775">
      <w:pPr>
        <w:pStyle w:val="Caption"/>
      </w:pPr>
      <w:bookmarkStart w:id="232" w:name="_Ref79050794"/>
      <w:bookmarkStart w:id="233" w:name="_Ref149136401"/>
      <w:r w:rsidRPr="002F6765">
        <w:t xml:space="preserve">Table </w:t>
      </w:r>
      <w:r>
        <w:fldChar w:fldCharType="begin"/>
      </w:r>
      <w:r>
        <w:instrText xml:space="preserve"> SEQ Table \* ARABIC </w:instrText>
      </w:r>
      <w:r>
        <w:fldChar w:fldCharType="separate"/>
      </w:r>
      <w:r w:rsidR="00D33725">
        <w:rPr>
          <w:noProof/>
        </w:rPr>
        <w:t>25</w:t>
      </w:r>
      <w:r>
        <w:rPr>
          <w:noProof/>
        </w:rPr>
        <w:fldChar w:fldCharType="end"/>
      </w:r>
      <w:bookmarkEnd w:id="232"/>
      <w:r w:rsidRPr="002F6765">
        <w:t>: Total number IBAC</w:t>
      </w:r>
      <w:r w:rsidR="006630C5">
        <w:t xml:space="preserve"> EOs</w:t>
      </w:r>
      <w:r w:rsidRPr="002F6765">
        <w:t xml:space="preserve">, </w:t>
      </w:r>
      <w:r w:rsidR="006630C5">
        <w:t>by</w:t>
      </w:r>
      <w:r w:rsidRPr="002F6765">
        <w:t xml:space="preserve"> gender</w:t>
      </w:r>
      <w:bookmarkEnd w:id="233"/>
    </w:p>
    <w:tbl>
      <w:tblPr>
        <w:tblStyle w:val="CustomTabledetailed"/>
        <w:tblW w:w="0" w:type="auto"/>
        <w:tblLook w:val="0660" w:firstRow="1" w:lastRow="1" w:firstColumn="0" w:lastColumn="0" w:noHBand="1" w:noVBand="1"/>
      </w:tblPr>
      <w:tblGrid>
        <w:gridCol w:w="1678"/>
        <w:gridCol w:w="871"/>
        <w:gridCol w:w="871"/>
        <w:gridCol w:w="956"/>
        <w:gridCol w:w="922"/>
        <w:gridCol w:w="904"/>
        <w:gridCol w:w="890"/>
        <w:gridCol w:w="985"/>
        <w:gridCol w:w="939"/>
      </w:tblGrid>
      <w:tr w:rsidR="006402DE" w:rsidRPr="002F6765" w14:paraId="797AF2D6" w14:textId="77777777">
        <w:trPr>
          <w:cnfStyle w:val="100000000000" w:firstRow="1" w:lastRow="0" w:firstColumn="0" w:lastColumn="0" w:oddVBand="0" w:evenVBand="0" w:oddHBand="0" w:evenHBand="0" w:firstRowFirstColumn="0" w:firstRowLastColumn="0" w:lastRowFirstColumn="0" w:lastRowLastColumn="0"/>
        </w:trPr>
        <w:tc>
          <w:tcPr>
            <w:tcW w:w="1678" w:type="dxa"/>
          </w:tcPr>
          <w:p w14:paraId="4C6C8EBD" w14:textId="77777777" w:rsidR="006402DE" w:rsidRPr="002F6765" w:rsidRDefault="006402DE">
            <w:pPr>
              <w:pStyle w:val="TableBodyText"/>
              <w:rPr>
                <w:rFonts w:asciiTheme="minorHAnsi" w:hAnsiTheme="minorHAnsi" w:cstheme="minorHAnsi"/>
              </w:rPr>
            </w:pPr>
          </w:p>
        </w:tc>
        <w:tc>
          <w:tcPr>
            <w:tcW w:w="1742" w:type="dxa"/>
            <w:gridSpan w:val="2"/>
          </w:tcPr>
          <w:p w14:paraId="7BACBE00" w14:textId="77777777" w:rsidR="006402DE" w:rsidRPr="002F6765" w:rsidRDefault="006402DE">
            <w:pPr>
              <w:pStyle w:val="TableHeading2centrealign"/>
            </w:pPr>
            <w:r w:rsidRPr="002F6765">
              <w:t>All</w:t>
            </w:r>
          </w:p>
        </w:tc>
        <w:tc>
          <w:tcPr>
            <w:tcW w:w="1878" w:type="dxa"/>
            <w:gridSpan w:val="2"/>
          </w:tcPr>
          <w:p w14:paraId="2D0201EF" w14:textId="77777777" w:rsidR="006402DE" w:rsidRPr="002F6765" w:rsidRDefault="006402DE">
            <w:pPr>
              <w:pStyle w:val="TableHeading2centrealign"/>
            </w:pPr>
            <w:r w:rsidRPr="002F6765">
              <w:t>Women</w:t>
            </w:r>
          </w:p>
        </w:tc>
        <w:tc>
          <w:tcPr>
            <w:tcW w:w="1794" w:type="dxa"/>
            <w:gridSpan w:val="2"/>
          </w:tcPr>
          <w:p w14:paraId="4110F216" w14:textId="77777777" w:rsidR="006402DE" w:rsidRPr="002F6765" w:rsidRDefault="006402DE">
            <w:pPr>
              <w:pStyle w:val="TableHeading2centrealign"/>
            </w:pPr>
            <w:r w:rsidRPr="002F6765">
              <w:t>Men</w:t>
            </w:r>
          </w:p>
        </w:tc>
        <w:tc>
          <w:tcPr>
            <w:tcW w:w="1924" w:type="dxa"/>
            <w:gridSpan w:val="2"/>
          </w:tcPr>
          <w:p w14:paraId="4223FBAD" w14:textId="77777777" w:rsidR="006402DE" w:rsidRPr="002F6765" w:rsidRDefault="006402DE">
            <w:pPr>
              <w:pStyle w:val="TableHeading2centrealign"/>
            </w:pPr>
            <w:r w:rsidRPr="002F6765">
              <w:t>Self-described</w:t>
            </w:r>
          </w:p>
        </w:tc>
      </w:tr>
      <w:tr w:rsidR="006402DE" w:rsidRPr="002F6765" w14:paraId="113896CB" w14:textId="77777777">
        <w:tc>
          <w:tcPr>
            <w:tcW w:w="1678" w:type="dxa"/>
            <w:shd w:val="clear" w:color="auto" w:fill="D9D9D9" w:themeFill="background1" w:themeFillShade="D9"/>
          </w:tcPr>
          <w:p w14:paraId="7CC2F785" w14:textId="77777777" w:rsidR="006402DE" w:rsidRPr="00686D0C" w:rsidRDefault="006402DE">
            <w:pPr>
              <w:pStyle w:val="TableHeading1"/>
            </w:pPr>
            <w:r w:rsidRPr="00686D0C">
              <w:t>Class</w:t>
            </w:r>
          </w:p>
        </w:tc>
        <w:tc>
          <w:tcPr>
            <w:tcW w:w="871" w:type="dxa"/>
            <w:shd w:val="clear" w:color="auto" w:fill="D9D9D9" w:themeFill="background1" w:themeFillShade="D9"/>
          </w:tcPr>
          <w:p w14:paraId="5E9EAC37" w14:textId="77777777" w:rsidR="006402DE" w:rsidRPr="003E6C07" w:rsidRDefault="006402DE" w:rsidP="003E6C07">
            <w:pPr>
              <w:pStyle w:val="TableHeading2centrealign"/>
            </w:pPr>
            <w:r w:rsidRPr="003E6C07">
              <w:t>No.</w:t>
            </w:r>
          </w:p>
        </w:tc>
        <w:tc>
          <w:tcPr>
            <w:tcW w:w="871" w:type="dxa"/>
            <w:shd w:val="clear" w:color="auto" w:fill="D9D9D9" w:themeFill="background1" w:themeFillShade="D9"/>
          </w:tcPr>
          <w:p w14:paraId="0841A069" w14:textId="77777777" w:rsidR="006402DE" w:rsidRPr="003E6C07" w:rsidRDefault="006402DE" w:rsidP="003E6C07">
            <w:pPr>
              <w:pStyle w:val="TableHeading2centrealign"/>
            </w:pPr>
            <w:r w:rsidRPr="003E6C07">
              <w:t>Var.</w:t>
            </w:r>
          </w:p>
        </w:tc>
        <w:tc>
          <w:tcPr>
            <w:tcW w:w="956" w:type="dxa"/>
            <w:shd w:val="clear" w:color="auto" w:fill="D9D9D9" w:themeFill="background1" w:themeFillShade="D9"/>
          </w:tcPr>
          <w:p w14:paraId="58B39B3C" w14:textId="77777777" w:rsidR="006402DE" w:rsidRPr="003E6C07" w:rsidRDefault="006402DE" w:rsidP="003E6C07">
            <w:pPr>
              <w:pStyle w:val="TableHeading2centrealign"/>
            </w:pPr>
            <w:r w:rsidRPr="003E6C07">
              <w:t>No.</w:t>
            </w:r>
          </w:p>
        </w:tc>
        <w:tc>
          <w:tcPr>
            <w:tcW w:w="922" w:type="dxa"/>
            <w:shd w:val="clear" w:color="auto" w:fill="D9D9D9" w:themeFill="background1" w:themeFillShade="D9"/>
          </w:tcPr>
          <w:p w14:paraId="7D572462" w14:textId="77777777" w:rsidR="006402DE" w:rsidRPr="003E6C07" w:rsidRDefault="006402DE" w:rsidP="003E6C07">
            <w:pPr>
              <w:pStyle w:val="TableHeading2centrealign"/>
            </w:pPr>
            <w:r w:rsidRPr="003E6C07">
              <w:t>Var.</w:t>
            </w:r>
          </w:p>
        </w:tc>
        <w:tc>
          <w:tcPr>
            <w:tcW w:w="904" w:type="dxa"/>
            <w:shd w:val="clear" w:color="auto" w:fill="D9D9D9" w:themeFill="background1" w:themeFillShade="D9"/>
          </w:tcPr>
          <w:p w14:paraId="131BD0C5" w14:textId="77777777" w:rsidR="006402DE" w:rsidRPr="003E6C07" w:rsidRDefault="006402DE" w:rsidP="003E6C07">
            <w:pPr>
              <w:pStyle w:val="TableHeading2centrealign"/>
            </w:pPr>
            <w:r w:rsidRPr="003E6C07">
              <w:t>No.</w:t>
            </w:r>
          </w:p>
        </w:tc>
        <w:tc>
          <w:tcPr>
            <w:tcW w:w="890" w:type="dxa"/>
            <w:shd w:val="clear" w:color="auto" w:fill="D9D9D9" w:themeFill="background1" w:themeFillShade="D9"/>
          </w:tcPr>
          <w:p w14:paraId="2D24D123" w14:textId="77777777" w:rsidR="006402DE" w:rsidRPr="003E6C07" w:rsidRDefault="006402DE" w:rsidP="003E6C07">
            <w:pPr>
              <w:pStyle w:val="TableHeading2centrealign"/>
            </w:pPr>
            <w:r w:rsidRPr="003E6C07">
              <w:t>Var.</w:t>
            </w:r>
          </w:p>
        </w:tc>
        <w:tc>
          <w:tcPr>
            <w:tcW w:w="985" w:type="dxa"/>
            <w:shd w:val="clear" w:color="auto" w:fill="D9D9D9" w:themeFill="background1" w:themeFillShade="D9"/>
          </w:tcPr>
          <w:p w14:paraId="7877EEB3" w14:textId="77777777" w:rsidR="006402DE" w:rsidRPr="003E6C07" w:rsidRDefault="006402DE" w:rsidP="003E6C07">
            <w:pPr>
              <w:pStyle w:val="TableHeading2centrealign"/>
            </w:pPr>
            <w:r w:rsidRPr="003E6C07">
              <w:t>No.</w:t>
            </w:r>
          </w:p>
        </w:tc>
        <w:tc>
          <w:tcPr>
            <w:tcW w:w="939" w:type="dxa"/>
            <w:shd w:val="clear" w:color="auto" w:fill="D9D9D9" w:themeFill="background1" w:themeFillShade="D9"/>
          </w:tcPr>
          <w:p w14:paraId="2C0D31B4" w14:textId="77777777" w:rsidR="006402DE" w:rsidRPr="003E6C07" w:rsidRDefault="006402DE" w:rsidP="003E6C07">
            <w:pPr>
              <w:pStyle w:val="TableHeading2centrealign"/>
            </w:pPr>
            <w:r w:rsidRPr="003E6C07">
              <w:t>Var.</w:t>
            </w:r>
          </w:p>
        </w:tc>
      </w:tr>
      <w:tr w:rsidR="006402DE" w:rsidRPr="00C71FA9" w14:paraId="31B73543" w14:textId="77777777">
        <w:tc>
          <w:tcPr>
            <w:tcW w:w="1678" w:type="dxa"/>
          </w:tcPr>
          <w:p w14:paraId="42FD9967" w14:textId="77777777" w:rsidR="006402DE" w:rsidRPr="00C71FA9" w:rsidRDefault="006402DE">
            <w:pPr>
              <w:pStyle w:val="TableBodyText"/>
            </w:pPr>
            <w:r w:rsidRPr="00C71FA9">
              <w:t>EO-1 (SES-3)</w:t>
            </w:r>
          </w:p>
        </w:tc>
        <w:tc>
          <w:tcPr>
            <w:tcW w:w="871" w:type="dxa"/>
          </w:tcPr>
          <w:p w14:paraId="15F2CBFA" w14:textId="77777777" w:rsidR="006402DE" w:rsidRPr="003D0B7A" w:rsidRDefault="006402DE" w:rsidP="003E6C07">
            <w:pPr>
              <w:pStyle w:val="TableBodyTextcentrealign"/>
            </w:pPr>
            <w:r w:rsidRPr="003D0B7A">
              <w:t>1</w:t>
            </w:r>
          </w:p>
        </w:tc>
        <w:tc>
          <w:tcPr>
            <w:tcW w:w="871" w:type="dxa"/>
          </w:tcPr>
          <w:p w14:paraId="1E87FB35" w14:textId="77777777" w:rsidR="006402DE" w:rsidRPr="003D0B7A" w:rsidRDefault="006402DE" w:rsidP="003E6C07">
            <w:pPr>
              <w:pStyle w:val="TableBodyTextcentrealign"/>
            </w:pPr>
            <w:r w:rsidRPr="003D0B7A">
              <w:t>0</w:t>
            </w:r>
          </w:p>
        </w:tc>
        <w:tc>
          <w:tcPr>
            <w:tcW w:w="956" w:type="dxa"/>
          </w:tcPr>
          <w:p w14:paraId="61BCDB5F" w14:textId="77777777" w:rsidR="006402DE" w:rsidRPr="003D0B7A" w:rsidRDefault="006402DE" w:rsidP="003E6C07">
            <w:pPr>
              <w:pStyle w:val="TableBodyTextcentrealign"/>
            </w:pPr>
            <w:r w:rsidRPr="003D0B7A">
              <w:t>1</w:t>
            </w:r>
          </w:p>
        </w:tc>
        <w:tc>
          <w:tcPr>
            <w:tcW w:w="922" w:type="dxa"/>
          </w:tcPr>
          <w:p w14:paraId="2538B16B" w14:textId="77777777" w:rsidR="006402DE" w:rsidRPr="003D0B7A" w:rsidRDefault="006402DE" w:rsidP="003E6C07">
            <w:pPr>
              <w:pStyle w:val="TableBodyTextcentrealign"/>
            </w:pPr>
            <w:r w:rsidRPr="003D0B7A">
              <w:t>0</w:t>
            </w:r>
          </w:p>
        </w:tc>
        <w:tc>
          <w:tcPr>
            <w:tcW w:w="904" w:type="dxa"/>
          </w:tcPr>
          <w:p w14:paraId="0AFB0A8D" w14:textId="77777777" w:rsidR="006402DE" w:rsidRPr="003D0B7A" w:rsidRDefault="006402DE" w:rsidP="003E6C07">
            <w:pPr>
              <w:pStyle w:val="TableBodyTextcentrealign"/>
            </w:pPr>
            <w:r w:rsidRPr="003D0B7A">
              <w:t>0</w:t>
            </w:r>
          </w:p>
        </w:tc>
        <w:tc>
          <w:tcPr>
            <w:tcW w:w="890" w:type="dxa"/>
          </w:tcPr>
          <w:p w14:paraId="5BD06AEF" w14:textId="77777777" w:rsidR="006402DE" w:rsidRPr="003D0B7A" w:rsidRDefault="006402DE" w:rsidP="003E6C07">
            <w:pPr>
              <w:pStyle w:val="TableBodyTextcentrealign"/>
            </w:pPr>
            <w:r w:rsidRPr="003D0B7A">
              <w:t>0</w:t>
            </w:r>
          </w:p>
        </w:tc>
        <w:tc>
          <w:tcPr>
            <w:tcW w:w="985" w:type="dxa"/>
          </w:tcPr>
          <w:p w14:paraId="65A33700" w14:textId="77777777" w:rsidR="006402DE" w:rsidRPr="003D0B7A" w:rsidRDefault="006402DE" w:rsidP="003E6C07">
            <w:pPr>
              <w:pStyle w:val="TableBodyTextcentrealign"/>
            </w:pPr>
            <w:r w:rsidRPr="003D0B7A">
              <w:t>0</w:t>
            </w:r>
          </w:p>
        </w:tc>
        <w:tc>
          <w:tcPr>
            <w:tcW w:w="939" w:type="dxa"/>
          </w:tcPr>
          <w:p w14:paraId="4181F595" w14:textId="77777777" w:rsidR="006402DE" w:rsidRPr="003D0B7A" w:rsidRDefault="006402DE" w:rsidP="003E6C07">
            <w:pPr>
              <w:pStyle w:val="TableBodyTextcentrealign"/>
            </w:pPr>
            <w:r w:rsidRPr="003D0B7A">
              <w:t>0</w:t>
            </w:r>
          </w:p>
        </w:tc>
      </w:tr>
      <w:tr w:rsidR="006402DE" w:rsidRPr="00C71FA9" w14:paraId="2A742B13" w14:textId="77777777">
        <w:tc>
          <w:tcPr>
            <w:tcW w:w="1678" w:type="dxa"/>
          </w:tcPr>
          <w:p w14:paraId="5C8326E7" w14:textId="77777777" w:rsidR="006402DE" w:rsidRPr="00C71FA9" w:rsidRDefault="006402DE">
            <w:pPr>
              <w:pStyle w:val="TableBodyText"/>
            </w:pPr>
            <w:r w:rsidRPr="00C71FA9">
              <w:t>EO-2 (SES-2)</w:t>
            </w:r>
          </w:p>
        </w:tc>
        <w:tc>
          <w:tcPr>
            <w:tcW w:w="871" w:type="dxa"/>
          </w:tcPr>
          <w:p w14:paraId="2E784469" w14:textId="77777777" w:rsidR="006402DE" w:rsidRPr="003D0B7A" w:rsidRDefault="006402DE" w:rsidP="003E6C07">
            <w:pPr>
              <w:pStyle w:val="TableBodyTextcentrealign"/>
            </w:pPr>
            <w:r w:rsidRPr="003D0B7A">
              <w:t>4</w:t>
            </w:r>
          </w:p>
        </w:tc>
        <w:tc>
          <w:tcPr>
            <w:tcW w:w="871" w:type="dxa"/>
          </w:tcPr>
          <w:p w14:paraId="56E5377A" w14:textId="77777777" w:rsidR="006402DE" w:rsidRPr="003D0B7A" w:rsidRDefault="006402DE" w:rsidP="003E6C07">
            <w:pPr>
              <w:pStyle w:val="TableBodyTextcentrealign"/>
            </w:pPr>
            <w:r w:rsidRPr="003D0B7A">
              <w:t>0</w:t>
            </w:r>
          </w:p>
        </w:tc>
        <w:tc>
          <w:tcPr>
            <w:tcW w:w="956" w:type="dxa"/>
          </w:tcPr>
          <w:p w14:paraId="328E1A2A" w14:textId="77777777" w:rsidR="006402DE" w:rsidRPr="003D0B7A" w:rsidRDefault="006402DE" w:rsidP="003E6C07">
            <w:pPr>
              <w:pStyle w:val="TableBodyTextcentrealign"/>
            </w:pPr>
            <w:r w:rsidRPr="003D0B7A">
              <w:t>2</w:t>
            </w:r>
          </w:p>
        </w:tc>
        <w:tc>
          <w:tcPr>
            <w:tcW w:w="922" w:type="dxa"/>
          </w:tcPr>
          <w:p w14:paraId="108E84BE" w14:textId="77777777" w:rsidR="006402DE" w:rsidRPr="003D0B7A" w:rsidRDefault="006402DE" w:rsidP="003E6C07">
            <w:pPr>
              <w:pStyle w:val="TableBodyTextcentrealign"/>
            </w:pPr>
            <w:r w:rsidRPr="003D0B7A">
              <w:t>0</w:t>
            </w:r>
          </w:p>
        </w:tc>
        <w:tc>
          <w:tcPr>
            <w:tcW w:w="904" w:type="dxa"/>
          </w:tcPr>
          <w:p w14:paraId="46872B70" w14:textId="77777777" w:rsidR="006402DE" w:rsidRPr="003D0B7A" w:rsidRDefault="006402DE" w:rsidP="003E6C07">
            <w:pPr>
              <w:pStyle w:val="TableBodyTextcentrealign"/>
            </w:pPr>
            <w:r w:rsidRPr="003D0B7A">
              <w:t>2</w:t>
            </w:r>
          </w:p>
        </w:tc>
        <w:tc>
          <w:tcPr>
            <w:tcW w:w="890" w:type="dxa"/>
          </w:tcPr>
          <w:p w14:paraId="4A9A4D4A" w14:textId="77777777" w:rsidR="006402DE" w:rsidRPr="003D0B7A" w:rsidRDefault="006402DE" w:rsidP="003E6C07">
            <w:pPr>
              <w:pStyle w:val="TableBodyTextcentrealign"/>
            </w:pPr>
            <w:r w:rsidRPr="003D0B7A">
              <w:t>0</w:t>
            </w:r>
          </w:p>
        </w:tc>
        <w:tc>
          <w:tcPr>
            <w:tcW w:w="985" w:type="dxa"/>
          </w:tcPr>
          <w:p w14:paraId="1C93F56A" w14:textId="77777777" w:rsidR="006402DE" w:rsidRPr="003D0B7A" w:rsidRDefault="006402DE" w:rsidP="003E6C07">
            <w:pPr>
              <w:pStyle w:val="TableBodyTextcentrealign"/>
            </w:pPr>
            <w:r w:rsidRPr="003D0B7A">
              <w:t>0</w:t>
            </w:r>
          </w:p>
        </w:tc>
        <w:tc>
          <w:tcPr>
            <w:tcW w:w="939" w:type="dxa"/>
          </w:tcPr>
          <w:p w14:paraId="733A9BB4" w14:textId="77777777" w:rsidR="006402DE" w:rsidRPr="003D0B7A" w:rsidRDefault="006402DE" w:rsidP="003E6C07">
            <w:pPr>
              <w:pStyle w:val="TableBodyTextcentrealign"/>
            </w:pPr>
            <w:r w:rsidRPr="003D0B7A">
              <w:t>0</w:t>
            </w:r>
          </w:p>
        </w:tc>
      </w:tr>
      <w:tr w:rsidR="006402DE" w:rsidRPr="00C71FA9" w14:paraId="24CC3576" w14:textId="77777777">
        <w:trPr>
          <w:trHeight w:val="70"/>
        </w:trPr>
        <w:tc>
          <w:tcPr>
            <w:tcW w:w="1678" w:type="dxa"/>
          </w:tcPr>
          <w:p w14:paraId="45A533EB" w14:textId="77777777" w:rsidR="006402DE" w:rsidRPr="00C71FA9" w:rsidRDefault="006402DE">
            <w:pPr>
              <w:pStyle w:val="TableBodyText"/>
            </w:pPr>
            <w:r w:rsidRPr="00C71FA9">
              <w:t>EO-3 (SES-1)</w:t>
            </w:r>
          </w:p>
        </w:tc>
        <w:tc>
          <w:tcPr>
            <w:tcW w:w="871" w:type="dxa"/>
          </w:tcPr>
          <w:p w14:paraId="6DC5AB2A" w14:textId="77777777" w:rsidR="006402DE" w:rsidRPr="003D0B7A" w:rsidRDefault="006402DE" w:rsidP="003E6C07">
            <w:pPr>
              <w:pStyle w:val="TableBodyTextcentrealign"/>
            </w:pPr>
            <w:r w:rsidRPr="003D0B7A">
              <w:t>13</w:t>
            </w:r>
          </w:p>
        </w:tc>
        <w:tc>
          <w:tcPr>
            <w:tcW w:w="871" w:type="dxa"/>
          </w:tcPr>
          <w:p w14:paraId="53446092" w14:textId="77777777" w:rsidR="006402DE" w:rsidRPr="003D0B7A" w:rsidRDefault="006402DE" w:rsidP="003E6C07">
            <w:pPr>
              <w:pStyle w:val="TableBodyTextcentrealign"/>
            </w:pPr>
            <w:r w:rsidRPr="003D0B7A">
              <w:t>+3</w:t>
            </w:r>
          </w:p>
        </w:tc>
        <w:tc>
          <w:tcPr>
            <w:tcW w:w="956" w:type="dxa"/>
          </w:tcPr>
          <w:p w14:paraId="013993B0" w14:textId="42F27C1D" w:rsidR="006402DE" w:rsidRPr="003D0B7A" w:rsidRDefault="00C53256" w:rsidP="003E6C07">
            <w:pPr>
              <w:pStyle w:val="TableBodyTextcentrealign"/>
            </w:pPr>
            <w:r>
              <w:t>5</w:t>
            </w:r>
          </w:p>
        </w:tc>
        <w:tc>
          <w:tcPr>
            <w:tcW w:w="922" w:type="dxa"/>
          </w:tcPr>
          <w:p w14:paraId="18E387D4" w14:textId="23940920" w:rsidR="006402DE" w:rsidRPr="003D0B7A" w:rsidRDefault="006402DE" w:rsidP="003E6C07">
            <w:pPr>
              <w:pStyle w:val="TableBodyTextcentrealign"/>
            </w:pPr>
            <w:r w:rsidRPr="003D0B7A">
              <w:t>+</w:t>
            </w:r>
            <w:r w:rsidR="00C53256">
              <w:t>1</w:t>
            </w:r>
          </w:p>
        </w:tc>
        <w:tc>
          <w:tcPr>
            <w:tcW w:w="904" w:type="dxa"/>
          </w:tcPr>
          <w:p w14:paraId="6BDE8F07" w14:textId="77FD932F" w:rsidR="006402DE" w:rsidRPr="003D0B7A" w:rsidRDefault="00C53256" w:rsidP="003E6C07">
            <w:pPr>
              <w:pStyle w:val="TableBodyTextcentrealign"/>
            </w:pPr>
            <w:r>
              <w:t>8</w:t>
            </w:r>
          </w:p>
        </w:tc>
        <w:tc>
          <w:tcPr>
            <w:tcW w:w="890" w:type="dxa"/>
          </w:tcPr>
          <w:p w14:paraId="54220208" w14:textId="16AEB968" w:rsidR="006402DE" w:rsidRPr="003D0B7A" w:rsidRDefault="006402DE" w:rsidP="003E6C07">
            <w:pPr>
              <w:pStyle w:val="TableBodyTextcentrealign"/>
            </w:pPr>
            <w:r w:rsidRPr="003D0B7A">
              <w:t>+</w:t>
            </w:r>
            <w:r w:rsidR="00C53256">
              <w:t>2</w:t>
            </w:r>
          </w:p>
        </w:tc>
        <w:tc>
          <w:tcPr>
            <w:tcW w:w="985" w:type="dxa"/>
          </w:tcPr>
          <w:p w14:paraId="37B4C027" w14:textId="77777777" w:rsidR="006402DE" w:rsidRPr="003D0B7A" w:rsidRDefault="006402DE" w:rsidP="003E6C07">
            <w:pPr>
              <w:pStyle w:val="TableBodyTextcentrealign"/>
            </w:pPr>
            <w:r w:rsidRPr="003D0B7A">
              <w:t>0</w:t>
            </w:r>
          </w:p>
        </w:tc>
        <w:tc>
          <w:tcPr>
            <w:tcW w:w="939" w:type="dxa"/>
          </w:tcPr>
          <w:p w14:paraId="2C3C6A71" w14:textId="77777777" w:rsidR="006402DE" w:rsidRPr="003D0B7A" w:rsidRDefault="006402DE" w:rsidP="003E6C07">
            <w:pPr>
              <w:pStyle w:val="TableBodyTextcentrealign"/>
            </w:pPr>
            <w:r w:rsidRPr="003D0B7A">
              <w:t>0</w:t>
            </w:r>
          </w:p>
        </w:tc>
      </w:tr>
      <w:tr w:rsidR="006402DE" w:rsidRPr="00C71FA9" w14:paraId="0786FE99" w14:textId="77777777">
        <w:trPr>
          <w:cnfStyle w:val="010000000000" w:firstRow="0" w:lastRow="1" w:firstColumn="0" w:lastColumn="0" w:oddVBand="0" w:evenVBand="0" w:oddHBand="0" w:evenHBand="0" w:firstRowFirstColumn="0" w:firstRowLastColumn="0" w:lastRowFirstColumn="0" w:lastRowLastColumn="0"/>
        </w:trPr>
        <w:tc>
          <w:tcPr>
            <w:tcW w:w="1678" w:type="dxa"/>
          </w:tcPr>
          <w:p w14:paraId="492BC37D" w14:textId="77777777" w:rsidR="006402DE" w:rsidRPr="00C71FA9" w:rsidRDefault="006402DE">
            <w:pPr>
              <w:pStyle w:val="TableBodyText"/>
            </w:pPr>
            <w:r w:rsidRPr="00C71FA9">
              <w:t>Total</w:t>
            </w:r>
          </w:p>
        </w:tc>
        <w:tc>
          <w:tcPr>
            <w:tcW w:w="871" w:type="dxa"/>
          </w:tcPr>
          <w:p w14:paraId="2EF76129" w14:textId="77777777" w:rsidR="006402DE" w:rsidRPr="003D0B7A" w:rsidRDefault="006402DE" w:rsidP="003E6C07">
            <w:pPr>
              <w:pStyle w:val="TableBodyTextcentrealign"/>
            </w:pPr>
            <w:r w:rsidRPr="003D0B7A">
              <w:t>18</w:t>
            </w:r>
          </w:p>
        </w:tc>
        <w:tc>
          <w:tcPr>
            <w:tcW w:w="871" w:type="dxa"/>
          </w:tcPr>
          <w:p w14:paraId="6357380F" w14:textId="77777777" w:rsidR="006402DE" w:rsidRPr="003D0B7A" w:rsidRDefault="006402DE" w:rsidP="003E6C07">
            <w:pPr>
              <w:pStyle w:val="TableBodyTextcentrealign"/>
            </w:pPr>
            <w:r w:rsidRPr="003D0B7A">
              <w:t>+3</w:t>
            </w:r>
          </w:p>
        </w:tc>
        <w:tc>
          <w:tcPr>
            <w:tcW w:w="956" w:type="dxa"/>
          </w:tcPr>
          <w:p w14:paraId="240E934F" w14:textId="5E1A93BC" w:rsidR="006402DE" w:rsidRPr="003D0B7A" w:rsidRDefault="00C53256" w:rsidP="003E6C07">
            <w:pPr>
              <w:pStyle w:val="TableBodyTextcentrealign"/>
            </w:pPr>
            <w:r>
              <w:t>8</w:t>
            </w:r>
          </w:p>
        </w:tc>
        <w:tc>
          <w:tcPr>
            <w:tcW w:w="922" w:type="dxa"/>
          </w:tcPr>
          <w:p w14:paraId="5E35FAD7" w14:textId="0BF2DEEF" w:rsidR="006402DE" w:rsidRPr="003D0B7A" w:rsidRDefault="006402DE" w:rsidP="003E6C07">
            <w:pPr>
              <w:pStyle w:val="TableBodyTextcentrealign"/>
            </w:pPr>
            <w:r w:rsidRPr="003D0B7A">
              <w:t>+</w:t>
            </w:r>
            <w:r w:rsidR="00C53256">
              <w:t>1</w:t>
            </w:r>
          </w:p>
        </w:tc>
        <w:tc>
          <w:tcPr>
            <w:tcW w:w="904" w:type="dxa"/>
          </w:tcPr>
          <w:p w14:paraId="57E4EC56" w14:textId="35A83DCD" w:rsidR="006402DE" w:rsidRPr="003D0B7A" w:rsidRDefault="00C53256" w:rsidP="003E6C07">
            <w:pPr>
              <w:pStyle w:val="TableBodyTextcentrealign"/>
            </w:pPr>
            <w:r>
              <w:t>10</w:t>
            </w:r>
          </w:p>
        </w:tc>
        <w:tc>
          <w:tcPr>
            <w:tcW w:w="890" w:type="dxa"/>
          </w:tcPr>
          <w:p w14:paraId="044B7E1B" w14:textId="0F4DA953" w:rsidR="006402DE" w:rsidRPr="003D0B7A" w:rsidRDefault="006402DE" w:rsidP="003E6C07">
            <w:pPr>
              <w:pStyle w:val="TableBodyTextcentrealign"/>
            </w:pPr>
            <w:r w:rsidRPr="003D0B7A">
              <w:t>+</w:t>
            </w:r>
            <w:r w:rsidR="00C53256">
              <w:t>2</w:t>
            </w:r>
          </w:p>
        </w:tc>
        <w:tc>
          <w:tcPr>
            <w:tcW w:w="985" w:type="dxa"/>
          </w:tcPr>
          <w:p w14:paraId="5F3183A2" w14:textId="77777777" w:rsidR="006402DE" w:rsidRPr="003D0B7A" w:rsidRDefault="006402DE" w:rsidP="003E6C07">
            <w:pPr>
              <w:pStyle w:val="TableBodyTextcentrealign"/>
            </w:pPr>
            <w:r w:rsidRPr="003D0B7A">
              <w:t>0</w:t>
            </w:r>
          </w:p>
        </w:tc>
        <w:tc>
          <w:tcPr>
            <w:tcW w:w="939" w:type="dxa"/>
          </w:tcPr>
          <w:p w14:paraId="0993D60A" w14:textId="77777777" w:rsidR="006402DE" w:rsidRPr="003D0B7A" w:rsidRDefault="006402DE" w:rsidP="003E6C07">
            <w:pPr>
              <w:pStyle w:val="TableBodyTextcentrealign"/>
            </w:pPr>
            <w:r w:rsidRPr="003D0B7A">
              <w:t>0</w:t>
            </w:r>
          </w:p>
        </w:tc>
      </w:tr>
    </w:tbl>
    <w:p w14:paraId="3ADB63C9" w14:textId="50E6FBC9" w:rsidR="00A85DD1" w:rsidRDefault="009057FB" w:rsidP="006402DE">
      <w:pPr>
        <w:pStyle w:val="TableNote"/>
      </w:pPr>
      <w:r>
        <w:t>Note</w:t>
      </w:r>
      <w:r w:rsidR="009C2188" w:rsidRPr="006402DE">
        <w:t xml:space="preserve"> </w:t>
      </w:r>
    </w:p>
    <w:p w14:paraId="655BF4F7" w14:textId="402DDF46" w:rsidR="009C2188" w:rsidRPr="006402DE" w:rsidRDefault="009C2188" w:rsidP="006402DE">
      <w:pPr>
        <w:pStyle w:val="TableNote"/>
      </w:pPr>
      <w:r w:rsidRPr="006402DE">
        <w:t>Statutory appointments have been excluded from this table.</w:t>
      </w:r>
    </w:p>
    <w:p w14:paraId="6B3BA37B" w14:textId="7A7F77B1" w:rsidR="009C2188" w:rsidRPr="002F6765" w:rsidRDefault="009C2188" w:rsidP="009C2188">
      <w:pPr>
        <w:pStyle w:val="BodyText"/>
      </w:pPr>
      <w:r w:rsidRPr="002F6765">
        <w:t xml:space="preserve">The number of </w:t>
      </w:r>
      <w:r>
        <w:t>EOs</w:t>
      </w:r>
      <w:r w:rsidRPr="002F6765">
        <w:t xml:space="preserve"> in the report of operations is based on the number of executive positions that are occupied at the end of the financial year.</w:t>
      </w:r>
      <w:r w:rsidR="00CC547D" w:rsidRPr="00CC547D">
        <w:t xml:space="preserve"> Section 8.3: Remuneration of executives and other personnel in the financial statements</w:t>
      </w:r>
      <w:r w:rsidRPr="002F6765">
        <w:t xml:space="preserve"> lists the actual number of EOs and the total remuneration paid to EOs over the course of the reporting period.</w:t>
      </w:r>
    </w:p>
    <w:p w14:paraId="69FB891C" w14:textId="6B7EB4E5" w:rsidR="009C2188" w:rsidRPr="002F6765" w:rsidRDefault="009C2188" w:rsidP="009C2188">
      <w:pPr>
        <w:pStyle w:val="BodyText"/>
      </w:pPr>
      <w:r w:rsidRPr="002F6765">
        <w:t>The financial statements note does not distinguish between executive levels or disclose separations. Separations are executives who have left IBAC during the reporting period. To assist readers, these two disclosures are reconciled in</w:t>
      </w:r>
      <w:r w:rsidR="00233067">
        <w:t xml:space="preserve"> </w:t>
      </w:r>
      <w:r w:rsidR="00233067">
        <w:rPr>
          <w:highlight w:val="yellow"/>
        </w:rPr>
        <w:fldChar w:fldCharType="begin"/>
      </w:r>
      <w:r w:rsidR="00233067">
        <w:instrText xml:space="preserve"> REF _Ref79051504 \h </w:instrText>
      </w:r>
      <w:r w:rsidR="00233067">
        <w:rPr>
          <w:highlight w:val="yellow"/>
        </w:rPr>
      </w:r>
      <w:r w:rsidR="00233067">
        <w:rPr>
          <w:highlight w:val="yellow"/>
        </w:rPr>
        <w:fldChar w:fldCharType="separate"/>
      </w:r>
      <w:r w:rsidR="00214316" w:rsidRPr="002F6765">
        <w:t xml:space="preserve">Table </w:t>
      </w:r>
      <w:r w:rsidR="00214316">
        <w:rPr>
          <w:noProof/>
        </w:rPr>
        <w:t>26</w:t>
      </w:r>
      <w:r w:rsidR="00233067">
        <w:rPr>
          <w:highlight w:val="yellow"/>
        </w:rPr>
        <w:fldChar w:fldCharType="end"/>
      </w:r>
      <w:r w:rsidRPr="002F6765">
        <w:t>.</w:t>
      </w:r>
    </w:p>
    <w:p w14:paraId="71C7F8DF" w14:textId="01324019" w:rsidR="009C2188" w:rsidRPr="002F6765" w:rsidRDefault="009C2188" w:rsidP="00834775">
      <w:pPr>
        <w:pStyle w:val="Caption"/>
      </w:pPr>
      <w:bookmarkStart w:id="234" w:name="_Ref79051504"/>
      <w:bookmarkStart w:id="235" w:name="_Ref149136422"/>
      <w:r w:rsidRPr="002F6765">
        <w:t xml:space="preserve">Table </w:t>
      </w:r>
      <w:r>
        <w:fldChar w:fldCharType="begin"/>
      </w:r>
      <w:r>
        <w:instrText xml:space="preserve"> SEQ Table \* ARABIC </w:instrText>
      </w:r>
      <w:r>
        <w:fldChar w:fldCharType="separate"/>
      </w:r>
      <w:r w:rsidR="00214316">
        <w:rPr>
          <w:noProof/>
        </w:rPr>
        <w:t>26</w:t>
      </w:r>
      <w:r>
        <w:rPr>
          <w:noProof/>
        </w:rPr>
        <w:fldChar w:fldCharType="end"/>
      </w:r>
      <w:bookmarkEnd w:id="234"/>
      <w:r w:rsidRPr="002F6765">
        <w:t xml:space="preserve">: Reconciliation of executive </w:t>
      </w:r>
      <w:r w:rsidRPr="00686D0C">
        <w:t>numbers</w:t>
      </w:r>
      <w:bookmarkEnd w:id="235"/>
    </w:p>
    <w:tbl>
      <w:tblPr>
        <w:tblStyle w:val="CustomTabledetailed"/>
        <w:tblW w:w="5000" w:type="pct"/>
        <w:tblLook w:val="0660" w:firstRow="1" w:lastRow="1" w:firstColumn="0" w:lastColumn="0" w:noHBand="1" w:noVBand="1"/>
      </w:tblPr>
      <w:tblGrid>
        <w:gridCol w:w="1434"/>
        <w:gridCol w:w="6530"/>
        <w:gridCol w:w="1063"/>
      </w:tblGrid>
      <w:tr w:rsidR="009C2188" w:rsidRPr="002F6765" w14:paraId="763A8B3B" w14:textId="77777777">
        <w:trPr>
          <w:cnfStyle w:val="100000000000" w:firstRow="1" w:lastRow="0" w:firstColumn="0" w:lastColumn="0" w:oddVBand="0" w:evenVBand="0" w:oddHBand="0" w:evenHBand="0" w:firstRowFirstColumn="0" w:firstRowLastColumn="0" w:lastRowFirstColumn="0" w:lastRowLastColumn="0"/>
        </w:trPr>
        <w:tc>
          <w:tcPr>
            <w:tcW w:w="794" w:type="pct"/>
          </w:tcPr>
          <w:p w14:paraId="1FA36CF6" w14:textId="77777777" w:rsidR="009C2188" w:rsidRPr="002F6765" w:rsidRDefault="009C2188">
            <w:pPr>
              <w:pStyle w:val="TableHeading1"/>
              <w:rPr>
                <w:rFonts w:asciiTheme="minorHAnsi" w:hAnsiTheme="minorHAnsi" w:cstheme="minorHAnsi"/>
              </w:rPr>
            </w:pPr>
          </w:p>
        </w:tc>
        <w:tc>
          <w:tcPr>
            <w:tcW w:w="3617" w:type="pct"/>
          </w:tcPr>
          <w:p w14:paraId="5B97ED36" w14:textId="77777777" w:rsidR="009C2188" w:rsidRPr="002F6765" w:rsidRDefault="009C2188">
            <w:pPr>
              <w:pStyle w:val="TableHeading1"/>
              <w:rPr>
                <w:rFonts w:asciiTheme="minorHAnsi" w:hAnsiTheme="minorHAnsi" w:cstheme="minorHAnsi"/>
              </w:rPr>
            </w:pPr>
          </w:p>
        </w:tc>
        <w:tc>
          <w:tcPr>
            <w:tcW w:w="589" w:type="pct"/>
          </w:tcPr>
          <w:p w14:paraId="6E741445" w14:textId="24D714CF" w:rsidR="009C2188" w:rsidRPr="002F6765" w:rsidRDefault="000A1691">
            <w:pPr>
              <w:pStyle w:val="TableHeading3rightalign"/>
            </w:pPr>
            <w:r>
              <w:t>2022/23</w:t>
            </w:r>
          </w:p>
        </w:tc>
      </w:tr>
      <w:tr w:rsidR="00EA5CED" w:rsidRPr="00C71FA9" w14:paraId="24E48629" w14:textId="77777777">
        <w:tc>
          <w:tcPr>
            <w:tcW w:w="794" w:type="pct"/>
          </w:tcPr>
          <w:p w14:paraId="3EFC537D" w14:textId="77777777" w:rsidR="00EA5CED" w:rsidRPr="00686D0C" w:rsidRDefault="00EA5CED" w:rsidP="00EA5CED">
            <w:pPr>
              <w:pStyle w:val="TableBodyText"/>
            </w:pPr>
          </w:p>
        </w:tc>
        <w:tc>
          <w:tcPr>
            <w:tcW w:w="3617" w:type="pct"/>
          </w:tcPr>
          <w:p w14:paraId="711BC264" w14:textId="7DE4B5D0" w:rsidR="00EA5CED" w:rsidRPr="00C71FA9" w:rsidRDefault="00EA5CED" w:rsidP="00EA5CED">
            <w:pPr>
              <w:pStyle w:val="TableBodyText"/>
            </w:pPr>
            <w:r w:rsidRPr="00C71FA9">
              <w:t>E</w:t>
            </w:r>
            <w:r>
              <w:t>Os</w:t>
            </w:r>
            <w:r w:rsidRPr="00C71FA9">
              <w:t xml:space="preserve"> (financial statement note 8.4)</w:t>
            </w:r>
          </w:p>
        </w:tc>
        <w:tc>
          <w:tcPr>
            <w:tcW w:w="589" w:type="pct"/>
            <w:shd w:val="clear" w:color="auto" w:fill="F2F2F2" w:themeFill="background1" w:themeFillShade="F2"/>
          </w:tcPr>
          <w:p w14:paraId="50FD6A51" w14:textId="3B3287D1" w:rsidR="00EA5CED" w:rsidRPr="003D0B7A" w:rsidRDefault="00EA5CED" w:rsidP="00EA5CED">
            <w:pPr>
              <w:pStyle w:val="TableBodyTextrightalign"/>
            </w:pPr>
            <w:r w:rsidRPr="003D0B7A">
              <w:t>17</w:t>
            </w:r>
          </w:p>
        </w:tc>
      </w:tr>
      <w:tr w:rsidR="00EA5CED" w:rsidRPr="00C71FA9" w14:paraId="7A64D707" w14:textId="77777777">
        <w:tc>
          <w:tcPr>
            <w:tcW w:w="794" w:type="pct"/>
          </w:tcPr>
          <w:p w14:paraId="6DFB9979" w14:textId="77777777" w:rsidR="00EA5CED" w:rsidRPr="00686D0C" w:rsidRDefault="00EA5CED" w:rsidP="00EA5CED">
            <w:pPr>
              <w:pStyle w:val="TableBodyText"/>
            </w:pPr>
          </w:p>
        </w:tc>
        <w:tc>
          <w:tcPr>
            <w:tcW w:w="3617" w:type="pct"/>
          </w:tcPr>
          <w:p w14:paraId="683BBB34" w14:textId="01366C80" w:rsidR="00EA5CED" w:rsidRPr="00C71FA9" w:rsidRDefault="00EA5CED" w:rsidP="00EA5CED">
            <w:pPr>
              <w:pStyle w:val="TableBodyText"/>
            </w:pPr>
            <w:r w:rsidRPr="00C71FA9">
              <w:t xml:space="preserve">Accountable </w:t>
            </w:r>
            <w:r>
              <w:t>o</w:t>
            </w:r>
            <w:r w:rsidRPr="00C71FA9">
              <w:t>fficer</w:t>
            </w:r>
          </w:p>
        </w:tc>
        <w:tc>
          <w:tcPr>
            <w:tcW w:w="589" w:type="pct"/>
            <w:shd w:val="clear" w:color="auto" w:fill="F2F2F2" w:themeFill="background1" w:themeFillShade="F2"/>
          </w:tcPr>
          <w:p w14:paraId="5689AAA8" w14:textId="0A6D4930" w:rsidR="00EA5CED" w:rsidRPr="003D0B7A" w:rsidRDefault="00EA5CED" w:rsidP="00EA5CED">
            <w:pPr>
              <w:pStyle w:val="TableBodyTextrightalign"/>
            </w:pPr>
            <w:r w:rsidRPr="003D0B7A">
              <w:t>1</w:t>
            </w:r>
          </w:p>
        </w:tc>
      </w:tr>
      <w:tr w:rsidR="00EA5CED" w:rsidRPr="00C71FA9" w14:paraId="5FD37089" w14:textId="77777777">
        <w:tc>
          <w:tcPr>
            <w:tcW w:w="794" w:type="pct"/>
          </w:tcPr>
          <w:p w14:paraId="099A2C3F" w14:textId="77777777" w:rsidR="00EA5CED" w:rsidRPr="0008559A" w:rsidRDefault="00EA5CED" w:rsidP="0008559A">
            <w:pPr>
              <w:pStyle w:val="TableBodyText"/>
            </w:pPr>
            <w:r w:rsidRPr="0008559A">
              <w:t>Less</w:t>
            </w:r>
          </w:p>
        </w:tc>
        <w:tc>
          <w:tcPr>
            <w:tcW w:w="3617" w:type="pct"/>
          </w:tcPr>
          <w:p w14:paraId="7AA0145F" w14:textId="77777777" w:rsidR="00EA5CED" w:rsidRPr="00C71FA9" w:rsidRDefault="00EA5CED" w:rsidP="00EA5CED">
            <w:pPr>
              <w:pStyle w:val="TableBodyText"/>
            </w:pPr>
            <w:r w:rsidRPr="00C71FA9">
              <w:t>Separations</w:t>
            </w:r>
          </w:p>
        </w:tc>
        <w:tc>
          <w:tcPr>
            <w:tcW w:w="589" w:type="pct"/>
            <w:shd w:val="clear" w:color="auto" w:fill="F2F2F2" w:themeFill="background1" w:themeFillShade="F2"/>
          </w:tcPr>
          <w:p w14:paraId="6A3A7626" w14:textId="3C76365A" w:rsidR="00EA5CED" w:rsidRPr="003D0B7A" w:rsidRDefault="00EA5CED" w:rsidP="00EA5CED">
            <w:pPr>
              <w:pStyle w:val="TableBodyTextrightalign"/>
            </w:pPr>
            <w:r w:rsidRPr="003D0B7A">
              <w:t>2</w:t>
            </w:r>
          </w:p>
        </w:tc>
      </w:tr>
      <w:tr w:rsidR="00EA5CED" w:rsidRPr="00C71FA9" w14:paraId="4C5C575A" w14:textId="77777777">
        <w:tc>
          <w:tcPr>
            <w:tcW w:w="794" w:type="pct"/>
          </w:tcPr>
          <w:p w14:paraId="4D9124B7" w14:textId="77777777" w:rsidR="00EA5CED" w:rsidRPr="0008559A" w:rsidRDefault="00EA5CED" w:rsidP="0008559A">
            <w:pPr>
              <w:pStyle w:val="TableBodyText"/>
            </w:pPr>
            <w:r w:rsidRPr="0008559A">
              <w:t>Add</w:t>
            </w:r>
          </w:p>
        </w:tc>
        <w:tc>
          <w:tcPr>
            <w:tcW w:w="3617" w:type="pct"/>
          </w:tcPr>
          <w:p w14:paraId="543A5E5D" w14:textId="77777777" w:rsidR="00EA5CED" w:rsidRPr="00C71FA9" w:rsidRDefault="00EA5CED" w:rsidP="00EA5CED">
            <w:pPr>
              <w:pStyle w:val="TableBodyText"/>
            </w:pPr>
            <w:r w:rsidRPr="00C71FA9">
              <w:t>Recruitment</w:t>
            </w:r>
          </w:p>
        </w:tc>
        <w:tc>
          <w:tcPr>
            <w:tcW w:w="589" w:type="pct"/>
            <w:shd w:val="clear" w:color="auto" w:fill="F2F2F2" w:themeFill="background1" w:themeFillShade="F2"/>
          </w:tcPr>
          <w:p w14:paraId="5E43067A" w14:textId="62CF1857" w:rsidR="00EA5CED" w:rsidRPr="003D0B7A" w:rsidRDefault="00EA5CED" w:rsidP="00EA5CED">
            <w:pPr>
              <w:pStyle w:val="TableBodyTextrightalign"/>
            </w:pPr>
            <w:r w:rsidRPr="003D0B7A">
              <w:t>2</w:t>
            </w:r>
          </w:p>
        </w:tc>
      </w:tr>
      <w:tr w:rsidR="00EA5CED" w:rsidRPr="00C71FA9" w14:paraId="09E30299" w14:textId="77777777">
        <w:trPr>
          <w:cnfStyle w:val="010000000000" w:firstRow="0" w:lastRow="1" w:firstColumn="0" w:lastColumn="0" w:oddVBand="0" w:evenVBand="0" w:oddHBand="0" w:evenHBand="0" w:firstRowFirstColumn="0" w:firstRowLastColumn="0" w:lastRowFirstColumn="0" w:lastRowLastColumn="0"/>
        </w:trPr>
        <w:tc>
          <w:tcPr>
            <w:tcW w:w="794" w:type="pct"/>
          </w:tcPr>
          <w:p w14:paraId="0D8FFA28" w14:textId="77777777" w:rsidR="00EA5CED" w:rsidRPr="00686D0C" w:rsidRDefault="00EA5CED" w:rsidP="00EA5CED">
            <w:pPr>
              <w:pStyle w:val="TableBodyText"/>
            </w:pPr>
          </w:p>
        </w:tc>
        <w:tc>
          <w:tcPr>
            <w:tcW w:w="3617" w:type="pct"/>
          </w:tcPr>
          <w:p w14:paraId="677C7791" w14:textId="77777777" w:rsidR="00EA5CED" w:rsidRPr="00C71FA9" w:rsidRDefault="00EA5CED" w:rsidP="00EA5CED">
            <w:pPr>
              <w:pStyle w:val="TableBodyText"/>
            </w:pPr>
            <w:r w:rsidRPr="00C71FA9">
              <w:t>Total executive numbers at 30 June</w:t>
            </w:r>
          </w:p>
        </w:tc>
        <w:tc>
          <w:tcPr>
            <w:tcW w:w="589" w:type="pct"/>
            <w:shd w:val="clear" w:color="auto" w:fill="F2F2F2" w:themeFill="background1" w:themeFillShade="F2"/>
          </w:tcPr>
          <w:p w14:paraId="2D03E7DE" w14:textId="2E71E01A" w:rsidR="00EA5CED" w:rsidRPr="003D0B7A" w:rsidRDefault="00EA5CED" w:rsidP="00EA5CED">
            <w:pPr>
              <w:pStyle w:val="TableBodyTextrightalign"/>
            </w:pPr>
            <w:r w:rsidRPr="003D0B7A">
              <w:t>18</w:t>
            </w:r>
          </w:p>
        </w:tc>
      </w:tr>
    </w:tbl>
    <w:p w14:paraId="64E75DFA" w14:textId="77777777" w:rsidR="009C2188" w:rsidRPr="007211D6" w:rsidRDefault="009C2188" w:rsidP="007211D6">
      <w:pPr>
        <w:pStyle w:val="BodyText"/>
        <w:sectPr w:rsidR="009C2188" w:rsidRPr="007211D6" w:rsidSect="0074334F">
          <w:headerReference w:type="even" r:id="rId79"/>
          <w:headerReference w:type="default" r:id="rId80"/>
          <w:headerReference w:type="first" r:id="rId81"/>
          <w:pgSz w:w="11907" w:h="16839" w:code="9"/>
          <w:pgMar w:top="1440" w:right="1440" w:bottom="1440" w:left="1440" w:header="720" w:footer="720" w:gutter="0"/>
          <w:cols w:space="720"/>
          <w:docGrid w:linePitch="360"/>
        </w:sectPr>
      </w:pPr>
    </w:p>
    <w:p w14:paraId="7159A8D6" w14:textId="001606E2" w:rsidR="004B6A76" w:rsidRPr="002F6765" w:rsidRDefault="004B6A76" w:rsidP="00E867B1">
      <w:pPr>
        <w:pStyle w:val="AppendixHeading1"/>
      </w:pPr>
      <w:bookmarkStart w:id="236" w:name="_Toc149131462"/>
      <w:r w:rsidRPr="0025451D">
        <w:t>Disclosure</w:t>
      </w:r>
      <w:r w:rsidRPr="002F6765">
        <w:t xml:space="preserve"> index</w:t>
      </w:r>
      <w:bookmarkEnd w:id="236"/>
    </w:p>
    <w:p w14:paraId="78C3B8F0" w14:textId="7A2CD3D2" w:rsidR="008B3E68" w:rsidRDefault="00F316CD" w:rsidP="00834775">
      <w:pPr>
        <w:pStyle w:val="Caption"/>
      </w:pPr>
      <w:bookmarkStart w:id="237" w:name="_Ref149164728"/>
      <w:r w:rsidRPr="002F6765">
        <w:t xml:space="preserve">Table </w:t>
      </w:r>
      <w:r>
        <w:fldChar w:fldCharType="begin"/>
      </w:r>
      <w:r>
        <w:instrText xml:space="preserve"> SEQ Table \* ARABIC </w:instrText>
      </w:r>
      <w:r>
        <w:fldChar w:fldCharType="separate"/>
      </w:r>
      <w:r w:rsidR="00214316">
        <w:rPr>
          <w:noProof/>
        </w:rPr>
        <w:t>27</w:t>
      </w:r>
      <w:r>
        <w:rPr>
          <w:noProof/>
        </w:rPr>
        <w:fldChar w:fldCharType="end"/>
      </w:r>
      <w:r w:rsidR="00A15962" w:rsidRPr="002F6765">
        <w:t>:</w:t>
      </w:r>
      <w:r w:rsidRPr="002F6765">
        <w:t xml:space="preserve"> </w:t>
      </w:r>
      <w:r w:rsidR="008B3E68">
        <w:t>Standing Directions and Financial Reporting Directions</w:t>
      </w:r>
      <w:bookmarkEnd w:id="237"/>
    </w:p>
    <w:tbl>
      <w:tblPr>
        <w:tblStyle w:val="CustomTablestandard"/>
        <w:tblW w:w="9072" w:type="dxa"/>
        <w:tblLook w:val="04A0" w:firstRow="1" w:lastRow="0" w:firstColumn="1" w:lastColumn="0" w:noHBand="0" w:noVBand="1"/>
      </w:tblPr>
      <w:tblGrid>
        <w:gridCol w:w="1018"/>
        <w:gridCol w:w="5416"/>
        <w:gridCol w:w="2638"/>
      </w:tblGrid>
      <w:tr w:rsidR="009E23CD" w14:paraId="34F3CF20" w14:textId="77777777" w:rsidTr="001E2834">
        <w:trPr>
          <w:cnfStyle w:val="100000000000" w:firstRow="1" w:lastRow="0" w:firstColumn="0" w:lastColumn="0" w:oddVBand="0" w:evenVBand="0" w:oddHBand="0" w:evenHBand="0" w:firstRowFirstColumn="0" w:firstRowLastColumn="0" w:lastRowFirstColumn="0" w:lastRowLastColumn="0"/>
        </w:trPr>
        <w:tc>
          <w:tcPr>
            <w:tcW w:w="0" w:type="dxa"/>
          </w:tcPr>
          <w:p w14:paraId="079AB684" w14:textId="77777777" w:rsidR="008B3E68" w:rsidRDefault="008B3E68" w:rsidP="00ED0DC5">
            <w:pPr>
              <w:pStyle w:val="TableHeading1"/>
            </w:pPr>
            <w:r>
              <w:t xml:space="preserve">Legislation </w:t>
            </w:r>
          </w:p>
        </w:tc>
        <w:tc>
          <w:tcPr>
            <w:tcW w:w="6095" w:type="dxa"/>
          </w:tcPr>
          <w:p w14:paraId="5558AC03" w14:textId="77777777" w:rsidR="008B3E68" w:rsidRDefault="008B3E68" w:rsidP="00ED0DC5">
            <w:pPr>
              <w:pStyle w:val="TableHeading1"/>
            </w:pPr>
            <w:r>
              <w:t>Requirement</w:t>
            </w:r>
          </w:p>
        </w:tc>
        <w:tc>
          <w:tcPr>
            <w:tcW w:w="1417" w:type="dxa"/>
          </w:tcPr>
          <w:p w14:paraId="45CBC28F" w14:textId="77777777" w:rsidR="008B3E68" w:rsidRDefault="008B3E68" w:rsidP="00F7058B">
            <w:pPr>
              <w:pStyle w:val="TableHeading3rightalign"/>
            </w:pPr>
            <w:r>
              <w:t>Page #</w:t>
            </w:r>
          </w:p>
        </w:tc>
      </w:tr>
      <w:tr w:rsidR="008B3E68" w14:paraId="13F57704" w14:textId="77777777" w:rsidTr="001E2834">
        <w:tc>
          <w:tcPr>
            <w:tcW w:w="9072" w:type="dxa"/>
            <w:gridSpan w:val="3"/>
            <w:shd w:val="clear" w:color="auto" w:fill="F2F2F2" w:themeFill="background1" w:themeFillShade="F2"/>
          </w:tcPr>
          <w:p w14:paraId="085DDD0A" w14:textId="77777777" w:rsidR="008B3E68" w:rsidRPr="00F316CD" w:rsidRDefault="008B3E68" w:rsidP="00ED0DC5">
            <w:pPr>
              <w:pStyle w:val="TableBodyText"/>
              <w:rPr>
                <w:rStyle w:val="Characterbold"/>
              </w:rPr>
            </w:pPr>
            <w:r w:rsidRPr="00F316CD">
              <w:rPr>
                <w:rStyle w:val="Characterbold"/>
              </w:rPr>
              <w:t>Report of operations</w:t>
            </w:r>
          </w:p>
        </w:tc>
      </w:tr>
      <w:tr w:rsidR="008B3E68" w14:paraId="18638A4C" w14:textId="77777777" w:rsidTr="001E2834">
        <w:tc>
          <w:tcPr>
            <w:tcW w:w="9072" w:type="dxa"/>
            <w:gridSpan w:val="3"/>
          </w:tcPr>
          <w:p w14:paraId="4AE398A3" w14:textId="77777777" w:rsidR="008B3E68" w:rsidRPr="004A71CC" w:rsidRDefault="008B3E68" w:rsidP="00F92D6B">
            <w:pPr>
              <w:pStyle w:val="TableBodyText"/>
            </w:pPr>
            <w:r w:rsidRPr="004A71CC">
              <w:t>Charter and purpose</w:t>
            </w:r>
          </w:p>
        </w:tc>
      </w:tr>
      <w:tr w:rsidR="009E23CD" w14:paraId="2CABDC7A" w14:textId="77777777" w:rsidTr="001E2834">
        <w:tc>
          <w:tcPr>
            <w:tcW w:w="0" w:type="dxa"/>
          </w:tcPr>
          <w:p w14:paraId="3DBD3A5C" w14:textId="634F7125" w:rsidR="00F7058B" w:rsidRDefault="00F7058B" w:rsidP="00F7058B">
            <w:pPr>
              <w:pStyle w:val="TableBodyText"/>
            </w:pPr>
            <w:r w:rsidRPr="00F316CD">
              <w:t>FRD 22</w:t>
            </w:r>
          </w:p>
        </w:tc>
        <w:tc>
          <w:tcPr>
            <w:tcW w:w="6095" w:type="dxa"/>
          </w:tcPr>
          <w:p w14:paraId="1F74B078" w14:textId="09557A64" w:rsidR="00F7058B" w:rsidRDefault="00F7058B" w:rsidP="00F7058B">
            <w:pPr>
              <w:pStyle w:val="TableBodyText"/>
            </w:pPr>
            <w:r w:rsidRPr="00841D42">
              <w:t xml:space="preserve">Manner of establishment and the relevant </w:t>
            </w:r>
            <w:r>
              <w:t>m</w:t>
            </w:r>
            <w:r w:rsidRPr="00841D42">
              <w:t>inisters</w:t>
            </w:r>
          </w:p>
        </w:tc>
        <w:tc>
          <w:tcPr>
            <w:tcW w:w="1417" w:type="dxa"/>
          </w:tcPr>
          <w:p w14:paraId="5AA2A54A" w14:textId="7D8E8C21" w:rsidR="00F7058B" w:rsidRDefault="002918A2" w:rsidP="00F7058B">
            <w:pPr>
              <w:pStyle w:val="TableBodyTextrightalign"/>
            </w:pPr>
            <w:r>
              <w:t>v</w:t>
            </w:r>
            <w:r w:rsidR="00571911">
              <w:t>ii,</w:t>
            </w:r>
            <w:r>
              <w:t xml:space="preserve"> </w:t>
            </w:r>
            <w:r w:rsidR="00833F8A">
              <w:t>58</w:t>
            </w:r>
            <w:r w:rsidR="00571911">
              <w:t xml:space="preserve"> </w:t>
            </w:r>
          </w:p>
        </w:tc>
      </w:tr>
      <w:tr w:rsidR="009E23CD" w14:paraId="5C1E21E7" w14:textId="77777777" w:rsidTr="001E2834">
        <w:tc>
          <w:tcPr>
            <w:tcW w:w="0" w:type="dxa"/>
          </w:tcPr>
          <w:p w14:paraId="583610EE" w14:textId="6E3221A1" w:rsidR="00F7058B" w:rsidRDefault="00F7058B" w:rsidP="00F7058B">
            <w:pPr>
              <w:pStyle w:val="TableBodyText"/>
            </w:pPr>
            <w:r w:rsidRPr="00F316CD">
              <w:t>FRD 22</w:t>
            </w:r>
          </w:p>
        </w:tc>
        <w:tc>
          <w:tcPr>
            <w:tcW w:w="6095" w:type="dxa"/>
          </w:tcPr>
          <w:p w14:paraId="2D3467C8" w14:textId="77777777" w:rsidR="00F7058B" w:rsidRDefault="00F7058B" w:rsidP="00F7058B">
            <w:pPr>
              <w:pStyle w:val="TableBodyText"/>
            </w:pPr>
            <w:r w:rsidRPr="00841D42">
              <w:t>Purpose, functions, powers and duties</w:t>
            </w:r>
          </w:p>
        </w:tc>
        <w:tc>
          <w:tcPr>
            <w:tcW w:w="1417" w:type="dxa"/>
          </w:tcPr>
          <w:p w14:paraId="4E7E3E05" w14:textId="4F76939E" w:rsidR="00F7058B" w:rsidRDefault="00AF2BD8" w:rsidP="00F7058B">
            <w:pPr>
              <w:pStyle w:val="TableBodyTextrightalign"/>
            </w:pPr>
            <w:r>
              <w:t>iv–viii</w:t>
            </w:r>
          </w:p>
        </w:tc>
      </w:tr>
      <w:tr w:rsidR="009E23CD" w14:paraId="4381FBED" w14:textId="77777777" w:rsidTr="001E2834">
        <w:tc>
          <w:tcPr>
            <w:tcW w:w="0" w:type="dxa"/>
          </w:tcPr>
          <w:p w14:paraId="0B077DD4" w14:textId="075755C8" w:rsidR="00F7058B" w:rsidRDefault="00F7058B" w:rsidP="00F7058B">
            <w:pPr>
              <w:pStyle w:val="TableBodyText"/>
            </w:pPr>
            <w:r w:rsidRPr="00F316CD">
              <w:t>FRD 8</w:t>
            </w:r>
          </w:p>
        </w:tc>
        <w:tc>
          <w:tcPr>
            <w:tcW w:w="6095" w:type="dxa"/>
          </w:tcPr>
          <w:p w14:paraId="3972D880" w14:textId="77777777" w:rsidR="00F7058B" w:rsidRDefault="00F7058B" w:rsidP="00F7058B">
            <w:pPr>
              <w:pStyle w:val="TableBodyText"/>
            </w:pPr>
            <w:r w:rsidRPr="00841D42">
              <w:t>Objectives, indicators and outputs</w:t>
            </w:r>
          </w:p>
        </w:tc>
        <w:tc>
          <w:tcPr>
            <w:tcW w:w="1417" w:type="dxa"/>
          </w:tcPr>
          <w:p w14:paraId="05E87FF8" w14:textId="34865657" w:rsidR="00F7058B" w:rsidRDefault="002A4294" w:rsidP="00F7058B">
            <w:pPr>
              <w:pStyle w:val="TableBodyTextrightalign"/>
            </w:pPr>
            <w:r>
              <w:t>v</w:t>
            </w:r>
            <w:r w:rsidR="006D6F31">
              <w:t>,</w:t>
            </w:r>
            <w:r>
              <w:t xml:space="preserve"> 26, </w:t>
            </w:r>
            <w:r w:rsidR="00D45272">
              <w:t xml:space="preserve">35, </w:t>
            </w:r>
            <w:r w:rsidR="003011EC">
              <w:t>49</w:t>
            </w:r>
          </w:p>
        </w:tc>
      </w:tr>
      <w:tr w:rsidR="009E23CD" w14:paraId="7C003AE2" w14:textId="77777777" w:rsidTr="001E2834">
        <w:tc>
          <w:tcPr>
            <w:tcW w:w="0" w:type="dxa"/>
          </w:tcPr>
          <w:p w14:paraId="6CAA7ABA" w14:textId="2464CDB8" w:rsidR="00F7058B" w:rsidRDefault="00F7058B" w:rsidP="00F7058B">
            <w:pPr>
              <w:pStyle w:val="TableBodyText"/>
            </w:pPr>
            <w:r w:rsidRPr="00F316CD">
              <w:t>FRD 22</w:t>
            </w:r>
          </w:p>
        </w:tc>
        <w:tc>
          <w:tcPr>
            <w:tcW w:w="6095" w:type="dxa"/>
          </w:tcPr>
          <w:p w14:paraId="63332449" w14:textId="77777777" w:rsidR="00F7058B" w:rsidRDefault="00F7058B" w:rsidP="00F7058B">
            <w:pPr>
              <w:pStyle w:val="TableBodyText"/>
            </w:pPr>
            <w:r w:rsidRPr="00841D42">
              <w:t>Key initiatives and projects</w:t>
            </w:r>
          </w:p>
        </w:tc>
        <w:tc>
          <w:tcPr>
            <w:tcW w:w="1417" w:type="dxa"/>
          </w:tcPr>
          <w:p w14:paraId="3C03E1F5" w14:textId="3F6F8C95" w:rsidR="00F7058B" w:rsidRDefault="00FC0A63" w:rsidP="00F7058B">
            <w:pPr>
              <w:pStyle w:val="TableBodyTextrightalign"/>
            </w:pPr>
            <w:r>
              <w:fldChar w:fldCharType="begin"/>
            </w:r>
            <w:r>
              <w:instrText xml:space="preserve"> PAGEREF _Ref149134501 \h </w:instrText>
            </w:r>
            <w:r>
              <w:fldChar w:fldCharType="separate"/>
            </w:r>
            <w:r>
              <w:rPr>
                <w:noProof/>
              </w:rPr>
              <w:t>19</w:t>
            </w:r>
            <w:r>
              <w:fldChar w:fldCharType="end"/>
            </w:r>
            <w:r w:rsidR="0051268A">
              <w:t xml:space="preserve">, </w:t>
            </w:r>
            <w:r w:rsidR="009609D6">
              <w:fldChar w:fldCharType="begin"/>
            </w:r>
            <w:r w:rsidR="009609D6">
              <w:instrText xml:space="preserve"> PAGEREF _Ref149134411 \h </w:instrText>
            </w:r>
            <w:r w:rsidR="009609D6">
              <w:fldChar w:fldCharType="separate"/>
            </w:r>
            <w:r w:rsidR="009609D6">
              <w:rPr>
                <w:noProof/>
              </w:rPr>
              <w:t>30</w:t>
            </w:r>
            <w:r w:rsidR="009609D6">
              <w:fldChar w:fldCharType="end"/>
            </w:r>
            <w:r>
              <w:t xml:space="preserve">, </w:t>
            </w:r>
            <w:r w:rsidR="0073635C">
              <w:fldChar w:fldCharType="begin"/>
            </w:r>
            <w:r w:rsidR="0073635C">
              <w:instrText xml:space="preserve"> PAGEREF _Ref149134544 \h </w:instrText>
            </w:r>
            <w:r w:rsidR="0073635C">
              <w:fldChar w:fldCharType="separate"/>
            </w:r>
            <w:r w:rsidR="0073635C">
              <w:rPr>
                <w:noProof/>
              </w:rPr>
              <w:t>20</w:t>
            </w:r>
            <w:r w:rsidR="0073635C">
              <w:fldChar w:fldCharType="end"/>
            </w:r>
            <w:r w:rsidR="0073635C">
              <w:t>,</w:t>
            </w:r>
            <w:r w:rsidR="007D5808">
              <w:t xml:space="preserve"> </w:t>
            </w:r>
            <w:r w:rsidR="00F34C82">
              <w:fldChar w:fldCharType="begin"/>
            </w:r>
            <w:r w:rsidR="00F34C82">
              <w:instrText xml:space="preserve"> PAGEREF _Ref149134750 \h </w:instrText>
            </w:r>
            <w:r w:rsidR="00F34C82">
              <w:fldChar w:fldCharType="separate"/>
            </w:r>
            <w:r w:rsidR="00F34C82">
              <w:rPr>
                <w:noProof/>
              </w:rPr>
              <w:t>45</w:t>
            </w:r>
            <w:r w:rsidR="00F34C82">
              <w:fldChar w:fldCharType="end"/>
            </w:r>
            <w:r w:rsidR="00F34C82">
              <w:t xml:space="preserve">, </w:t>
            </w:r>
            <w:r w:rsidR="00F34C82">
              <w:fldChar w:fldCharType="begin"/>
            </w:r>
            <w:r w:rsidR="00F34C82">
              <w:instrText xml:space="preserve"> PAGEREF _Ref149134786 \h </w:instrText>
            </w:r>
            <w:r w:rsidR="00F34C82">
              <w:fldChar w:fldCharType="separate"/>
            </w:r>
            <w:r w:rsidR="00F34C82">
              <w:rPr>
                <w:noProof/>
              </w:rPr>
              <w:t>55</w:t>
            </w:r>
            <w:r w:rsidR="00F34C82">
              <w:fldChar w:fldCharType="end"/>
            </w:r>
            <w:r w:rsidR="003123E3">
              <w:t xml:space="preserve">, </w:t>
            </w:r>
            <w:r w:rsidR="008B3FE8">
              <w:fldChar w:fldCharType="begin"/>
            </w:r>
            <w:r w:rsidR="008B3FE8">
              <w:instrText xml:space="preserve"> PAGEREF _Ref149134821 \h </w:instrText>
            </w:r>
            <w:r w:rsidR="008B3FE8">
              <w:fldChar w:fldCharType="separate"/>
            </w:r>
            <w:r w:rsidR="008B3FE8">
              <w:rPr>
                <w:noProof/>
              </w:rPr>
              <w:t>56</w:t>
            </w:r>
            <w:r w:rsidR="008B3FE8">
              <w:fldChar w:fldCharType="end"/>
            </w:r>
            <w:r w:rsidR="007D5808">
              <w:t xml:space="preserve"> </w:t>
            </w:r>
            <w:r w:rsidR="0073635C">
              <w:t xml:space="preserve"> </w:t>
            </w:r>
          </w:p>
        </w:tc>
      </w:tr>
      <w:tr w:rsidR="009E23CD" w14:paraId="44375594" w14:textId="77777777" w:rsidTr="001E2834">
        <w:tc>
          <w:tcPr>
            <w:tcW w:w="0" w:type="dxa"/>
          </w:tcPr>
          <w:p w14:paraId="2FDFE9DD" w14:textId="55CF8427" w:rsidR="00F7058B" w:rsidRDefault="00F7058B" w:rsidP="00F7058B">
            <w:pPr>
              <w:pStyle w:val="TableBodyText"/>
            </w:pPr>
            <w:r w:rsidRPr="00F316CD">
              <w:t>FRD 22</w:t>
            </w:r>
          </w:p>
        </w:tc>
        <w:tc>
          <w:tcPr>
            <w:tcW w:w="6095" w:type="dxa"/>
          </w:tcPr>
          <w:p w14:paraId="3C1B7D35" w14:textId="77777777" w:rsidR="00F7058B" w:rsidRDefault="00F7058B" w:rsidP="00F7058B">
            <w:pPr>
              <w:pStyle w:val="TableBodyText"/>
            </w:pPr>
            <w:r w:rsidRPr="00841D42">
              <w:t>Nature and range of services provided</w:t>
            </w:r>
          </w:p>
        </w:tc>
        <w:tc>
          <w:tcPr>
            <w:tcW w:w="1417" w:type="dxa"/>
          </w:tcPr>
          <w:p w14:paraId="059F1D65" w14:textId="4B0FC1A2" w:rsidR="00F7058B" w:rsidRDefault="00440A1E" w:rsidP="00F7058B">
            <w:pPr>
              <w:pStyle w:val="TableBodyTextrightalign"/>
            </w:pPr>
            <w:r>
              <w:t xml:space="preserve">iv, </w:t>
            </w:r>
            <w:r w:rsidR="00AB3257">
              <w:t xml:space="preserve">vi, </w:t>
            </w:r>
            <w:r w:rsidR="00115A3E">
              <w:t xml:space="preserve">16, </w:t>
            </w:r>
            <w:r w:rsidR="00CF1EB4">
              <w:fldChar w:fldCharType="begin"/>
            </w:r>
            <w:r w:rsidR="00CF1EB4">
              <w:instrText xml:space="preserve"> PAGEREF _Ref149135107 \h </w:instrText>
            </w:r>
            <w:r w:rsidR="00CF1EB4">
              <w:fldChar w:fldCharType="separate"/>
            </w:r>
            <w:r w:rsidR="00CF1EB4">
              <w:rPr>
                <w:noProof/>
              </w:rPr>
              <w:t>19</w:t>
            </w:r>
            <w:r w:rsidR="00CF1EB4">
              <w:fldChar w:fldCharType="end"/>
            </w:r>
            <w:r w:rsidR="00C86B47">
              <w:t xml:space="preserve">, </w:t>
            </w:r>
            <w:r w:rsidR="00C86B47">
              <w:fldChar w:fldCharType="begin"/>
            </w:r>
            <w:r w:rsidR="00C86B47">
              <w:instrText xml:space="preserve"> PAGEREF _Ref149135142 \h </w:instrText>
            </w:r>
            <w:r w:rsidR="00C86B47">
              <w:fldChar w:fldCharType="separate"/>
            </w:r>
            <w:r w:rsidR="00C86B47">
              <w:rPr>
                <w:noProof/>
              </w:rPr>
              <w:t>21</w:t>
            </w:r>
            <w:r w:rsidR="00C86B47">
              <w:fldChar w:fldCharType="end"/>
            </w:r>
            <w:r w:rsidR="00F41A0C">
              <w:t xml:space="preserve">. </w:t>
            </w:r>
            <w:r w:rsidR="00E1052E">
              <w:fldChar w:fldCharType="begin"/>
            </w:r>
            <w:r w:rsidR="00E1052E">
              <w:instrText xml:space="preserve"> PAGEREF _Ref143606178 \h </w:instrText>
            </w:r>
            <w:r w:rsidR="00E1052E">
              <w:fldChar w:fldCharType="separate"/>
            </w:r>
            <w:r w:rsidR="00E1052E">
              <w:rPr>
                <w:noProof/>
              </w:rPr>
              <w:t>26</w:t>
            </w:r>
            <w:r w:rsidR="00E1052E">
              <w:fldChar w:fldCharType="end"/>
            </w:r>
            <w:r w:rsidR="0041133A">
              <w:t xml:space="preserve">, </w:t>
            </w:r>
            <w:r w:rsidR="000C7F45">
              <w:fldChar w:fldCharType="begin"/>
            </w:r>
            <w:r w:rsidR="000C7F45">
              <w:instrText xml:space="preserve"> PAGEREF _Ref149135282 \h </w:instrText>
            </w:r>
            <w:r w:rsidR="000C7F45">
              <w:fldChar w:fldCharType="separate"/>
            </w:r>
            <w:r w:rsidR="000C7F45">
              <w:rPr>
                <w:noProof/>
              </w:rPr>
              <w:t>33</w:t>
            </w:r>
            <w:r w:rsidR="000C7F45">
              <w:fldChar w:fldCharType="end"/>
            </w:r>
            <w:r w:rsidR="0041133A">
              <w:t xml:space="preserve">, </w:t>
            </w:r>
            <w:r w:rsidR="00A421C4">
              <w:fldChar w:fldCharType="begin"/>
            </w:r>
            <w:r w:rsidR="00A421C4">
              <w:instrText xml:space="preserve"> PAGEREF _Ref149135318 \h </w:instrText>
            </w:r>
            <w:r w:rsidR="00A421C4">
              <w:fldChar w:fldCharType="separate"/>
            </w:r>
            <w:r w:rsidR="00A421C4">
              <w:rPr>
                <w:noProof/>
              </w:rPr>
              <w:t>42</w:t>
            </w:r>
            <w:r w:rsidR="00A421C4">
              <w:fldChar w:fldCharType="end"/>
            </w:r>
            <w:r w:rsidR="0041133A">
              <w:t xml:space="preserve">, </w:t>
            </w:r>
            <w:r w:rsidR="0041133A">
              <w:fldChar w:fldCharType="begin"/>
            </w:r>
            <w:r w:rsidR="0041133A">
              <w:instrText xml:space="preserve"> PAGEREF _Ref149135346 \h </w:instrText>
            </w:r>
            <w:r w:rsidR="0041133A">
              <w:fldChar w:fldCharType="separate"/>
            </w:r>
            <w:r w:rsidR="0041133A">
              <w:rPr>
                <w:noProof/>
              </w:rPr>
              <w:t>46</w:t>
            </w:r>
            <w:r w:rsidR="0041133A">
              <w:fldChar w:fldCharType="end"/>
            </w:r>
          </w:p>
        </w:tc>
      </w:tr>
      <w:tr w:rsidR="008B3E68" w14:paraId="7B7112A1" w14:textId="77777777" w:rsidTr="001E2834">
        <w:tc>
          <w:tcPr>
            <w:tcW w:w="9072" w:type="dxa"/>
            <w:gridSpan w:val="3"/>
          </w:tcPr>
          <w:p w14:paraId="19DAD6D9" w14:textId="77777777" w:rsidR="008B3E68" w:rsidRPr="00F92D6B" w:rsidRDefault="008B3E68" w:rsidP="00F92D6B">
            <w:pPr>
              <w:pStyle w:val="TableBodyText"/>
            </w:pPr>
            <w:r w:rsidRPr="00F92D6B">
              <w:t>Management and structure</w:t>
            </w:r>
          </w:p>
        </w:tc>
      </w:tr>
      <w:tr w:rsidR="009E23CD" w14:paraId="7D852FAC" w14:textId="77777777" w:rsidTr="001E2834">
        <w:tc>
          <w:tcPr>
            <w:tcW w:w="0" w:type="dxa"/>
          </w:tcPr>
          <w:p w14:paraId="3BE4957D" w14:textId="02A20F6E" w:rsidR="008B3E68" w:rsidRDefault="008B3E68" w:rsidP="00ED0DC5">
            <w:pPr>
              <w:pStyle w:val="TableBodyText"/>
            </w:pPr>
            <w:r w:rsidRPr="006C1C8B">
              <w:t>FRD 22</w:t>
            </w:r>
          </w:p>
        </w:tc>
        <w:tc>
          <w:tcPr>
            <w:tcW w:w="6095" w:type="dxa"/>
          </w:tcPr>
          <w:p w14:paraId="4B479E92" w14:textId="77777777" w:rsidR="008B3E68" w:rsidRDefault="008B3E68" w:rsidP="00ED0DC5">
            <w:pPr>
              <w:pStyle w:val="TableBodyText"/>
            </w:pPr>
            <w:r w:rsidRPr="006C1C8B">
              <w:t>Organisational structure</w:t>
            </w:r>
          </w:p>
        </w:tc>
        <w:tc>
          <w:tcPr>
            <w:tcW w:w="1417" w:type="dxa"/>
          </w:tcPr>
          <w:p w14:paraId="159B2FCB" w14:textId="5DACD794" w:rsidR="008B3E68" w:rsidRPr="00F41E66" w:rsidRDefault="00116B39" w:rsidP="00ED0DC5">
            <w:pPr>
              <w:pStyle w:val="TableBodyTextrightalign"/>
            </w:pPr>
            <w:r>
              <w:fldChar w:fldCharType="begin"/>
            </w:r>
            <w:r>
              <w:instrText xml:space="preserve"> PAGEREF _Ref149135512 \h </w:instrText>
            </w:r>
            <w:r>
              <w:fldChar w:fldCharType="separate"/>
            </w:r>
            <w:r>
              <w:rPr>
                <w:noProof/>
              </w:rPr>
              <w:t>58</w:t>
            </w:r>
            <w:r>
              <w:fldChar w:fldCharType="end"/>
            </w:r>
            <w:r w:rsidR="001F1B08">
              <w:t xml:space="preserve">, </w:t>
            </w:r>
            <w:r>
              <w:fldChar w:fldCharType="begin"/>
            </w:r>
            <w:r>
              <w:instrText xml:space="preserve"> PAGEREF _Ref149135521 \h </w:instrText>
            </w:r>
            <w:r>
              <w:fldChar w:fldCharType="separate"/>
            </w:r>
            <w:r>
              <w:rPr>
                <w:noProof/>
              </w:rPr>
              <w:t>59</w:t>
            </w:r>
            <w:r>
              <w:fldChar w:fldCharType="end"/>
            </w:r>
          </w:p>
        </w:tc>
      </w:tr>
      <w:tr w:rsidR="008B3E68" w14:paraId="29AA0059" w14:textId="77777777" w:rsidTr="001E2834">
        <w:tc>
          <w:tcPr>
            <w:tcW w:w="9072" w:type="dxa"/>
            <w:gridSpan w:val="3"/>
          </w:tcPr>
          <w:p w14:paraId="7982CAC6" w14:textId="77777777" w:rsidR="008B3E68" w:rsidRPr="00F92D6B" w:rsidRDefault="008B3E68" w:rsidP="00F92D6B">
            <w:pPr>
              <w:pStyle w:val="TableBodyText"/>
            </w:pPr>
            <w:r w:rsidRPr="00F92D6B">
              <w:t>Financial and other information</w:t>
            </w:r>
          </w:p>
        </w:tc>
      </w:tr>
      <w:tr w:rsidR="009E23CD" w14:paraId="54D0CA81" w14:textId="77777777" w:rsidTr="001E2834">
        <w:tc>
          <w:tcPr>
            <w:tcW w:w="0" w:type="dxa"/>
          </w:tcPr>
          <w:p w14:paraId="79DC17E4" w14:textId="6010F30E" w:rsidR="00F7058B" w:rsidRDefault="00F7058B" w:rsidP="00F7058B">
            <w:pPr>
              <w:pStyle w:val="TableBodyText"/>
            </w:pPr>
            <w:r w:rsidRPr="006C1C8B">
              <w:t>FRD 8</w:t>
            </w:r>
          </w:p>
        </w:tc>
        <w:tc>
          <w:tcPr>
            <w:tcW w:w="6095" w:type="dxa"/>
          </w:tcPr>
          <w:p w14:paraId="0B8D8390" w14:textId="77777777" w:rsidR="00F7058B" w:rsidRDefault="00F7058B" w:rsidP="00F7058B">
            <w:pPr>
              <w:pStyle w:val="TableBodyText"/>
            </w:pPr>
            <w:r w:rsidRPr="006C1C8B">
              <w:t>Performance against output performance measures</w:t>
            </w:r>
          </w:p>
        </w:tc>
        <w:tc>
          <w:tcPr>
            <w:tcW w:w="1417" w:type="dxa"/>
          </w:tcPr>
          <w:p w14:paraId="4EFCD6FF" w14:textId="7D8BCA6B" w:rsidR="00F7058B" w:rsidRDefault="00C92C74" w:rsidP="00F7058B">
            <w:pPr>
              <w:pStyle w:val="TableBodyTextrightalign"/>
            </w:pPr>
            <w:r>
              <w:fldChar w:fldCharType="begin"/>
            </w:r>
            <w:r>
              <w:instrText xml:space="preserve"> PAGEREF _Ref149135573 \h </w:instrText>
            </w:r>
            <w:r>
              <w:fldChar w:fldCharType="separate"/>
            </w:r>
            <w:r>
              <w:rPr>
                <w:noProof/>
              </w:rPr>
              <w:t>20</w:t>
            </w:r>
            <w:r>
              <w:fldChar w:fldCharType="end"/>
            </w:r>
            <w:r w:rsidR="001E32D8">
              <w:t xml:space="preserve">, </w:t>
            </w:r>
            <w:r>
              <w:fldChar w:fldCharType="begin"/>
            </w:r>
            <w:r>
              <w:instrText xml:space="preserve"> PAGEREF _Ref149135590 \h </w:instrText>
            </w:r>
            <w:r>
              <w:fldChar w:fldCharType="separate"/>
            </w:r>
            <w:r>
              <w:rPr>
                <w:noProof/>
              </w:rPr>
              <w:t>21</w:t>
            </w:r>
            <w:r>
              <w:fldChar w:fldCharType="end"/>
            </w:r>
            <w:r w:rsidR="001E32D8">
              <w:t xml:space="preserve">, </w:t>
            </w:r>
            <w:r w:rsidR="00DC639B">
              <w:fldChar w:fldCharType="begin"/>
            </w:r>
            <w:r w:rsidR="00DC639B">
              <w:instrText xml:space="preserve"> PAGEREF _Ref149135728 \h </w:instrText>
            </w:r>
            <w:r w:rsidR="00DC639B">
              <w:fldChar w:fldCharType="separate"/>
            </w:r>
            <w:r w:rsidR="00DC639B">
              <w:rPr>
                <w:noProof/>
              </w:rPr>
              <w:t>34</w:t>
            </w:r>
            <w:r w:rsidR="00DC639B">
              <w:fldChar w:fldCharType="end"/>
            </w:r>
            <w:r w:rsidR="001E32D8">
              <w:t xml:space="preserve">, </w:t>
            </w:r>
            <w:r w:rsidR="00DC639B">
              <w:fldChar w:fldCharType="begin"/>
            </w:r>
            <w:r w:rsidR="00DC639B">
              <w:instrText xml:space="preserve"> PAGEREF _Ref149135730 \h </w:instrText>
            </w:r>
            <w:r w:rsidR="00DC639B">
              <w:fldChar w:fldCharType="separate"/>
            </w:r>
            <w:r w:rsidR="00DC639B">
              <w:rPr>
                <w:noProof/>
              </w:rPr>
              <w:t>47</w:t>
            </w:r>
            <w:r w:rsidR="00DC639B">
              <w:fldChar w:fldCharType="end"/>
            </w:r>
            <w:r w:rsidR="001E32D8">
              <w:t xml:space="preserve">, </w:t>
            </w:r>
            <w:r w:rsidR="008318DE">
              <w:fldChar w:fldCharType="begin"/>
            </w:r>
            <w:r w:rsidR="008318DE">
              <w:instrText xml:space="preserve"> PAGEREF _Ref149135827 \h </w:instrText>
            </w:r>
            <w:r w:rsidR="008318DE">
              <w:fldChar w:fldCharType="separate"/>
            </w:r>
            <w:r w:rsidR="008318DE">
              <w:rPr>
                <w:noProof/>
              </w:rPr>
              <w:t>20</w:t>
            </w:r>
            <w:r w:rsidR="008318DE">
              <w:fldChar w:fldCharType="end"/>
            </w:r>
            <w:r w:rsidR="001E32D8">
              <w:t xml:space="preserve">, </w:t>
            </w:r>
            <w:r w:rsidR="002A4858">
              <w:fldChar w:fldCharType="begin"/>
            </w:r>
            <w:r w:rsidR="002A4858">
              <w:instrText xml:space="preserve"> PAGEREF _Ref149135833 \h </w:instrText>
            </w:r>
            <w:r w:rsidR="002A4858">
              <w:fldChar w:fldCharType="separate"/>
            </w:r>
            <w:r w:rsidR="002A4858">
              <w:rPr>
                <w:noProof/>
              </w:rPr>
              <w:t>21</w:t>
            </w:r>
            <w:r w:rsidR="002A4858">
              <w:fldChar w:fldCharType="end"/>
            </w:r>
            <w:r w:rsidR="001E32D8">
              <w:t xml:space="preserve">, </w:t>
            </w:r>
            <w:r w:rsidR="002A4858">
              <w:fldChar w:fldCharType="begin"/>
            </w:r>
            <w:r w:rsidR="002A4858">
              <w:instrText xml:space="preserve"> PAGEREF _Ref149135837 \h </w:instrText>
            </w:r>
            <w:r w:rsidR="002A4858">
              <w:fldChar w:fldCharType="separate"/>
            </w:r>
            <w:r w:rsidR="002A4858">
              <w:rPr>
                <w:noProof/>
              </w:rPr>
              <w:t>34</w:t>
            </w:r>
            <w:r w:rsidR="002A4858">
              <w:fldChar w:fldCharType="end"/>
            </w:r>
            <w:r w:rsidR="001E32D8">
              <w:t xml:space="preserve">, </w:t>
            </w:r>
            <w:r w:rsidR="002A4858">
              <w:fldChar w:fldCharType="begin"/>
            </w:r>
            <w:r w:rsidR="002A4858">
              <w:instrText xml:space="preserve"> PAGEREF _Ref149135840 \h </w:instrText>
            </w:r>
            <w:r w:rsidR="002A4858">
              <w:fldChar w:fldCharType="separate"/>
            </w:r>
            <w:r w:rsidR="002A4858">
              <w:rPr>
                <w:noProof/>
              </w:rPr>
              <w:t>35</w:t>
            </w:r>
            <w:r w:rsidR="002A4858">
              <w:fldChar w:fldCharType="end"/>
            </w:r>
            <w:r w:rsidR="001E32D8">
              <w:t xml:space="preserve">, </w:t>
            </w:r>
            <w:r w:rsidR="002A4858">
              <w:fldChar w:fldCharType="begin"/>
            </w:r>
            <w:r w:rsidR="002A4858">
              <w:instrText xml:space="preserve"> PAGEREF _Ref149135847 \h </w:instrText>
            </w:r>
            <w:r w:rsidR="002A4858">
              <w:fldChar w:fldCharType="separate"/>
            </w:r>
            <w:r w:rsidR="002A4858">
              <w:rPr>
                <w:noProof/>
              </w:rPr>
              <w:t>36</w:t>
            </w:r>
            <w:r w:rsidR="002A4858">
              <w:fldChar w:fldCharType="end"/>
            </w:r>
            <w:r w:rsidR="001E32D8">
              <w:t xml:space="preserve">, </w:t>
            </w:r>
            <w:r w:rsidR="002A4858">
              <w:fldChar w:fldCharType="begin"/>
            </w:r>
            <w:r w:rsidR="002A4858">
              <w:instrText xml:space="preserve"> PAGEREF _Ref149135863 \h </w:instrText>
            </w:r>
            <w:r w:rsidR="002A4858">
              <w:fldChar w:fldCharType="separate"/>
            </w:r>
            <w:r w:rsidR="002A4858">
              <w:rPr>
                <w:noProof/>
              </w:rPr>
              <w:t>37</w:t>
            </w:r>
            <w:r w:rsidR="002A4858">
              <w:fldChar w:fldCharType="end"/>
            </w:r>
            <w:r w:rsidR="001E32D8">
              <w:t xml:space="preserve">, </w:t>
            </w:r>
            <w:r w:rsidR="002A4858">
              <w:fldChar w:fldCharType="begin"/>
            </w:r>
            <w:r w:rsidR="002A4858">
              <w:instrText xml:space="preserve"> PAGEREF _Ref149135864 \h </w:instrText>
            </w:r>
            <w:r w:rsidR="002A4858">
              <w:fldChar w:fldCharType="separate"/>
            </w:r>
            <w:r w:rsidR="002A4858">
              <w:rPr>
                <w:noProof/>
              </w:rPr>
              <w:t>38</w:t>
            </w:r>
            <w:r w:rsidR="002A4858">
              <w:fldChar w:fldCharType="end"/>
            </w:r>
            <w:r w:rsidR="001E32D8">
              <w:t xml:space="preserve">, </w:t>
            </w:r>
            <w:r w:rsidR="002A4858">
              <w:fldChar w:fldCharType="begin"/>
            </w:r>
            <w:r w:rsidR="002A4858">
              <w:instrText xml:space="preserve"> PAGEREF _Ref149135870 \h </w:instrText>
            </w:r>
            <w:r w:rsidR="002A4858">
              <w:fldChar w:fldCharType="separate"/>
            </w:r>
            <w:r w:rsidR="002A4858">
              <w:rPr>
                <w:noProof/>
              </w:rPr>
              <w:t>48</w:t>
            </w:r>
            <w:r w:rsidR="002A4858">
              <w:fldChar w:fldCharType="end"/>
            </w:r>
            <w:r w:rsidR="009E23CD">
              <w:t xml:space="preserve">, </w:t>
            </w:r>
            <w:r w:rsidR="002A4858">
              <w:fldChar w:fldCharType="begin"/>
            </w:r>
            <w:r w:rsidR="002A4858">
              <w:instrText xml:space="preserve"> PAGEREF _Ref149135872 \h </w:instrText>
            </w:r>
            <w:r w:rsidR="002A4858">
              <w:fldChar w:fldCharType="separate"/>
            </w:r>
            <w:r w:rsidR="002A4858">
              <w:rPr>
                <w:noProof/>
              </w:rPr>
              <w:t>49</w:t>
            </w:r>
            <w:r w:rsidR="002A4858">
              <w:fldChar w:fldCharType="end"/>
            </w:r>
            <w:r w:rsidR="009E23CD">
              <w:t>,</w:t>
            </w:r>
            <w:r w:rsidR="002A4858">
              <w:fldChar w:fldCharType="begin"/>
            </w:r>
            <w:r w:rsidR="002A4858">
              <w:instrText xml:space="preserve"> PAGEREF _Ref149135874 \h </w:instrText>
            </w:r>
            <w:r w:rsidR="002A4858">
              <w:fldChar w:fldCharType="separate"/>
            </w:r>
            <w:r w:rsidR="002A4858">
              <w:rPr>
                <w:noProof/>
              </w:rPr>
              <w:t>50</w:t>
            </w:r>
            <w:r w:rsidR="002A4858">
              <w:fldChar w:fldCharType="end"/>
            </w:r>
            <w:r w:rsidR="009E23CD">
              <w:t xml:space="preserve">, </w:t>
            </w:r>
            <w:r w:rsidR="002A4858">
              <w:fldChar w:fldCharType="begin"/>
            </w:r>
            <w:r w:rsidR="002A4858">
              <w:instrText xml:space="preserve"> PAGEREF _Ref149135877 \h </w:instrText>
            </w:r>
            <w:r w:rsidR="002A4858">
              <w:fldChar w:fldCharType="separate"/>
            </w:r>
            <w:r w:rsidR="002A4858">
              <w:rPr>
                <w:noProof/>
              </w:rPr>
              <w:t>50</w:t>
            </w:r>
            <w:r w:rsidR="002A4858">
              <w:fldChar w:fldCharType="end"/>
            </w:r>
            <w:r w:rsidR="00541FBD">
              <w:t xml:space="preserve">, </w:t>
            </w:r>
            <w:r w:rsidR="002A4858">
              <w:fldChar w:fldCharType="begin"/>
            </w:r>
            <w:r w:rsidR="002A4858">
              <w:instrText xml:space="preserve"> PAGEREF _Ref149135883 \h </w:instrText>
            </w:r>
            <w:r w:rsidR="002A4858">
              <w:fldChar w:fldCharType="separate"/>
            </w:r>
            <w:r w:rsidR="002A4858">
              <w:rPr>
                <w:noProof/>
              </w:rPr>
              <w:t>51</w:t>
            </w:r>
            <w:r w:rsidR="002A4858">
              <w:fldChar w:fldCharType="end"/>
            </w:r>
            <w:r w:rsidR="00541FBD">
              <w:t xml:space="preserve">, </w:t>
            </w:r>
            <w:r w:rsidR="002A4858">
              <w:fldChar w:fldCharType="begin"/>
            </w:r>
            <w:r w:rsidR="002A4858">
              <w:instrText xml:space="preserve"> PAGEREF _Ref149135885 \h </w:instrText>
            </w:r>
            <w:r w:rsidR="002A4858">
              <w:fldChar w:fldCharType="separate"/>
            </w:r>
            <w:r w:rsidR="002A4858">
              <w:rPr>
                <w:noProof/>
              </w:rPr>
              <w:t>52</w:t>
            </w:r>
            <w:r w:rsidR="002A4858">
              <w:fldChar w:fldCharType="end"/>
            </w:r>
          </w:p>
        </w:tc>
      </w:tr>
      <w:tr w:rsidR="009E23CD" w14:paraId="7ED35FBD" w14:textId="77777777" w:rsidTr="001E2834">
        <w:tc>
          <w:tcPr>
            <w:tcW w:w="0" w:type="dxa"/>
          </w:tcPr>
          <w:p w14:paraId="68F596D8" w14:textId="635D5CF4" w:rsidR="00F7058B" w:rsidRPr="006C1C8B" w:rsidRDefault="00F7058B" w:rsidP="00F7058B">
            <w:pPr>
              <w:pStyle w:val="TableBodyText"/>
            </w:pPr>
            <w:r w:rsidRPr="006C1C8B">
              <w:t>FRD 8</w:t>
            </w:r>
          </w:p>
        </w:tc>
        <w:tc>
          <w:tcPr>
            <w:tcW w:w="6095" w:type="dxa"/>
          </w:tcPr>
          <w:p w14:paraId="30A8D076" w14:textId="77777777" w:rsidR="00F7058B" w:rsidRPr="006C1C8B" w:rsidRDefault="00F7058B" w:rsidP="00F7058B">
            <w:pPr>
              <w:pStyle w:val="TableBodyText"/>
            </w:pPr>
            <w:r>
              <w:t>Budget portfolio outcomes</w:t>
            </w:r>
          </w:p>
        </w:tc>
        <w:tc>
          <w:tcPr>
            <w:tcW w:w="1417" w:type="dxa"/>
          </w:tcPr>
          <w:p w14:paraId="5751F93C" w14:textId="4A48B9EB" w:rsidR="00F7058B" w:rsidRDefault="000B16E0" w:rsidP="00F7058B">
            <w:pPr>
              <w:pStyle w:val="TableBodyTextrightalign"/>
            </w:pPr>
            <w:r>
              <w:t>NA</w:t>
            </w:r>
          </w:p>
        </w:tc>
      </w:tr>
      <w:tr w:rsidR="009E23CD" w14:paraId="650865C1" w14:textId="77777777" w:rsidTr="001E2834">
        <w:tc>
          <w:tcPr>
            <w:tcW w:w="0" w:type="dxa"/>
          </w:tcPr>
          <w:p w14:paraId="0E0CD9E9" w14:textId="28E31068" w:rsidR="00F7058B" w:rsidRDefault="00F7058B" w:rsidP="00F7058B">
            <w:pPr>
              <w:pStyle w:val="TableBodyText"/>
            </w:pPr>
            <w:r w:rsidRPr="006C1C8B">
              <w:t>FRD 10</w:t>
            </w:r>
          </w:p>
        </w:tc>
        <w:tc>
          <w:tcPr>
            <w:tcW w:w="6095" w:type="dxa"/>
          </w:tcPr>
          <w:p w14:paraId="1E108A0D" w14:textId="77777777" w:rsidR="00F7058B" w:rsidRDefault="00F7058B" w:rsidP="00F7058B">
            <w:pPr>
              <w:pStyle w:val="TableBodyText"/>
            </w:pPr>
            <w:r w:rsidRPr="006C1C8B">
              <w:t>Disclosure index</w:t>
            </w:r>
          </w:p>
        </w:tc>
        <w:tc>
          <w:tcPr>
            <w:tcW w:w="1417" w:type="dxa"/>
          </w:tcPr>
          <w:p w14:paraId="7B8CD65B" w14:textId="07D5BFC7" w:rsidR="00F7058B" w:rsidRDefault="00B23905" w:rsidP="00F7058B">
            <w:pPr>
              <w:pStyle w:val="TableBodyTextrightalign"/>
            </w:pPr>
            <w:r>
              <w:t>89</w:t>
            </w:r>
          </w:p>
        </w:tc>
      </w:tr>
      <w:tr w:rsidR="009E23CD" w14:paraId="1E2C75BE" w14:textId="77777777" w:rsidTr="001E2834">
        <w:tc>
          <w:tcPr>
            <w:tcW w:w="0" w:type="dxa"/>
          </w:tcPr>
          <w:p w14:paraId="0E349155" w14:textId="408D846A" w:rsidR="00F7058B" w:rsidRDefault="00F7058B" w:rsidP="00F7058B">
            <w:pPr>
              <w:pStyle w:val="TableBodyText"/>
            </w:pPr>
            <w:r w:rsidRPr="006C1C8B">
              <w:t>FRD 12</w:t>
            </w:r>
          </w:p>
        </w:tc>
        <w:tc>
          <w:tcPr>
            <w:tcW w:w="6095" w:type="dxa"/>
          </w:tcPr>
          <w:p w14:paraId="11B812CB" w14:textId="77777777" w:rsidR="00F7058B" w:rsidRDefault="00F7058B" w:rsidP="00F7058B">
            <w:pPr>
              <w:pStyle w:val="TableBodyText"/>
            </w:pPr>
            <w:r w:rsidRPr="006C1C8B">
              <w:t>Disclosure of major contracts</w:t>
            </w:r>
          </w:p>
        </w:tc>
        <w:tc>
          <w:tcPr>
            <w:tcW w:w="1417" w:type="dxa"/>
          </w:tcPr>
          <w:p w14:paraId="5DB5AFF7" w14:textId="7BCE3AB1" w:rsidR="00F7058B" w:rsidRDefault="00B23905" w:rsidP="00F7058B">
            <w:pPr>
              <w:pStyle w:val="TableBodyTextrightalign"/>
            </w:pPr>
            <w:r>
              <w:fldChar w:fldCharType="begin"/>
            </w:r>
            <w:r>
              <w:instrText xml:space="preserve"> PAGEREF _Ref149136178 \h </w:instrText>
            </w:r>
            <w:r>
              <w:fldChar w:fldCharType="separate"/>
            </w:r>
            <w:r>
              <w:rPr>
                <w:noProof/>
              </w:rPr>
              <w:t>119</w:t>
            </w:r>
            <w:r>
              <w:fldChar w:fldCharType="end"/>
            </w:r>
          </w:p>
        </w:tc>
      </w:tr>
      <w:tr w:rsidR="009E23CD" w14:paraId="7881005A" w14:textId="77777777" w:rsidTr="001E2834">
        <w:tc>
          <w:tcPr>
            <w:tcW w:w="0" w:type="dxa"/>
          </w:tcPr>
          <w:p w14:paraId="2AADB9CA" w14:textId="105CA64D" w:rsidR="00F7058B" w:rsidRDefault="00F7058B" w:rsidP="00F7058B">
            <w:pPr>
              <w:pStyle w:val="TableBodyText"/>
            </w:pPr>
            <w:r w:rsidRPr="006C1C8B">
              <w:t>FRD 15</w:t>
            </w:r>
          </w:p>
        </w:tc>
        <w:tc>
          <w:tcPr>
            <w:tcW w:w="6095" w:type="dxa"/>
          </w:tcPr>
          <w:p w14:paraId="65BD43F6" w14:textId="77777777" w:rsidR="00F7058B" w:rsidRDefault="00F7058B" w:rsidP="00F7058B">
            <w:pPr>
              <w:pStyle w:val="TableBodyText"/>
            </w:pPr>
            <w:r w:rsidRPr="006C1C8B">
              <w:t>Executive officer disclosures</w:t>
            </w:r>
          </w:p>
        </w:tc>
        <w:tc>
          <w:tcPr>
            <w:tcW w:w="1417" w:type="dxa"/>
          </w:tcPr>
          <w:p w14:paraId="28E51C72" w14:textId="178F1857" w:rsidR="00F7058B" w:rsidRDefault="007033D7" w:rsidP="00F7058B">
            <w:pPr>
              <w:pStyle w:val="TableBodyTextrightalign"/>
            </w:pPr>
            <w:r>
              <w:fldChar w:fldCharType="begin"/>
            </w:r>
            <w:r>
              <w:instrText xml:space="preserve"> PAGEREF _Ref149136305 \h </w:instrText>
            </w:r>
            <w:r>
              <w:fldChar w:fldCharType="separate"/>
            </w:r>
            <w:r>
              <w:rPr>
                <w:noProof/>
              </w:rPr>
              <w:t>101</w:t>
            </w:r>
            <w:r>
              <w:fldChar w:fldCharType="end"/>
            </w:r>
            <w:r w:rsidR="00F60889">
              <w:t xml:space="preserve">, </w:t>
            </w:r>
            <w:r w:rsidR="00F60889">
              <w:fldChar w:fldCharType="begin"/>
            </w:r>
            <w:r w:rsidR="00F60889">
              <w:instrText xml:space="preserve"> PAGEREF _Ref149136340 \h </w:instrText>
            </w:r>
            <w:r w:rsidR="00F60889">
              <w:fldChar w:fldCharType="separate"/>
            </w:r>
            <w:r w:rsidR="00F60889">
              <w:rPr>
                <w:noProof/>
              </w:rPr>
              <w:t>102</w:t>
            </w:r>
            <w:r w:rsidR="00F60889">
              <w:fldChar w:fldCharType="end"/>
            </w:r>
            <w:r w:rsidR="00B72B10">
              <w:t xml:space="preserve">, </w:t>
            </w:r>
            <w:r w:rsidR="00B72B10">
              <w:fldChar w:fldCharType="begin"/>
            </w:r>
            <w:r w:rsidR="00B72B10">
              <w:instrText xml:space="preserve"> PAGEREF _Ref149136385 \h </w:instrText>
            </w:r>
            <w:r w:rsidR="00B72B10">
              <w:fldChar w:fldCharType="separate"/>
            </w:r>
            <w:r w:rsidR="00B72B10">
              <w:rPr>
                <w:noProof/>
              </w:rPr>
              <w:t>114</w:t>
            </w:r>
            <w:r w:rsidR="00B72B10">
              <w:fldChar w:fldCharType="end"/>
            </w:r>
            <w:r w:rsidR="00704CB1">
              <w:t xml:space="preserve">, </w:t>
            </w:r>
            <w:r w:rsidR="00704CB1">
              <w:fldChar w:fldCharType="begin"/>
            </w:r>
            <w:r w:rsidR="00704CB1">
              <w:instrText xml:space="preserve"> PAGEREF _Ref149136401 \h </w:instrText>
            </w:r>
            <w:r w:rsidR="00704CB1">
              <w:fldChar w:fldCharType="separate"/>
            </w:r>
            <w:r w:rsidR="00704CB1">
              <w:rPr>
                <w:noProof/>
              </w:rPr>
              <w:t>115</w:t>
            </w:r>
            <w:r w:rsidR="00704CB1">
              <w:fldChar w:fldCharType="end"/>
            </w:r>
          </w:p>
        </w:tc>
      </w:tr>
      <w:tr w:rsidR="009E23CD" w14:paraId="370B1A30" w14:textId="77777777" w:rsidTr="001E2834">
        <w:tc>
          <w:tcPr>
            <w:tcW w:w="0" w:type="dxa"/>
          </w:tcPr>
          <w:p w14:paraId="07F76CB8" w14:textId="21D844DE" w:rsidR="00F7058B" w:rsidRDefault="00F7058B" w:rsidP="00F7058B">
            <w:pPr>
              <w:pStyle w:val="TableBodyText"/>
            </w:pPr>
            <w:r w:rsidRPr="006C1C8B">
              <w:t>FRD 22</w:t>
            </w:r>
          </w:p>
        </w:tc>
        <w:tc>
          <w:tcPr>
            <w:tcW w:w="6095" w:type="dxa"/>
          </w:tcPr>
          <w:p w14:paraId="3A12713D" w14:textId="77777777" w:rsidR="00F7058B" w:rsidRDefault="00F7058B" w:rsidP="00F7058B">
            <w:pPr>
              <w:pStyle w:val="TableBodyText"/>
            </w:pPr>
            <w:r w:rsidRPr="00EE6E79">
              <w:t>Employment and conduct principles</w:t>
            </w:r>
          </w:p>
        </w:tc>
        <w:tc>
          <w:tcPr>
            <w:tcW w:w="1417" w:type="dxa"/>
          </w:tcPr>
          <w:p w14:paraId="708EF2F2" w14:textId="5CE79106" w:rsidR="00F7058B" w:rsidRDefault="00207B98" w:rsidP="00F7058B">
            <w:pPr>
              <w:pStyle w:val="TableBodyTextrightalign"/>
            </w:pPr>
            <w:r>
              <w:fldChar w:fldCharType="begin"/>
            </w:r>
            <w:r>
              <w:instrText xml:space="preserve"> PAGEREF _Ref149136500 \h </w:instrText>
            </w:r>
            <w:r>
              <w:fldChar w:fldCharType="separate"/>
            </w:r>
            <w:r>
              <w:rPr>
                <w:noProof/>
              </w:rPr>
              <w:t>63</w:t>
            </w:r>
            <w:r>
              <w:fldChar w:fldCharType="end"/>
            </w:r>
          </w:p>
        </w:tc>
      </w:tr>
      <w:tr w:rsidR="009E23CD" w14:paraId="52EF8F3D" w14:textId="77777777" w:rsidTr="001E2834">
        <w:tc>
          <w:tcPr>
            <w:tcW w:w="0" w:type="dxa"/>
          </w:tcPr>
          <w:p w14:paraId="3FF8690C" w14:textId="39A24769" w:rsidR="00F7058B" w:rsidRDefault="00F7058B" w:rsidP="00F7058B">
            <w:pPr>
              <w:pStyle w:val="TableBodyText"/>
            </w:pPr>
            <w:r w:rsidRPr="006C1C8B">
              <w:t>FRD 22</w:t>
            </w:r>
          </w:p>
        </w:tc>
        <w:tc>
          <w:tcPr>
            <w:tcW w:w="6095" w:type="dxa"/>
          </w:tcPr>
          <w:p w14:paraId="37E2C162" w14:textId="453C8728" w:rsidR="00F7058B" w:rsidRDefault="00251C21" w:rsidP="00F7058B">
            <w:pPr>
              <w:pStyle w:val="TableBodyText"/>
            </w:pPr>
            <w:r>
              <w:t>OHS</w:t>
            </w:r>
            <w:r w:rsidR="00F7058B" w:rsidRPr="00EE6E79">
              <w:t xml:space="preserve"> policy</w:t>
            </w:r>
          </w:p>
        </w:tc>
        <w:tc>
          <w:tcPr>
            <w:tcW w:w="1417" w:type="dxa"/>
          </w:tcPr>
          <w:p w14:paraId="1121A625" w14:textId="4E074FB2" w:rsidR="00F7058B" w:rsidRDefault="00E62F7F" w:rsidP="00F7058B">
            <w:pPr>
              <w:pStyle w:val="TableBodyTextrightalign"/>
            </w:pPr>
            <w:r>
              <w:fldChar w:fldCharType="begin"/>
            </w:r>
            <w:r>
              <w:instrText xml:space="preserve"> PAGEREF _Ref149136537 \h </w:instrText>
            </w:r>
            <w:r>
              <w:fldChar w:fldCharType="separate"/>
            </w:r>
            <w:r>
              <w:rPr>
                <w:noProof/>
              </w:rPr>
              <w:t>62</w:t>
            </w:r>
            <w:r>
              <w:fldChar w:fldCharType="end"/>
            </w:r>
          </w:p>
        </w:tc>
      </w:tr>
      <w:tr w:rsidR="009E23CD" w14:paraId="1FF2FBFF" w14:textId="77777777" w:rsidTr="001E2834">
        <w:tc>
          <w:tcPr>
            <w:tcW w:w="0" w:type="dxa"/>
          </w:tcPr>
          <w:p w14:paraId="4B570109" w14:textId="5879CDE6" w:rsidR="00F7058B" w:rsidRDefault="00F7058B" w:rsidP="00F7058B">
            <w:pPr>
              <w:pStyle w:val="TableBodyText"/>
            </w:pPr>
            <w:r w:rsidRPr="006C1C8B">
              <w:t>FRD 22</w:t>
            </w:r>
          </w:p>
        </w:tc>
        <w:tc>
          <w:tcPr>
            <w:tcW w:w="6095" w:type="dxa"/>
          </w:tcPr>
          <w:p w14:paraId="63CF82FF" w14:textId="77777777" w:rsidR="00F7058B" w:rsidRDefault="00F7058B" w:rsidP="00F7058B">
            <w:pPr>
              <w:pStyle w:val="TableBodyText"/>
            </w:pPr>
            <w:r w:rsidRPr="00EE6E79">
              <w:t>Summary of the financial results for the year</w:t>
            </w:r>
          </w:p>
        </w:tc>
        <w:tc>
          <w:tcPr>
            <w:tcW w:w="1417" w:type="dxa"/>
          </w:tcPr>
          <w:p w14:paraId="2AE14A7A" w14:textId="599AF8CD" w:rsidR="00F7058B" w:rsidRDefault="00CA79C8" w:rsidP="00F7058B">
            <w:pPr>
              <w:pStyle w:val="TableBodyTextrightalign"/>
            </w:pPr>
            <w:r>
              <w:fldChar w:fldCharType="begin"/>
            </w:r>
            <w:r>
              <w:instrText xml:space="preserve"> PAGEREF _Ref149136587 \h </w:instrText>
            </w:r>
            <w:r>
              <w:fldChar w:fldCharType="separate"/>
            </w:r>
            <w:r>
              <w:rPr>
                <w:noProof/>
              </w:rPr>
              <w:t>22</w:t>
            </w:r>
            <w:r>
              <w:fldChar w:fldCharType="end"/>
            </w:r>
          </w:p>
        </w:tc>
      </w:tr>
      <w:tr w:rsidR="009E23CD" w14:paraId="1B8B7FF4" w14:textId="77777777" w:rsidTr="001E2834">
        <w:tc>
          <w:tcPr>
            <w:tcW w:w="0" w:type="dxa"/>
          </w:tcPr>
          <w:p w14:paraId="47BA18AA" w14:textId="5911C5FD" w:rsidR="00F7058B" w:rsidRDefault="00F7058B" w:rsidP="00F7058B">
            <w:pPr>
              <w:pStyle w:val="TableBodyText"/>
            </w:pPr>
            <w:r w:rsidRPr="006C1C8B">
              <w:t>FRD 22</w:t>
            </w:r>
          </w:p>
        </w:tc>
        <w:tc>
          <w:tcPr>
            <w:tcW w:w="6095" w:type="dxa"/>
          </w:tcPr>
          <w:p w14:paraId="4950FFFC" w14:textId="77777777" w:rsidR="00F7058B" w:rsidRDefault="00F7058B" w:rsidP="00F7058B">
            <w:pPr>
              <w:pStyle w:val="TableBodyText"/>
            </w:pPr>
            <w:r w:rsidRPr="00EE6E79">
              <w:t>Significant changes in financial position during the year</w:t>
            </w:r>
          </w:p>
        </w:tc>
        <w:tc>
          <w:tcPr>
            <w:tcW w:w="1417" w:type="dxa"/>
          </w:tcPr>
          <w:p w14:paraId="4379324D" w14:textId="6B6884BC" w:rsidR="00F7058B" w:rsidRDefault="00CA79C8" w:rsidP="00F7058B">
            <w:pPr>
              <w:pStyle w:val="TableBodyTextrightalign"/>
            </w:pPr>
            <w:r>
              <w:fldChar w:fldCharType="begin"/>
            </w:r>
            <w:r>
              <w:instrText xml:space="preserve"> PAGEREF _Ref149136587 \h </w:instrText>
            </w:r>
            <w:r>
              <w:fldChar w:fldCharType="separate"/>
            </w:r>
            <w:r>
              <w:rPr>
                <w:noProof/>
              </w:rPr>
              <w:t>22</w:t>
            </w:r>
            <w:r>
              <w:fldChar w:fldCharType="end"/>
            </w:r>
          </w:p>
        </w:tc>
      </w:tr>
      <w:tr w:rsidR="009E23CD" w14:paraId="1B162240" w14:textId="77777777" w:rsidTr="001E2834">
        <w:tc>
          <w:tcPr>
            <w:tcW w:w="0" w:type="dxa"/>
          </w:tcPr>
          <w:p w14:paraId="51B86E29" w14:textId="1C9974A7" w:rsidR="00F7058B" w:rsidRDefault="00F7058B" w:rsidP="00F7058B">
            <w:pPr>
              <w:pStyle w:val="TableBodyText"/>
            </w:pPr>
            <w:r w:rsidRPr="006C1C8B">
              <w:t>FRD 22</w:t>
            </w:r>
          </w:p>
        </w:tc>
        <w:tc>
          <w:tcPr>
            <w:tcW w:w="6095" w:type="dxa"/>
          </w:tcPr>
          <w:p w14:paraId="2B66EF6A" w14:textId="77777777" w:rsidR="00F7058B" w:rsidRDefault="00F7058B" w:rsidP="00F7058B">
            <w:pPr>
              <w:pStyle w:val="TableBodyText"/>
            </w:pPr>
            <w:r w:rsidRPr="00EE6E79">
              <w:t>Major changes or factors affecting performance</w:t>
            </w:r>
          </w:p>
        </w:tc>
        <w:tc>
          <w:tcPr>
            <w:tcW w:w="1417" w:type="dxa"/>
          </w:tcPr>
          <w:p w14:paraId="26FB8B27" w14:textId="42EB6A24" w:rsidR="00F7058B" w:rsidRDefault="00CA79C8" w:rsidP="00F7058B">
            <w:pPr>
              <w:pStyle w:val="TableBodyTextrightalign"/>
            </w:pPr>
            <w:r>
              <w:fldChar w:fldCharType="begin"/>
            </w:r>
            <w:r>
              <w:instrText xml:space="preserve"> PAGEREF _Ref149136587 \h </w:instrText>
            </w:r>
            <w:r>
              <w:fldChar w:fldCharType="separate"/>
            </w:r>
            <w:r>
              <w:rPr>
                <w:noProof/>
              </w:rPr>
              <w:t>22</w:t>
            </w:r>
            <w:r>
              <w:fldChar w:fldCharType="end"/>
            </w:r>
          </w:p>
        </w:tc>
      </w:tr>
      <w:tr w:rsidR="009E23CD" w14:paraId="62A463A3" w14:textId="77777777" w:rsidTr="001E2834">
        <w:tc>
          <w:tcPr>
            <w:tcW w:w="0" w:type="dxa"/>
          </w:tcPr>
          <w:p w14:paraId="3B2CA4E0" w14:textId="0D43ACF7" w:rsidR="00F7058B" w:rsidRDefault="00F7058B" w:rsidP="00F7058B">
            <w:pPr>
              <w:pStyle w:val="TableBodyText"/>
            </w:pPr>
            <w:r w:rsidRPr="006C1C8B">
              <w:t>FRD 22</w:t>
            </w:r>
          </w:p>
        </w:tc>
        <w:tc>
          <w:tcPr>
            <w:tcW w:w="6095" w:type="dxa"/>
          </w:tcPr>
          <w:p w14:paraId="3ABE04FC" w14:textId="77777777" w:rsidR="00F7058B" w:rsidRDefault="00F7058B" w:rsidP="00F7058B">
            <w:pPr>
              <w:pStyle w:val="TableBodyText"/>
            </w:pPr>
            <w:r w:rsidRPr="00EE6E79">
              <w:t>Subsequent events</w:t>
            </w:r>
          </w:p>
        </w:tc>
        <w:tc>
          <w:tcPr>
            <w:tcW w:w="1417" w:type="dxa"/>
          </w:tcPr>
          <w:p w14:paraId="26D208B2" w14:textId="1F8686D0" w:rsidR="00F7058B" w:rsidRDefault="004E5E9A" w:rsidP="00F7058B">
            <w:pPr>
              <w:pStyle w:val="TableBodyTextrightalign"/>
            </w:pPr>
            <w:r>
              <w:fldChar w:fldCharType="begin"/>
            </w:r>
            <w:r>
              <w:instrText xml:space="preserve"> PAGEREF _Ref149136658 \h </w:instrText>
            </w:r>
            <w:r>
              <w:fldChar w:fldCharType="separate"/>
            </w:r>
            <w:r>
              <w:rPr>
                <w:noProof/>
              </w:rPr>
              <w:t>105</w:t>
            </w:r>
            <w:r>
              <w:fldChar w:fldCharType="end"/>
            </w:r>
          </w:p>
        </w:tc>
      </w:tr>
      <w:tr w:rsidR="009E23CD" w14:paraId="388E7083" w14:textId="77777777" w:rsidTr="001E2834">
        <w:tc>
          <w:tcPr>
            <w:tcW w:w="0" w:type="dxa"/>
          </w:tcPr>
          <w:p w14:paraId="578F4F49" w14:textId="25B0F1AD" w:rsidR="00F7058B" w:rsidRDefault="00F7058B" w:rsidP="00F7058B">
            <w:pPr>
              <w:pStyle w:val="TableBodyText"/>
            </w:pPr>
            <w:r w:rsidRPr="006C1C8B">
              <w:t>FRD 22</w:t>
            </w:r>
          </w:p>
        </w:tc>
        <w:tc>
          <w:tcPr>
            <w:tcW w:w="6095" w:type="dxa"/>
          </w:tcPr>
          <w:p w14:paraId="2FE19304" w14:textId="3817D94E" w:rsidR="00F7058B" w:rsidRPr="00A17D54" w:rsidRDefault="00F7058B" w:rsidP="00A17D54">
            <w:pPr>
              <w:pStyle w:val="TableBodyText"/>
            </w:pPr>
            <w:r w:rsidRPr="00EE6E79">
              <w:t>Application and operation of</w:t>
            </w:r>
            <w:r w:rsidR="009A7B61">
              <w:t xml:space="preserve"> the</w:t>
            </w:r>
            <w:r w:rsidRPr="00EE6E79">
              <w:t xml:space="preserve"> </w:t>
            </w:r>
            <w:r w:rsidRPr="00EE6E79">
              <w:rPr>
                <w:rStyle w:val="Characteritalic"/>
              </w:rPr>
              <w:t>Freedom of Information Act 1982</w:t>
            </w:r>
            <w:r w:rsidR="005C1716" w:rsidRPr="00A17D54">
              <w:t xml:space="preserve"> </w:t>
            </w:r>
            <w:r w:rsidR="00A17D54" w:rsidRPr="00A17D54">
              <w:t>(Vic) (FOI Act)</w:t>
            </w:r>
          </w:p>
        </w:tc>
        <w:tc>
          <w:tcPr>
            <w:tcW w:w="1417" w:type="dxa"/>
          </w:tcPr>
          <w:p w14:paraId="7BD1BEB7" w14:textId="20AECED6" w:rsidR="00F7058B" w:rsidRDefault="002A3A89" w:rsidP="00F7058B">
            <w:pPr>
              <w:pStyle w:val="TableBodyTextrightalign"/>
            </w:pPr>
            <w:r>
              <w:fldChar w:fldCharType="begin"/>
            </w:r>
            <w:r>
              <w:instrText xml:space="preserve"> PAGEREF _Ref149136710 \h </w:instrText>
            </w:r>
            <w:r>
              <w:fldChar w:fldCharType="separate"/>
            </w:r>
            <w:r>
              <w:rPr>
                <w:noProof/>
              </w:rPr>
              <w:t>120</w:t>
            </w:r>
            <w:r>
              <w:fldChar w:fldCharType="end"/>
            </w:r>
          </w:p>
        </w:tc>
      </w:tr>
      <w:tr w:rsidR="009E23CD" w14:paraId="78849345" w14:textId="77777777" w:rsidTr="001E2834">
        <w:tc>
          <w:tcPr>
            <w:tcW w:w="0" w:type="dxa"/>
          </w:tcPr>
          <w:p w14:paraId="4B7F1925" w14:textId="7FC61060" w:rsidR="00F7058B" w:rsidRDefault="00F7058B" w:rsidP="00F7058B">
            <w:pPr>
              <w:pStyle w:val="TableBodyText"/>
            </w:pPr>
            <w:r w:rsidRPr="006C1C8B">
              <w:t>FRD 22</w:t>
            </w:r>
          </w:p>
        </w:tc>
        <w:tc>
          <w:tcPr>
            <w:tcW w:w="6095" w:type="dxa"/>
          </w:tcPr>
          <w:p w14:paraId="65F48C30" w14:textId="71FD416C" w:rsidR="00F7058B" w:rsidRDefault="00F7058B" w:rsidP="00F7058B">
            <w:pPr>
              <w:pStyle w:val="TableBodyText"/>
            </w:pPr>
            <w:r w:rsidRPr="00EE6E79">
              <w:t>Compliance with building and maintenance provisions of</w:t>
            </w:r>
            <w:r w:rsidR="009A7B61">
              <w:t xml:space="preserve"> the</w:t>
            </w:r>
            <w:r w:rsidRPr="00EE6E79">
              <w:t xml:space="preserve"> </w:t>
            </w:r>
            <w:r w:rsidRPr="00EE6E79">
              <w:rPr>
                <w:rStyle w:val="Characteritalic"/>
              </w:rPr>
              <w:t>Building Act 1993</w:t>
            </w:r>
            <w:r w:rsidR="00251C21" w:rsidRPr="00251C21">
              <w:t xml:space="preserve"> (Vic)</w:t>
            </w:r>
          </w:p>
        </w:tc>
        <w:tc>
          <w:tcPr>
            <w:tcW w:w="1417" w:type="dxa"/>
          </w:tcPr>
          <w:p w14:paraId="71B2EEEB" w14:textId="4963646C" w:rsidR="00F7058B" w:rsidRDefault="00242B55" w:rsidP="00F7058B">
            <w:pPr>
              <w:pStyle w:val="TableBodyTextrightalign"/>
            </w:pPr>
            <w:r>
              <w:fldChar w:fldCharType="begin"/>
            </w:r>
            <w:r>
              <w:instrText xml:space="preserve"> PAGEREF _Ref149136806 \h </w:instrText>
            </w:r>
            <w:r>
              <w:fldChar w:fldCharType="separate"/>
            </w:r>
            <w:r>
              <w:rPr>
                <w:noProof/>
              </w:rPr>
              <w:t>122</w:t>
            </w:r>
            <w:r>
              <w:fldChar w:fldCharType="end"/>
            </w:r>
          </w:p>
        </w:tc>
      </w:tr>
      <w:tr w:rsidR="009E23CD" w14:paraId="021B4816" w14:textId="77777777" w:rsidTr="001E2834">
        <w:tc>
          <w:tcPr>
            <w:tcW w:w="0" w:type="dxa"/>
          </w:tcPr>
          <w:p w14:paraId="1112BF79" w14:textId="1D6FDE1F" w:rsidR="00F7058B" w:rsidRDefault="00F7058B" w:rsidP="00F7058B">
            <w:pPr>
              <w:pStyle w:val="TableBodyText"/>
            </w:pPr>
            <w:r w:rsidRPr="006C1C8B">
              <w:t>FRD 22</w:t>
            </w:r>
          </w:p>
        </w:tc>
        <w:tc>
          <w:tcPr>
            <w:tcW w:w="6095" w:type="dxa"/>
          </w:tcPr>
          <w:p w14:paraId="17482CBF" w14:textId="77777777" w:rsidR="00F7058B" w:rsidRDefault="00F7058B" w:rsidP="00F7058B">
            <w:pPr>
              <w:pStyle w:val="TableBodyText"/>
            </w:pPr>
            <w:r w:rsidRPr="00EE6E79">
              <w:t>Statement on National Competition Policy</w:t>
            </w:r>
          </w:p>
        </w:tc>
        <w:tc>
          <w:tcPr>
            <w:tcW w:w="1417" w:type="dxa"/>
          </w:tcPr>
          <w:p w14:paraId="46E9602C" w14:textId="6F3CAAA8" w:rsidR="00F7058B" w:rsidRDefault="00383FA2" w:rsidP="00F7058B">
            <w:pPr>
              <w:pStyle w:val="TableBodyTextrightalign"/>
            </w:pPr>
            <w:r>
              <w:fldChar w:fldCharType="begin"/>
            </w:r>
            <w:r>
              <w:instrText xml:space="preserve"> PAGEREF _Ref149136829 \h </w:instrText>
            </w:r>
            <w:r>
              <w:fldChar w:fldCharType="separate"/>
            </w:r>
            <w:r>
              <w:rPr>
                <w:noProof/>
              </w:rPr>
              <w:t>122</w:t>
            </w:r>
            <w:r>
              <w:fldChar w:fldCharType="end"/>
            </w:r>
          </w:p>
        </w:tc>
      </w:tr>
      <w:tr w:rsidR="009E23CD" w14:paraId="68331B49" w14:textId="77777777" w:rsidTr="001E2834">
        <w:tc>
          <w:tcPr>
            <w:tcW w:w="0" w:type="dxa"/>
          </w:tcPr>
          <w:p w14:paraId="6BA92E22" w14:textId="15230859" w:rsidR="00F7058B" w:rsidRDefault="00F7058B" w:rsidP="00F7058B">
            <w:pPr>
              <w:pStyle w:val="TableBodyText"/>
            </w:pPr>
            <w:r w:rsidRPr="006C1C8B">
              <w:t>FRD 22</w:t>
            </w:r>
          </w:p>
        </w:tc>
        <w:tc>
          <w:tcPr>
            <w:tcW w:w="6095" w:type="dxa"/>
          </w:tcPr>
          <w:p w14:paraId="545BCCC2" w14:textId="384AD5E4" w:rsidR="00F7058B" w:rsidRDefault="00F7058B" w:rsidP="00F7058B">
            <w:pPr>
              <w:pStyle w:val="TableBodyText"/>
            </w:pPr>
            <w:r>
              <w:t>A</w:t>
            </w:r>
            <w:r w:rsidRPr="00EE6E79">
              <w:t xml:space="preserve">pplication and operation of the </w:t>
            </w:r>
            <w:r w:rsidRPr="00EE6E79">
              <w:rPr>
                <w:rStyle w:val="Characteritalic"/>
              </w:rPr>
              <w:t>Public Interest Disclosures Act 2012</w:t>
            </w:r>
            <w:r w:rsidR="00C005A6" w:rsidRPr="00C005A6">
              <w:t xml:space="preserve"> (Vic)</w:t>
            </w:r>
          </w:p>
        </w:tc>
        <w:tc>
          <w:tcPr>
            <w:tcW w:w="1417" w:type="dxa"/>
          </w:tcPr>
          <w:p w14:paraId="60CB095D" w14:textId="31801DB3" w:rsidR="00F7058B" w:rsidRDefault="00383FA2" w:rsidP="00F7058B">
            <w:pPr>
              <w:pStyle w:val="TableBodyTextrightalign"/>
            </w:pPr>
            <w:r>
              <w:fldChar w:fldCharType="begin"/>
            </w:r>
            <w:r>
              <w:instrText xml:space="preserve"> PAGEREF _Ref149136842 \h </w:instrText>
            </w:r>
            <w:r>
              <w:fldChar w:fldCharType="separate"/>
            </w:r>
            <w:r>
              <w:rPr>
                <w:noProof/>
              </w:rPr>
              <w:t>122</w:t>
            </w:r>
            <w:r>
              <w:fldChar w:fldCharType="end"/>
            </w:r>
          </w:p>
        </w:tc>
      </w:tr>
      <w:tr w:rsidR="009E23CD" w14:paraId="4113CCAF" w14:textId="77777777" w:rsidTr="001E2834">
        <w:tc>
          <w:tcPr>
            <w:tcW w:w="0" w:type="dxa"/>
          </w:tcPr>
          <w:p w14:paraId="0BAAABF2" w14:textId="0942AA0E" w:rsidR="00F7058B" w:rsidRDefault="00F7058B" w:rsidP="00F7058B">
            <w:pPr>
              <w:pStyle w:val="TableBodyText"/>
            </w:pPr>
            <w:r w:rsidRPr="006C1C8B">
              <w:t>FRD 22</w:t>
            </w:r>
          </w:p>
        </w:tc>
        <w:tc>
          <w:tcPr>
            <w:tcW w:w="6095" w:type="dxa"/>
          </w:tcPr>
          <w:p w14:paraId="2D931006" w14:textId="732050AD" w:rsidR="00F7058B" w:rsidRDefault="00F7058B" w:rsidP="00F7058B">
            <w:pPr>
              <w:pStyle w:val="TableBodyText"/>
            </w:pPr>
            <w:r w:rsidRPr="00EE6E79">
              <w:t xml:space="preserve">Application and operation of the </w:t>
            </w:r>
            <w:r w:rsidRPr="00EE6E79">
              <w:rPr>
                <w:rStyle w:val="Characteritalic"/>
              </w:rPr>
              <w:t>Carers Recognition Act 2012</w:t>
            </w:r>
            <w:r w:rsidR="00C005A6" w:rsidRPr="00C005A6">
              <w:t xml:space="preserve"> (Vic)</w:t>
            </w:r>
          </w:p>
        </w:tc>
        <w:tc>
          <w:tcPr>
            <w:tcW w:w="1417" w:type="dxa"/>
          </w:tcPr>
          <w:p w14:paraId="7DDA76FD" w14:textId="49D3198D" w:rsidR="00F7058B" w:rsidRDefault="00383FA2" w:rsidP="00F7058B">
            <w:pPr>
              <w:pStyle w:val="TableBodyTextrightalign"/>
            </w:pPr>
            <w:r>
              <w:fldChar w:fldCharType="begin"/>
            </w:r>
            <w:r>
              <w:instrText xml:space="preserve"> PAGEREF _Ref149136857 \h </w:instrText>
            </w:r>
            <w:r>
              <w:fldChar w:fldCharType="separate"/>
            </w:r>
            <w:r>
              <w:rPr>
                <w:noProof/>
              </w:rPr>
              <w:t>123</w:t>
            </w:r>
            <w:r>
              <w:fldChar w:fldCharType="end"/>
            </w:r>
          </w:p>
        </w:tc>
      </w:tr>
      <w:tr w:rsidR="009E23CD" w14:paraId="1571AAE3" w14:textId="77777777" w:rsidTr="001E2834">
        <w:tc>
          <w:tcPr>
            <w:tcW w:w="0" w:type="dxa"/>
          </w:tcPr>
          <w:p w14:paraId="2FA02A52" w14:textId="6BDFE4E1" w:rsidR="00F7058B" w:rsidRDefault="00F7058B" w:rsidP="00F7058B">
            <w:pPr>
              <w:pStyle w:val="TableBodyText"/>
            </w:pPr>
            <w:r w:rsidRPr="006C1C8B">
              <w:t>FRD 22</w:t>
            </w:r>
          </w:p>
        </w:tc>
        <w:tc>
          <w:tcPr>
            <w:tcW w:w="6095" w:type="dxa"/>
          </w:tcPr>
          <w:p w14:paraId="2E844FFA" w14:textId="77777777" w:rsidR="00F7058B" w:rsidRDefault="00F7058B" w:rsidP="00F7058B">
            <w:pPr>
              <w:pStyle w:val="TableBodyText"/>
            </w:pPr>
            <w:r w:rsidRPr="00EE6E79">
              <w:t>Details of consultancies over $10</w:t>
            </w:r>
            <w:r>
              <w:t>,</w:t>
            </w:r>
            <w:r w:rsidRPr="00EE6E79">
              <w:t>000</w:t>
            </w:r>
          </w:p>
        </w:tc>
        <w:tc>
          <w:tcPr>
            <w:tcW w:w="1417" w:type="dxa"/>
          </w:tcPr>
          <w:p w14:paraId="24FCE88A" w14:textId="7BFE1F2D" w:rsidR="00F7058B" w:rsidRDefault="00E92020" w:rsidP="00F7058B">
            <w:pPr>
              <w:pStyle w:val="TableBodyTextrightalign"/>
            </w:pPr>
            <w:r>
              <w:fldChar w:fldCharType="begin"/>
            </w:r>
            <w:r>
              <w:instrText xml:space="preserve"> PAGEREF _Ref149136878 \h </w:instrText>
            </w:r>
            <w:r>
              <w:fldChar w:fldCharType="separate"/>
            </w:r>
            <w:r>
              <w:rPr>
                <w:noProof/>
              </w:rPr>
              <w:t>118</w:t>
            </w:r>
            <w:r>
              <w:fldChar w:fldCharType="end"/>
            </w:r>
          </w:p>
        </w:tc>
      </w:tr>
      <w:tr w:rsidR="009E23CD" w14:paraId="6F8BD854" w14:textId="77777777" w:rsidTr="001E2834">
        <w:tc>
          <w:tcPr>
            <w:tcW w:w="0" w:type="dxa"/>
          </w:tcPr>
          <w:p w14:paraId="44B57525" w14:textId="79A5179A" w:rsidR="00F7058B" w:rsidRDefault="00F7058B" w:rsidP="00F7058B">
            <w:pPr>
              <w:pStyle w:val="TableBodyText"/>
            </w:pPr>
            <w:r w:rsidRPr="006C1C8B">
              <w:t>FRD 22</w:t>
            </w:r>
          </w:p>
        </w:tc>
        <w:tc>
          <w:tcPr>
            <w:tcW w:w="6095" w:type="dxa"/>
          </w:tcPr>
          <w:p w14:paraId="005BEC81" w14:textId="77777777" w:rsidR="00F7058B" w:rsidRDefault="00F7058B" w:rsidP="00F7058B">
            <w:pPr>
              <w:pStyle w:val="TableBodyText"/>
            </w:pPr>
            <w:r w:rsidRPr="00EE6E79">
              <w:t>Details of consultancies under $10</w:t>
            </w:r>
            <w:r>
              <w:t>,</w:t>
            </w:r>
            <w:r w:rsidRPr="00EE6E79">
              <w:t>000</w:t>
            </w:r>
          </w:p>
        </w:tc>
        <w:tc>
          <w:tcPr>
            <w:tcW w:w="1417" w:type="dxa"/>
          </w:tcPr>
          <w:p w14:paraId="618CBF18" w14:textId="167D8652" w:rsidR="00F7058B" w:rsidRDefault="00E92020" w:rsidP="00F7058B">
            <w:pPr>
              <w:pStyle w:val="TableBodyTextrightalign"/>
            </w:pPr>
            <w:r>
              <w:fldChar w:fldCharType="begin"/>
            </w:r>
            <w:r>
              <w:instrText xml:space="preserve"> PAGEREF _Ref149136887 \h </w:instrText>
            </w:r>
            <w:r>
              <w:fldChar w:fldCharType="separate"/>
            </w:r>
            <w:r>
              <w:rPr>
                <w:noProof/>
              </w:rPr>
              <w:t>119</w:t>
            </w:r>
            <w:r>
              <w:fldChar w:fldCharType="end"/>
            </w:r>
          </w:p>
        </w:tc>
      </w:tr>
      <w:tr w:rsidR="009E23CD" w14:paraId="328BE2EB" w14:textId="77777777" w:rsidTr="001E2834">
        <w:tc>
          <w:tcPr>
            <w:tcW w:w="0" w:type="dxa"/>
          </w:tcPr>
          <w:p w14:paraId="62F70A38" w14:textId="06C76F80" w:rsidR="00F7058B" w:rsidRDefault="00F7058B" w:rsidP="00F7058B">
            <w:pPr>
              <w:pStyle w:val="TableBodyText"/>
            </w:pPr>
            <w:r w:rsidRPr="006C1C8B">
              <w:t>FRD 22</w:t>
            </w:r>
          </w:p>
        </w:tc>
        <w:tc>
          <w:tcPr>
            <w:tcW w:w="6095" w:type="dxa"/>
          </w:tcPr>
          <w:p w14:paraId="3A50025A" w14:textId="77777777" w:rsidR="00F7058B" w:rsidRDefault="00F7058B" w:rsidP="00F7058B">
            <w:pPr>
              <w:pStyle w:val="TableBodyText"/>
            </w:pPr>
            <w:r w:rsidRPr="00EE6E79">
              <w:t>Disclosure of government advertising expenditure</w:t>
            </w:r>
          </w:p>
        </w:tc>
        <w:tc>
          <w:tcPr>
            <w:tcW w:w="1417" w:type="dxa"/>
          </w:tcPr>
          <w:p w14:paraId="2A7701C6" w14:textId="1F04AABB" w:rsidR="00F7058B" w:rsidRDefault="00E92020" w:rsidP="00F7058B">
            <w:pPr>
              <w:pStyle w:val="TableBodyTextrightalign"/>
            </w:pPr>
            <w:r>
              <w:fldChar w:fldCharType="begin"/>
            </w:r>
            <w:r>
              <w:instrText xml:space="preserve"> PAGEREF _Ref149136899 \h </w:instrText>
            </w:r>
            <w:r>
              <w:fldChar w:fldCharType="separate"/>
            </w:r>
            <w:r>
              <w:rPr>
                <w:noProof/>
              </w:rPr>
              <w:t>118</w:t>
            </w:r>
            <w:r>
              <w:fldChar w:fldCharType="end"/>
            </w:r>
          </w:p>
        </w:tc>
      </w:tr>
      <w:tr w:rsidR="009E23CD" w14:paraId="6D276344" w14:textId="77777777" w:rsidTr="001E2834">
        <w:tc>
          <w:tcPr>
            <w:tcW w:w="0" w:type="dxa"/>
          </w:tcPr>
          <w:p w14:paraId="3B8D30FB" w14:textId="04A5ADCD" w:rsidR="00F7058B" w:rsidRDefault="00F7058B" w:rsidP="00F7058B">
            <w:pPr>
              <w:pStyle w:val="TableBodyText"/>
            </w:pPr>
            <w:r w:rsidRPr="006C1C8B">
              <w:t>FRD 22</w:t>
            </w:r>
          </w:p>
        </w:tc>
        <w:tc>
          <w:tcPr>
            <w:tcW w:w="6095" w:type="dxa"/>
          </w:tcPr>
          <w:p w14:paraId="329CDE55" w14:textId="77777777" w:rsidR="00F7058B" w:rsidRDefault="00F7058B" w:rsidP="00F7058B">
            <w:pPr>
              <w:pStyle w:val="TableBodyText"/>
            </w:pPr>
            <w:r w:rsidRPr="00EE6E79">
              <w:t>Disclosure of ICT expenditure</w:t>
            </w:r>
          </w:p>
        </w:tc>
        <w:tc>
          <w:tcPr>
            <w:tcW w:w="1417" w:type="dxa"/>
          </w:tcPr>
          <w:p w14:paraId="470A31DA" w14:textId="08BF5863" w:rsidR="00F7058B" w:rsidRDefault="00E92020" w:rsidP="00F7058B">
            <w:pPr>
              <w:pStyle w:val="TableBodyTextrightalign"/>
            </w:pPr>
            <w:r>
              <w:fldChar w:fldCharType="begin"/>
            </w:r>
            <w:r>
              <w:instrText xml:space="preserve"> PAGEREF _Ref149136909 \h </w:instrText>
            </w:r>
            <w:r>
              <w:fldChar w:fldCharType="separate"/>
            </w:r>
            <w:r>
              <w:rPr>
                <w:noProof/>
              </w:rPr>
              <w:t>119</w:t>
            </w:r>
            <w:r>
              <w:fldChar w:fldCharType="end"/>
            </w:r>
          </w:p>
        </w:tc>
      </w:tr>
      <w:tr w:rsidR="009E23CD" w14:paraId="219165EB" w14:textId="77777777" w:rsidTr="001E2834">
        <w:tc>
          <w:tcPr>
            <w:tcW w:w="0" w:type="dxa"/>
          </w:tcPr>
          <w:p w14:paraId="1B181733" w14:textId="71163ABE" w:rsidR="00F7058B" w:rsidRDefault="00F7058B" w:rsidP="00F7058B">
            <w:pPr>
              <w:pStyle w:val="TableBodyText"/>
            </w:pPr>
            <w:r w:rsidRPr="006C1C8B">
              <w:t>FRD 22</w:t>
            </w:r>
          </w:p>
        </w:tc>
        <w:tc>
          <w:tcPr>
            <w:tcW w:w="6095" w:type="dxa"/>
          </w:tcPr>
          <w:p w14:paraId="063EBDCC" w14:textId="77777777" w:rsidR="00F7058B" w:rsidRDefault="00F7058B" w:rsidP="00F7058B">
            <w:pPr>
              <w:pStyle w:val="TableBodyText"/>
            </w:pPr>
            <w:r w:rsidRPr="00EE6E79">
              <w:t>Statement of availability of other information</w:t>
            </w:r>
          </w:p>
        </w:tc>
        <w:tc>
          <w:tcPr>
            <w:tcW w:w="1417" w:type="dxa"/>
          </w:tcPr>
          <w:p w14:paraId="3003EC6A" w14:textId="162932B1" w:rsidR="00F7058B" w:rsidRDefault="009768C7" w:rsidP="00F7058B">
            <w:pPr>
              <w:pStyle w:val="TableBodyTextrightalign"/>
            </w:pPr>
            <w:r>
              <w:fldChar w:fldCharType="begin"/>
            </w:r>
            <w:r>
              <w:instrText xml:space="preserve"> PAGEREF _Ref149162851 \h </w:instrText>
            </w:r>
            <w:r>
              <w:fldChar w:fldCharType="separate"/>
            </w:r>
            <w:r>
              <w:rPr>
                <w:noProof/>
              </w:rPr>
              <w:t>132</w:t>
            </w:r>
            <w:r>
              <w:fldChar w:fldCharType="end"/>
            </w:r>
          </w:p>
        </w:tc>
      </w:tr>
      <w:tr w:rsidR="009E23CD" w14:paraId="40946996" w14:textId="77777777" w:rsidTr="001E2834">
        <w:tc>
          <w:tcPr>
            <w:tcW w:w="0" w:type="dxa"/>
          </w:tcPr>
          <w:p w14:paraId="61FF9FD1" w14:textId="0C2926B2" w:rsidR="00F7058B" w:rsidRPr="006C1C8B" w:rsidRDefault="00F7058B" w:rsidP="00F7058B">
            <w:pPr>
              <w:pStyle w:val="TableBodyText"/>
            </w:pPr>
            <w:r w:rsidRPr="006C1C8B">
              <w:t>FRD 24</w:t>
            </w:r>
          </w:p>
        </w:tc>
        <w:tc>
          <w:tcPr>
            <w:tcW w:w="6095" w:type="dxa"/>
          </w:tcPr>
          <w:p w14:paraId="26A2FEA7" w14:textId="77777777" w:rsidR="00F7058B" w:rsidRDefault="00F7058B" w:rsidP="00F7058B">
            <w:pPr>
              <w:pStyle w:val="TableBodyText"/>
            </w:pPr>
            <w:r w:rsidRPr="00EE6E79">
              <w:t>Reporting of office-based environmental impacts</w:t>
            </w:r>
          </w:p>
        </w:tc>
        <w:tc>
          <w:tcPr>
            <w:tcW w:w="1417" w:type="dxa"/>
          </w:tcPr>
          <w:p w14:paraId="56100B75" w14:textId="54FE4526" w:rsidR="00F7058B" w:rsidRDefault="00457261" w:rsidP="00F7058B">
            <w:pPr>
              <w:pStyle w:val="TableBodyTextrightalign"/>
            </w:pPr>
            <w:r>
              <w:fldChar w:fldCharType="begin"/>
            </w:r>
            <w:r>
              <w:instrText xml:space="preserve"> PAGEREF _Ref149137061 \h </w:instrText>
            </w:r>
            <w:r>
              <w:fldChar w:fldCharType="separate"/>
            </w:r>
            <w:r>
              <w:rPr>
                <w:noProof/>
              </w:rPr>
              <w:t>131</w:t>
            </w:r>
            <w:r>
              <w:fldChar w:fldCharType="end"/>
            </w:r>
          </w:p>
        </w:tc>
      </w:tr>
      <w:tr w:rsidR="009E23CD" w14:paraId="7CBEBA21" w14:textId="77777777" w:rsidTr="001E2834">
        <w:tc>
          <w:tcPr>
            <w:tcW w:w="0" w:type="dxa"/>
          </w:tcPr>
          <w:p w14:paraId="18A3706B" w14:textId="3BB625A4" w:rsidR="00F7058B" w:rsidRPr="006C1C8B" w:rsidRDefault="00F7058B" w:rsidP="00F7058B">
            <w:pPr>
              <w:pStyle w:val="TableBodyText"/>
            </w:pPr>
            <w:r w:rsidRPr="006C1C8B">
              <w:t>FRD 25</w:t>
            </w:r>
          </w:p>
        </w:tc>
        <w:tc>
          <w:tcPr>
            <w:tcW w:w="6095" w:type="dxa"/>
          </w:tcPr>
          <w:p w14:paraId="511C72F1" w14:textId="77777777" w:rsidR="00F7058B" w:rsidRDefault="00F7058B" w:rsidP="00F7058B">
            <w:pPr>
              <w:pStyle w:val="TableBodyText"/>
            </w:pPr>
            <w:r w:rsidRPr="00EE6E79">
              <w:t>Local Jobs First</w:t>
            </w:r>
          </w:p>
        </w:tc>
        <w:tc>
          <w:tcPr>
            <w:tcW w:w="1417" w:type="dxa"/>
          </w:tcPr>
          <w:p w14:paraId="4B72589F" w14:textId="4BCF120F" w:rsidR="00F7058B" w:rsidRDefault="006A24B4" w:rsidP="00F7058B">
            <w:pPr>
              <w:pStyle w:val="TableBodyTextrightalign"/>
            </w:pPr>
            <w:r>
              <w:fldChar w:fldCharType="begin"/>
            </w:r>
            <w:r>
              <w:instrText xml:space="preserve"> PAGEREF _Ref149162906 \h </w:instrText>
            </w:r>
            <w:r>
              <w:fldChar w:fldCharType="separate"/>
            </w:r>
            <w:r>
              <w:rPr>
                <w:noProof/>
              </w:rPr>
              <w:t>118</w:t>
            </w:r>
            <w:r>
              <w:fldChar w:fldCharType="end"/>
            </w:r>
          </w:p>
        </w:tc>
      </w:tr>
      <w:tr w:rsidR="009E23CD" w14:paraId="3500FA88" w14:textId="77777777" w:rsidTr="001E2834">
        <w:tc>
          <w:tcPr>
            <w:tcW w:w="0" w:type="dxa"/>
          </w:tcPr>
          <w:p w14:paraId="3BF7732F" w14:textId="0B296C38" w:rsidR="00F7058B" w:rsidRPr="006C1C8B" w:rsidRDefault="00F7058B" w:rsidP="00F7058B">
            <w:pPr>
              <w:pStyle w:val="TableBodyText"/>
            </w:pPr>
            <w:r w:rsidRPr="006C1C8B">
              <w:t>FRD 2C</w:t>
            </w:r>
          </w:p>
        </w:tc>
        <w:tc>
          <w:tcPr>
            <w:tcW w:w="6095" w:type="dxa"/>
          </w:tcPr>
          <w:p w14:paraId="1F0A9AD5" w14:textId="29C7B122" w:rsidR="00F7058B" w:rsidRDefault="00F7058B" w:rsidP="00F7058B">
            <w:pPr>
              <w:pStyle w:val="TableBodyText"/>
            </w:pPr>
            <w:r w:rsidRPr="00EE6E79">
              <w:t xml:space="preserve">Workforce </w:t>
            </w:r>
            <w:r>
              <w:t>d</w:t>
            </w:r>
            <w:r w:rsidRPr="00EE6E79">
              <w:t>ata disclosures</w:t>
            </w:r>
          </w:p>
        </w:tc>
        <w:tc>
          <w:tcPr>
            <w:tcW w:w="1417" w:type="dxa"/>
          </w:tcPr>
          <w:p w14:paraId="74E29F2A" w14:textId="283ACC8E" w:rsidR="00F7058B" w:rsidRDefault="006C3EC9" w:rsidP="00F7058B">
            <w:pPr>
              <w:pStyle w:val="TableBodyTextrightalign"/>
            </w:pPr>
            <w:r>
              <w:t>111–115</w:t>
            </w:r>
          </w:p>
        </w:tc>
      </w:tr>
      <w:tr w:rsidR="009E23CD" w14:paraId="0CEF2A8D" w14:textId="77777777" w:rsidTr="001E2834">
        <w:tc>
          <w:tcPr>
            <w:tcW w:w="0" w:type="dxa"/>
          </w:tcPr>
          <w:p w14:paraId="0197F905" w14:textId="77777777" w:rsidR="00F7058B" w:rsidRPr="006C1C8B" w:rsidRDefault="00F7058B" w:rsidP="00F7058B">
            <w:pPr>
              <w:pStyle w:val="TableBodyText"/>
            </w:pPr>
            <w:r w:rsidRPr="006C1C8B">
              <w:t>SD 5.2</w:t>
            </w:r>
          </w:p>
        </w:tc>
        <w:tc>
          <w:tcPr>
            <w:tcW w:w="6095" w:type="dxa"/>
          </w:tcPr>
          <w:p w14:paraId="3E38DE7A" w14:textId="77777777" w:rsidR="00F7058B" w:rsidRDefault="00F7058B" w:rsidP="00F7058B">
            <w:pPr>
              <w:pStyle w:val="TableBodyText"/>
            </w:pPr>
            <w:r w:rsidRPr="00EE6E79">
              <w:t>Specific requirements under Standing Direction 5.2</w:t>
            </w:r>
          </w:p>
        </w:tc>
        <w:tc>
          <w:tcPr>
            <w:tcW w:w="1417" w:type="dxa"/>
          </w:tcPr>
          <w:p w14:paraId="26BBC7DD" w14:textId="58071249" w:rsidR="00F7058B" w:rsidRDefault="00135FC3" w:rsidP="00F7058B">
            <w:pPr>
              <w:pStyle w:val="TableBodyTextrightalign"/>
            </w:pPr>
            <w:r>
              <w:t xml:space="preserve">ii, </w:t>
            </w:r>
            <w:r w:rsidR="00FA321A">
              <w:t>64</w:t>
            </w:r>
          </w:p>
        </w:tc>
      </w:tr>
      <w:tr w:rsidR="008B3E68" w14:paraId="0CE734DD" w14:textId="77777777" w:rsidTr="001E2834">
        <w:tc>
          <w:tcPr>
            <w:tcW w:w="9072" w:type="dxa"/>
            <w:gridSpan w:val="3"/>
          </w:tcPr>
          <w:p w14:paraId="4E401EB7" w14:textId="77777777" w:rsidR="008B3E68" w:rsidRPr="005C1716" w:rsidRDefault="008B3E68" w:rsidP="005C1716">
            <w:pPr>
              <w:pStyle w:val="TableBodyText"/>
            </w:pPr>
            <w:r w:rsidRPr="005C1716">
              <w:t>Compliance attestation and declaration</w:t>
            </w:r>
          </w:p>
        </w:tc>
      </w:tr>
      <w:tr w:rsidR="009E23CD" w14:paraId="02C463B6" w14:textId="77777777" w:rsidTr="001E2834">
        <w:tc>
          <w:tcPr>
            <w:tcW w:w="0" w:type="dxa"/>
          </w:tcPr>
          <w:p w14:paraId="1CE3C8B8" w14:textId="77777777" w:rsidR="00F7058B" w:rsidRPr="006C1C8B" w:rsidRDefault="00F7058B" w:rsidP="00F7058B">
            <w:pPr>
              <w:pStyle w:val="TableBodyText"/>
            </w:pPr>
            <w:r w:rsidRPr="00793BDC">
              <w:t>SD 5.4.1</w:t>
            </w:r>
          </w:p>
        </w:tc>
        <w:tc>
          <w:tcPr>
            <w:tcW w:w="6095" w:type="dxa"/>
          </w:tcPr>
          <w:p w14:paraId="69980ACA" w14:textId="77777777" w:rsidR="00F7058B" w:rsidRDefault="00F7058B" w:rsidP="00F7058B">
            <w:pPr>
              <w:pStyle w:val="TableBodyText"/>
            </w:pPr>
            <w:r w:rsidRPr="00793BDC">
              <w:t>Attestation for compliance with Ministerial Standing Direction</w:t>
            </w:r>
          </w:p>
        </w:tc>
        <w:tc>
          <w:tcPr>
            <w:tcW w:w="1417" w:type="dxa"/>
          </w:tcPr>
          <w:p w14:paraId="08E2E052" w14:textId="6D22E4C9" w:rsidR="00F7058B" w:rsidRDefault="000A6741" w:rsidP="00F7058B">
            <w:pPr>
              <w:pStyle w:val="TableBodyTextrightalign"/>
            </w:pPr>
            <w:r>
              <w:t>118</w:t>
            </w:r>
          </w:p>
        </w:tc>
      </w:tr>
      <w:tr w:rsidR="009E23CD" w14:paraId="4C25A152" w14:textId="77777777" w:rsidTr="001E2834">
        <w:tc>
          <w:tcPr>
            <w:tcW w:w="0" w:type="dxa"/>
          </w:tcPr>
          <w:p w14:paraId="43320041" w14:textId="77777777" w:rsidR="00F7058B" w:rsidRPr="006C1C8B" w:rsidRDefault="00F7058B" w:rsidP="00F7058B">
            <w:pPr>
              <w:pStyle w:val="TableBodyText"/>
            </w:pPr>
            <w:r w:rsidRPr="00793BDC">
              <w:t>SD 5.2.3</w:t>
            </w:r>
          </w:p>
        </w:tc>
        <w:tc>
          <w:tcPr>
            <w:tcW w:w="6095" w:type="dxa"/>
          </w:tcPr>
          <w:p w14:paraId="70408DDC" w14:textId="77777777" w:rsidR="00F7058B" w:rsidRDefault="00F7058B" w:rsidP="00F7058B">
            <w:pPr>
              <w:pStyle w:val="TableBodyText"/>
            </w:pPr>
            <w:r w:rsidRPr="00793BDC">
              <w:t>Declaration in report of operations</w:t>
            </w:r>
          </w:p>
        </w:tc>
        <w:tc>
          <w:tcPr>
            <w:tcW w:w="1417" w:type="dxa"/>
          </w:tcPr>
          <w:p w14:paraId="778F365E" w14:textId="3B6C19D6" w:rsidR="00F7058B" w:rsidRDefault="00510B5A" w:rsidP="00F7058B">
            <w:pPr>
              <w:pStyle w:val="TableBodyTextrightalign"/>
            </w:pPr>
            <w:r>
              <w:t>ii</w:t>
            </w:r>
          </w:p>
        </w:tc>
      </w:tr>
      <w:tr w:rsidR="008B3E68" w14:paraId="5CE1692E" w14:textId="77777777" w:rsidTr="001E2834">
        <w:tc>
          <w:tcPr>
            <w:tcW w:w="9072" w:type="dxa"/>
            <w:gridSpan w:val="3"/>
          </w:tcPr>
          <w:p w14:paraId="5AAA934A" w14:textId="77777777" w:rsidR="008B3E68" w:rsidRDefault="008B3E68" w:rsidP="00ED0DC5">
            <w:pPr>
              <w:pStyle w:val="TableBodyTextsmall"/>
            </w:pPr>
          </w:p>
        </w:tc>
      </w:tr>
      <w:tr w:rsidR="008B3E68" w14:paraId="0EA362A8" w14:textId="77777777" w:rsidTr="001E2834">
        <w:tc>
          <w:tcPr>
            <w:tcW w:w="9072" w:type="dxa"/>
            <w:gridSpan w:val="3"/>
            <w:shd w:val="clear" w:color="auto" w:fill="F2F2F2" w:themeFill="background1" w:themeFillShade="F2"/>
          </w:tcPr>
          <w:p w14:paraId="4E8CE7BF" w14:textId="77777777" w:rsidR="008B3E68" w:rsidRPr="00793BDC" w:rsidRDefault="008B3E68" w:rsidP="00ED0DC5">
            <w:pPr>
              <w:pStyle w:val="TableBodyText"/>
              <w:rPr>
                <w:rStyle w:val="Characterbold"/>
              </w:rPr>
            </w:pPr>
            <w:r w:rsidRPr="00793BDC">
              <w:rPr>
                <w:rStyle w:val="Characterbold"/>
              </w:rPr>
              <w:t>Financial statements</w:t>
            </w:r>
          </w:p>
        </w:tc>
      </w:tr>
      <w:tr w:rsidR="008B3E68" w14:paraId="529C60B5" w14:textId="77777777" w:rsidTr="001E2834">
        <w:tc>
          <w:tcPr>
            <w:tcW w:w="9072" w:type="dxa"/>
            <w:gridSpan w:val="3"/>
          </w:tcPr>
          <w:p w14:paraId="2D0C7976" w14:textId="77777777" w:rsidR="008B3E68" w:rsidRPr="00111F72" w:rsidRDefault="008B3E68" w:rsidP="00111F72">
            <w:pPr>
              <w:pStyle w:val="TableBodyText"/>
            </w:pPr>
            <w:r w:rsidRPr="00111F72">
              <w:t>Declaration</w:t>
            </w:r>
          </w:p>
        </w:tc>
      </w:tr>
      <w:tr w:rsidR="009E23CD" w14:paraId="0CA52EAB" w14:textId="77777777" w:rsidTr="001E2834">
        <w:tc>
          <w:tcPr>
            <w:tcW w:w="0" w:type="dxa"/>
          </w:tcPr>
          <w:p w14:paraId="5436EC79" w14:textId="77777777" w:rsidR="008B3E68" w:rsidRPr="006C1C8B" w:rsidRDefault="008B3E68" w:rsidP="00ED0DC5">
            <w:pPr>
              <w:pStyle w:val="TableBodyText"/>
            </w:pPr>
            <w:r w:rsidRPr="00BB3FF5">
              <w:t>SD 5.2.2</w:t>
            </w:r>
          </w:p>
        </w:tc>
        <w:tc>
          <w:tcPr>
            <w:tcW w:w="6095" w:type="dxa"/>
          </w:tcPr>
          <w:p w14:paraId="5A1ACD4D" w14:textId="77777777" w:rsidR="008B3E68" w:rsidRDefault="008B3E68" w:rsidP="00ED0DC5">
            <w:pPr>
              <w:pStyle w:val="TableBodyText"/>
            </w:pPr>
            <w:r w:rsidRPr="00BB3FF5">
              <w:t>Declaration in financial statements</w:t>
            </w:r>
          </w:p>
        </w:tc>
        <w:tc>
          <w:tcPr>
            <w:tcW w:w="1417" w:type="dxa"/>
          </w:tcPr>
          <w:p w14:paraId="5142D9AA" w14:textId="3339C626" w:rsidR="008B3E68" w:rsidRPr="0025324A" w:rsidRDefault="002614BF" w:rsidP="00ED0DC5">
            <w:pPr>
              <w:pStyle w:val="TableBodyTextrightalign"/>
            </w:pPr>
            <w:r>
              <w:t>64</w:t>
            </w:r>
          </w:p>
        </w:tc>
      </w:tr>
      <w:tr w:rsidR="008B3E68" w14:paraId="5DE8E325" w14:textId="77777777" w:rsidTr="001E2834">
        <w:tc>
          <w:tcPr>
            <w:tcW w:w="9072" w:type="dxa"/>
            <w:gridSpan w:val="3"/>
          </w:tcPr>
          <w:p w14:paraId="37FC1CC7" w14:textId="77777777" w:rsidR="008B3E68" w:rsidRPr="006B4923" w:rsidRDefault="008B3E68" w:rsidP="006B4923">
            <w:pPr>
              <w:pStyle w:val="TableBodyText"/>
            </w:pPr>
            <w:r w:rsidRPr="006B4923">
              <w:t>Other requirements under Standing Directions 5.2</w:t>
            </w:r>
          </w:p>
        </w:tc>
      </w:tr>
      <w:tr w:rsidR="009E23CD" w14:paraId="0DFE1BB4" w14:textId="77777777" w:rsidTr="001E2834">
        <w:tc>
          <w:tcPr>
            <w:tcW w:w="0" w:type="dxa"/>
          </w:tcPr>
          <w:p w14:paraId="4A5EEF03" w14:textId="77777777" w:rsidR="00F7058B" w:rsidRPr="006C1C8B" w:rsidRDefault="00F7058B" w:rsidP="00F7058B">
            <w:pPr>
              <w:pStyle w:val="TableBodyText"/>
            </w:pPr>
            <w:r w:rsidRPr="00BB3FF5">
              <w:t>SD 5.2.1(a)</w:t>
            </w:r>
          </w:p>
        </w:tc>
        <w:tc>
          <w:tcPr>
            <w:tcW w:w="6095" w:type="dxa"/>
          </w:tcPr>
          <w:p w14:paraId="3704277F" w14:textId="77777777" w:rsidR="00F7058B" w:rsidRDefault="00F7058B" w:rsidP="00F7058B">
            <w:pPr>
              <w:pStyle w:val="TableBodyText"/>
            </w:pPr>
            <w:r w:rsidRPr="00BB3FF5">
              <w:t xml:space="preserve">Compliance with Australian </w:t>
            </w:r>
            <w:r>
              <w:t>A</w:t>
            </w:r>
            <w:r w:rsidRPr="00BB3FF5">
              <w:t xml:space="preserve">ccounting </w:t>
            </w:r>
            <w:r>
              <w:t>S</w:t>
            </w:r>
            <w:r w:rsidRPr="00BB3FF5">
              <w:t>tandards and other authoritative pronouncements</w:t>
            </w:r>
          </w:p>
        </w:tc>
        <w:tc>
          <w:tcPr>
            <w:tcW w:w="1417" w:type="dxa"/>
          </w:tcPr>
          <w:p w14:paraId="356C1212" w14:textId="11FEF9FE" w:rsidR="00F7058B" w:rsidRDefault="00224F23" w:rsidP="00F7058B">
            <w:pPr>
              <w:pStyle w:val="TableBodyTextrightalign"/>
            </w:pPr>
            <w:r>
              <w:t xml:space="preserve">64–66, </w:t>
            </w:r>
            <w:r w:rsidR="0091782A">
              <w:fldChar w:fldCharType="begin"/>
            </w:r>
            <w:r w:rsidR="0091782A">
              <w:instrText xml:space="preserve"> PAGEREF _Ref149163657 \h </w:instrText>
            </w:r>
            <w:r w:rsidR="0091782A">
              <w:fldChar w:fldCharType="separate"/>
            </w:r>
            <w:r w:rsidR="0091782A">
              <w:rPr>
                <w:noProof/>
              </w:rPr>
              <w:t>72</w:t>
            </w:r>
            <w:r w:rsidR="0091782A">
              <w:fldChar w:fldCharType="end"/>
            </w:r>
          </w:p>
        </w:tc>
      </w:tr>
      <w:tr w:rsidR="009E23CD" w14:paraId="33015617" w14:textId="77777777" w:rsidTr="001E2834">
        <w:tc>
          <w:tcPr>
            <w:tcW w:w="0" w:type="dxa"/>
          </w:tcPr>
          <w:p w14:paraId="68796FBA" w14:textId="77777777" w:rsidR="00F7058B" w:rsidRPr="006C1C8B" w:rsidRDefault="00F7058B" w:rsidP="00F7058B">
            <w:pPr>
              <w:pStyle w:val="TableBodyText"/>
            </w:pPr>
            <w:r w:rsidRPr="00BB3FF5">
              <w:t>SD 5.2.1(a)</w:t>
            </w:r>
          </w:p>
        </w:tc>
        <w:tc>
          <w:tcPr>
            <w:tcW w:w="6095" w:type="dxa"/>
          </w:tcPr>
          <w:p w14:paraId="15C01A46" w14:textId="77777777" w:rsidR="00F7058B" w:rsidRDefault="00F7058B" w:rsidP="00F7058B">
            <w:pPr>
              <w:pStyle w:val="TableBodyText"/>
            </w:pPr>
            <w:r w:rsidRPr="00BB3FF5">
              <w:t>Compliance with Standing Directions</w:t>
            </w:r>
          </w:p>
        </w:tc>
        <w:tc>
          <w:tcPr>
            <w:tcW w:w="1417" w:type="dxa"/>
          </w:tcPr>
          <w:p w14:paraId="05BCB1E5" w14:textId="01D51637" w:rsidR="00F7058B" w:rsidRDefault="001F2028" w:rsidP="00F7058B">
            <w:pPr>
              <w:pStyle w:val="TableBodyTextrightalign"/>
            </w:pPr>
            <w:r>
              <w:t>64</w:t>
            </w:r>
          </w:p>
        </w:tc>
      </w:tr>
      <w:tr w:rsidR="009E23CD" w14:paraId="66356B12" w14:textId="77777777" w:rsidTr="001E2834">
        <w:tc>
          <w:tcPr>
            <w:tcW w:w="0" w:type="dxa"/>
          </w:tcPr>
          <w:p w14:paraId="55507729" w14:textId="77777777" w:rsidR="00F7058B" w:rsidRPr="006C1C8B" w:rsidRDefault="00F7058B" w:rsidP="00F7058B">
            <w:pPr>
              <w:pStyle w:val="TableBodyText"/>
            </w:pPr>
            <w:r w:rsidRPr="00BB3FF5">
              <w:t>SD 5.2.1(</w:t>
            </w:r>
            <w:r>
              <w:t>b</w:t>
            </w:r>
            <w:r w:rsidRPr="00BB3FF5">
              <w:t>)</w:t>
            </w:r>
          </w:p>
        </w:tc>
        <w:tc>
          <w:tcPr>
            <w:tcW w:w="6095" w:type="dxa"/>
          </w:tcPr>
          <w:p w14:paraId="0AF852B0" w14:textId="77777777" w:rsidR="00F7058B" w:rsidRDefault="00F7058B" w:rsidP="00F7058B">
            <w:pPr>
              <w:pStyle w:val="TableBodyText"/>
            </w:pPr>
            <w:r w:rsidRPr="00BB3FF5">
              <w:t xml:space="preserve">Compliance with </w:t>
            </w:r>
            <w:r>
              <w:t>Model Financial Report</w:t>
            </w:r>
          </w:p>
        </w:tc>
        <w:tc>
          <w:tcPr>
            <w:tcW w:w="1417" w:type="dxa"/>
          </w:tcPr>
          <w:p w14:paraId="7388E7E6" w14:textId="2D85EF81" w:rsidR="00F7058B" w:rsidRDefault="001F2028" w:rsidP="00F7058B">
            <w:pPr>
              <w:pStyle w:val="TableBodyTextrightalign"/>
            </w:pPr>
            <w:r>
              <w:t>NA</w:t>
            </w:r>
          </w:p>
        </w:tc>
      </w:tr>
      <w:tr w:rsidR="008B3E68" w14:paraId="48F3FACD" w14:textId="77777777" w:rsidTr="001E2834">
        <w:tc>
          <w:tcPr>
            <w:tcW w:w="9072" w:type="dxa"/>
            <w:gridSpan w:val="3"/>
          </w:tcPr>
          <w:p w14:paraId="2A598FF2" w14:textId="77777777" w:rsidR="008B3E68" w:rsidRPr="006B4923" w:rsidRDefault="008B3E68" w:rsidP="006B4923">
            <w:pPr>
              <w:pStyle w:val="TableBodyText"/>
            </w:pPr>
            <w:r w:rsidRPr="006B4923">
              <w:t>Other disclosures as required by FRDs in notes to the financial statements(a)</w:t>
            </w:r>
          </w:p>
        </w:tc>
      </w:tr>
      <w:tr w:rsidR="009E23CD" w14:paraId="5CDD2426" w14:textId="77777777" w:rsidTr="001E2834">
        <w:tc>
          <w:tcPr>
            <w:tcW w:w="0" w:type="dxa"/>
          </w:tcPr>
          <w:p w14:paraId="52E953AD" w14:textId="77777777" w:rsidR="00F7058B" w:rsidRPr="006C1C8B" w:rsidRDefault="00F7058B" w:rsidP="00F7058B">
            <w:pPr>
              <w:pStyle w:val="TableBodyText"/>
            </w:pPr>
            <w:r w:rsidRPr="000B635F">
              <w:t>FRD 9B</w:t>
            </w:r>
          </w:p>
        </w:tc>
        <w:tc>
          <w:tcPr>
            <w:tcW w:w="6095" w:type="dxa"/>
          </w:tcPr>
          <w:p w14:paraId="5C3BFF71" w14:textId="10B780CE" w:rsidR="00F7058B" w:rsidRDefault="00F7058B" w:rsidP="00F7058B">
            <w:pPr>
              <w:pStyle w:val="TableBodyText"/>
            </w:pPr>
            <w:r w:rsidRPr="00FA7157">
              <w:t xml:space="preserve">Departmental </w:t>
            </w:r>
            <w:r>
              <w:t>d</w:t>
            </w:r>
            <w:r w:rsidRPr="00FA7157">
              <w:t xml:space="preserve">isclosure of </w:t>
            </w:r>
            <w:r>
              <w:t>a</w:t>
            </w:r>
            <w:r w:rsidRPr="00FA7157">
              <w:t xml:space="preserve">dministered </w:t>
            </w:r>
            <w:r>
              <w:t>a</w:t>
            </w:r>
            <w:r w:rsidRPr="00FA7157">
              <w:t xml:space="preserve">ssets and </w:t>
            </w:r>
            <w:r>
              <w:t>l</w:t>
            </w:r>
            <w:r w:rsidRPr="00FA7157">
              <w:t xml:space="preserve">iabilities by </w:t>
            </w:r>
            <w:r>
              <w:t>a</w:t>
            </w:r>
            <w:r w:rsidRPr="00FA7157">
              <w:t>ctivity</w:t>
            </w:r>
          </w:p>
        </w:tc>
        <w:tc>
          <w:tcPr>
            <w:tcW w:w="1417" w:type="dxa"/>
          </w:tcPr>
          <w:p w14:paraId="04C38BF7" w14:textId="7B97D029" w:rsidR="00F7058B" w:rsidRDefault="001F2028" w:rsidP="00F7058B">
            <w:pPr>
              <w:pStyle w:val="TableBodyTextrightalign"/>
            </w:pPr>
            <w:r>
              <w:t>NA</w:t>
            </w:r>
          </w:p>
        </w:tc>
      </w:tr>
      <w:tr w:rsidR="009E23CD" w14:paraId="0D72230B" w14:textId="77777777" w:rsidTr="001E2834">
        <w:tc>
          <w:tcPr>
            <w:tcW w:w="0" w:type="dxa"/>
          </w:tcPr>
          <w:p w14:paraId="2AC0A018" w14:textId="77777777" w:rsidR="00F7058B" w:rsidRPr="006C1C8B" w:rsidRDefault="00F7058B" w:rsidP="00F7058B">
            <w:pPr>
              <w:pStyle w:val="TableBodyText"/>
            </w:pPr>
            <w:r w:rsidRPr="000B635F">
              <w:t>FRD 11A</w:t>
            </w:r>
          </w:p>
        </w:tc>
        <w:tc>
          <w:tcPr>
            <w:tcW w:w="6095" w:type="dxa"/>
          </w:tcPr>
          <w:p w14:paraId="3ACA8DD7" w14:textId="38B2F854" w:rsidR="00F7058B" w:rsidRDefault="00F7058B" w:rsidP="00F7058B">
            <w:pPr>
              <w:pStyle w:val="TableBodyText"/>
            </w:pPr>
            <w:r w:rsidRPr="00FA7157">
              <w:t xml:space="preserve">Disclosure of </w:t>
            </w:r>
            <w:r>
              <w:t>e</w:t>
            </w:r>
            <w:r w:rsidRPr="00FA7157">
              <w:t xml:space="preserve">x gratia </w:t>
            </w:r>
            <w:r>
              <w:t>e</w:t>
            </w:r>
            <w:r w:rsidRPr="00FA7157">
              <w:t>xpenses</w:t>
            </w:r>
          </w:p>
        </w:tc>
        <w:tc>
          <w:tcPr>
            <w:tcW w:w="1417" w:type="dxa"/>
          </w:tcPr>
          <w:p w14:paraId="07B031C6" w14:textId="588D7A42" w:rsidR="00F7058B" w:rsidRDefault="00CD2A79" w:rsidP="00F7058B">
            <w:pPr>
              <w:pStyle w:val="TableBodyTextrightalign"/>
            </w:pPr>
            <w:r>
              <w:fldChar w:fldCharType="begin"/>
            </w:r>
            <w:r>
              <w:instrText xml:space="preserve"> PAGEREF _Ref149163727 \h </w:instrText>
            </w:r>
            <w:r>
              <w:fldChar w:fldCharType="separate"/>
            </w:r>
            <w:r>
              <w:rPr>
                <w:noProof/>
              </w:rPr>
              <w:t>101</w:t>
            </w:r>
            <w:r>
              <w:fldChar w:fldCharType="end"/>
            </w:r>
          </w:p>
        </w:tc>
      </w:tr>
      <w:tr w:rsidR="009E23CD" w14:paraId="4EDF3E7B" w14:textId="77777777" w:rsidTr="001E2834">
        <w:tc>
          <w:tcPr>
            <w:tcW w:w="0" w:type="dxa"/>
          </w:tcPr>
          <w:p w14:paraId="6EB7139E" w14:textId="77777777" w:rsidR="00F7058B" w:rsidRPr="006C1C8B" w:rsidRDefault="00F7058B" w:rsidP="00F7058B">
            <w:pPr>
              <w:pStyle w:val="TableBodyText"/>
            </w:pPr>
            <w:r w:rsidRPr="000B635F">
              <w:t>FRD 13</w:t>
            </w:r>
          </w:p>
        </w:tc>
        <w:tc>
          <w:tcPr>
            <w:tcW w:w="6095" w:type="dxa"/>
          </w:tcPr>
          <w:p w14:paraId="00787E34" w14:textId="3E6F2910" w:rsidR="00F7058B" w:rsidRDefault="00F7058B" w:rsidP="00F7058B">
            <w:pPr>
              <w:pStyle w:val="TableBodyText"/>
            </w:pPr>
            <w:r w:rsidRPr="00FA7157">
              <w:t xml:space="preserve">Disclosure of </w:t>
            </w:r>
            <w:r>
              <w:t>p</w:t>
            </w:r>
            <w:r w:rsidRPr="00FA7157">
              <w:t xml:space="preserve">arliamentary </w:t>
            </w:r>
            <w:r>
              <w:t>a</w:t>
            </w:r>
            <w:r w:rsidRPr="00FA7157">
              <w:t>ppropriations</w:t>
            </w:r>
          </w:p>
        </w:tc>
        <w:tc>
          <w:tcPr>
            <w:tcW w:w="1417" w:type="dxa"/>
          </w:tcPr>
          <w:p w14:paraId="298E304A" w14:textId="214B2310" w:rsidR="00F7058B" w:rsidRDefault="008D2847" w:rsidP="00F7058B">
            <w:pPr>
              <w:pStyle w:val="TableBodyTextrightalign"/>
            </w:pPr>
            <w:r>
              <w:fldChar w:fldCharType="begin"/>
            </w:r>
            <w:r>
              <w:instrText xml:space="preserve"> PAGEREF _Ref82070584 \h </w:instrText>
            </w:r>
            <w:r>
              <w:fldChar w:fldCharType="separate"/>
            </w:r>
            <w:r>
              <w:rPr>
                <w:noProof/>
              </w:rPr>
              <w:t>74</w:t>
            </w:r>
            <w:r>
              <w:fldChar w:fldCharType="end"/>
            </w:r>
          </w:p>
        </w:tc>
      </w:tr>
      <w:tr w:rsidR="009E23CD" w14:paraId="4C81892C" w14:textId="77777777" w:rsidTr="001E2834">
        <w:tc>
          <w:tcPr>
            <w:tcW w:w="0" w:type="dxa"/>
          </w:tcPr>
          <w:p w14:paraId="656CD17B" w14:textId="77777777" w:rsidR="00F7058B" w:rsidRPr="006C1C8B" w:rsidRDefault="00F7058B" w:rsidP="00F7058B">
            <w:pPr>
              <w:pStyle w:val="TableBodyText"/>
            </w:pPr>
            <w:r w:rsidRPr="000B635F">
              <w:t>FRD 21C</w:t>
            </w:r>
          </w:p>
        </w:tc>
        <w:tc>
          <w:tcPr>
            <w:tcW w:w="6095" w:type="dxa"/>
          </w:tcPr>
          <w:p w14:paraId="1AAD4749" w14:textId="520119F9" w:rsidR="00F7058B" w:rsidRDefault="00F7058B" w:rsidP="00F7058B">
            <w:pPr>
              <w:pStyle w:val="TableBodyText"/>
            </w:pPr>
            <w:r w:rsidRPr="00FA7157">
              <w:t xml:space="preserve">Disclosures of </w:t>
            </w:r>
            <w:r>
              <w:t>r</w:t>
            </w:r>
            <w:r w:rsidRPr="00FA7157">
              <w:t xml:space="preserve">esponsible </w:t>
            </w:r>
            <w:r>
              <w:t>p</w:t>
            </w:r>
            <w:r w:rsidRPr="00FA7157">
              <w:t xml:space="preserve">ersons, </w:t>
            </w:r>
            <w:r w:rsidR="00205EBD">
              <w:t>EOs</w:t>
            </w:r>
            <w:r w:rsidRPr="00FA7157">
              <w:t xml:space="preserve"> and other </w:t>
            </w:r>
            <w:r>
              <w:t>p</w:t>
            </w:r>
            <w:r w:rsidRPr="00FA7157">
              <w:t>ersonnel</w:t>
            </w:r>
            <w:r>
              <w:t xml:space="preserve"> </w:t>
            </w:r>
            <w:r w:rsidRPr="00FA7157">
              <w:t>(</w:t>
            </w:r>
            <w:r>
              <w:t>c</w:t>
            </w:r>
            <w:r w:rsidRPr="00FA7157">
              <w:t xml:space="preserve">ontractors with </w:t>
            </w:r>
            <w:r>
              <w:t>s</w:t>
            </w:r>
            <w:r w:rsidRPr="00FA7157">
              <w:t xml:space="preserve">ignificant </w:t>
            </w:r>
            <w:r>
              <w:t>m</w:t>
            </w:r>
            <w:r w:rsidRPr="00FA7157">
              <w:t xml:space="preserve">anagement </w:t>
            </w:r>
            <w:r>
              <w:t>r</w:t>
            </w:r>
            <w:r w:rsidRPr="00FA7157">
              <w:t>esponsibilities) in the Financial Report</w:t>
            </w:r>
          </w:p>
        </w:tc>
        <w:tc>
          <w:tcPr>
            <w:tcW w:w="1417" w:type="dxa"/>
          </w:tcPr>
          <w:p w14:paraId="049468B5" w14:textId="5FA855C4" w:rsidR="00F7058B" w:rsidRDefault="00603547" w:rsidP="00F7058B">
            <w:pPr>
              <w:pStyle w:val="TableBodyTextrightalign"/>
            </w:pPr>
            <w:r>
              <w:fldChar w:fldCharType="begin"/>
            </w:r>
            <w:r>
              <w:instrText xml:space="preserve"> PAGEREF _Ref149136340 \h </w:instrText>
            </w:r>
            <w:r>
              <w:fldChar w:fldCharType="separate"/>
            </w:r>
            <w:r>
              <w:rPr>
                <w:noProof/>
              </w:rPr>
              <w:t>102</w:t>
            </w:r>
            <w:r>
              <w:fldChar w:fldCharType="end"/>
            </w:r>
          </w:p>
        </w:tc>
      </w:tr>
      <w:tr w:rsidR="009E23CD" w14:paraId="0B0E06F1" w14:textId="77777777" w:rsidTr="001E2834">
        <w:tc>
          <w:tcPr>
            <w:tcW w:w="0" w:type="dxa"/>
          </w:tcPr>
          <w:p w14:paraId="20783746" w14:textId="77777777" w:rsidR="00F7058B" w:rsidRPr="006C1C8B" w:rsidRDefault="00F7058B" w:rsidP="00F7058B">
            <w:pPr>
              <w:pStyle w:val="TableBodyText"/>
            </w:pPr>
            <w:r w:rsidRPr="000B635F">
              <w:t>FRD 103H</w:t>
            </w:r>
          </w:p>
        </w:tc>
        <w:tc>
          <w:tcPr>
            <w:tcW w:w="6095" w:type="dxa"/>
          </w:tcPr>
          <w:p w14:paraId="3EED4D8C" w14:textId="6B046E76" w:rsidR="00F7058B" w:rsidRDefault="00F7058B" w:rsidP="00F7058B">
            <w:pPr>
              <w:pStyle w:val="TableBodyText"/>
            </w:pPr>
            <w:r w:rsidRPr="00FA7157">
              <w:t>Non-</w:t>
            </w:r>
            <w:r>
              <w:t>f</w:t>
            </w:r>
            <w:r w:rsidRPr="00FA7157">
              <w:t xml:space="preserve">inancial </w:t>
            </w:r>
            <w:r>
              <w:t>p</w:t>
            </w:r>
            <w:r w:rsidRPr="00FA7157">
              <w:t xml:space="preserve">hysical </w:t>
            </w:r>
            <w:r>
              <w:t>a</w:t>
            </w:r>
            <w:r w:rsidRPr="00FA7157">
              <w:t>ssets</w:t>
            </w:r>
          </w:p>
        </w:tc>
        <w:tc>
          <w:tcPr>
            <w:tcW w:w="1417" w:type="dxa"/>
          </w:tcPr>
          <w:p w14:paraId="30C4DAE3" w14:textId="23416A9A" w:rsidR="00F7058B" w:rsidRDefault="00C560A2" w:rsidP="00F7058B">
            <w:pPr>
              <w:pStyle w:val="TableBodyTextrightalign"/>
            </w:pPr>
            <w:r>
              <w:t xml:space="preserve">69, </w:t>
            </w:r>
            <w:r w:rsidR="00D70313">
              <w:t>80–8</w:t>
            </w:r>
            <w:r w:rsidR="0066203A">
              <w:t>2</w:t>
            </w:r>
            <w:r w:rsidR="00D70313">
              <w:t>,</w:t>
            </w:r>
            <w:r w:rsidR="0013795A">
              <w:t xml:space="preserve"> 97–100,</w:t>
            </w:r>
            <w:r w:rsidR="005A06D7">
              <w:t xml:space="preserve"> </w:t>
            </w:r>
            <w:r w:rsidR="005A06D7">
              <w:fldChar w:fldCharType="begin"/>
            </w:r>
            <w:r w:rsidR="005A06D7">
              <w:instrText xml:space="preserve"> PAGEREF _Ref149164183 \h </w:instrText>
            </w:r>
            <w:r w:rsidR="005A06D7">
              <w:fldChar w:fldCharType="separate"/>
            </w:r>
            <w:r w:rsidR="005A06D7">
              <w:rPr>
                <w:noProof/>
              </w:rPr>
              <w:t>104</w:t>
            </w:r>
            <w:r w:rsidR="005A06D7">
              <w:fldChar w:fldCharType="end"/>
            </w:r>
            <w:r w:rsidR="00D70313">
              <w:t xml:space="preserve"> </w:t>
            </w:r>
          </w:p>
        </w:tc>
      </w:tr>
      <w:tr w:rsidR="009E23CD" w14:paraId="1395D742" w14:textId="77777777" w:rsidTr="001E2834">
        <w:tc>
          <w:tcPr>
            <w:tcW w:w="0" w:type="dxa"/>
          </w:tcPr>
          <w:p w14:paraId="342D022D" w14:textId="77777777" w:rsidR="00F7058B" w:rsidRPr="006C1C8B" w:rsidRDefault="00F7058B" w:rsidP="00F7058B">
            <w:pPr>
              <w:pStyle w:val="TableBodyText"/>
            </w:pPr>
            <w:r w:rsidRPr="000B635F">
              <w:t>FRD 110A</w:t>
            </w:r>
          </w:p>
        </w:tc>
        <w:tc>
          <w:tcPr>
            <w:tcW w:w="6095" w:type="dxa"/>
          </w:tcPr>
          <w:p w14:paraId="3DB93BC9" w14:textId="38038857" w:rsidR="00F7058B" w:rsidRDefault="00F7058B" w:rsidP="00F7058B">
            <w:pPr>
              <w:pStyle w:val="TableBodyText"/>
            </w:pPr>
            <w:r w:rsidRPr="00FA7157">
              <w:t xml:space="preserve">Cash </w:t>
            </w:r>
            <w:r>
              <w:t>f</w:t>
            </w:r>
            <w:r w:rsidRPr="00FA7157">
              <w:t xml:space="preserve">low </w:t>
            </w:r>
            <w:r>
              <w:t>s</w:t>
            </w:r>
            <w:r w:rsidRPr="00FA7157">
              <w:t>tatements</w:t>
            </w:r>
          </w:p>
        </w:tc>
        <w:tc>
          <w:tcPr>
            <w:tcW w:w="1417" w:type="dxa"/>
          </w:tcPr>
          <w:p w14:paraId="063753C8" w14:textId="06F33EED" w:rsidR="00F7058B" w:rsidRDefault="008F1328" w:rsidP="00F7058B">
            <w:pPr>
              <w:pStyle w:val="TableBodyTextrightalign"/>
            </w:pPr>
            <w:r>
              <w:fldChar w:fldCharType="begin"/>
            </w:r>
            <w:r>
              <w:instrText xml:space="preserve"> PAGEREF _Ref149164236 \h </w:instrText>
            </w:r>
            <w:r>
              <w:fldChar w:fldCharType="separate"/>
            </w:r>
            <w:r>
              <w:rPr>
                <w:noProof/>
              </w:rPr>
              <w:t>22</w:t>
            </w:r>
            <w:r>
              <w:fldChar w:fldCharType="end"/>
            </w:r>
            <w:r>
              <w:t>, 64</w:t>
            </w:r>
            <w:r w:rsidR="00DF3588">
              <w:t>–66</w:t>
            </w:r>
            <w:r>
              <w:t>,</w:t>
            </w:r>
            <w:r w:rsidR="00DF3588">
              <w:t xml:space="preserve"> 70, </w:t>
            </w:r>
            <w:r w:rsidR="003101B6">
              <w:fldChar w:fldCharType="begin"/>
            </w:r>
            <w:r w:rsidR="003101B6">
              <w:instrText xml:space="preserve"> PAGEREF _Ref82072460 \h </w:instrText>
            </w:r>
            <w:r w:rsidR="003101B6">
              <w:fldChar w:fldCharType="separate"/>
            </w:r>
            <w:r w:rsidR="003101B6">
              <w:rPr>
                <w:noProof/>
              </w:rPr>
              <w:t>91</w:t>
            </w:r>
            <w:r w:rsidR="003101B6">
              <w:fldChar w:fldCharType="end"/>
            </w:r>
            <w:r w:rsidR="00DF3588">
              <w:t xml:space="preserve"> </w:t>
            </w:r>
            <w:r>
              <w:t xml:space="preserve"> </w:t>
            </w:r>
          </w:p>
        </w:tc>
      </w:tr>
      <w:tr w:rsidR="009E23CD" w14:paraId="7766A0BF" w14:textId="77777777" w:rsidTr="001E2834">
        <w:tc>
          <w:tcPr>
            <w:tcW w:w="0" w:type="dxa"/>
          </w:tcPr>
          <w:p w14:paraId="766FA9E8" w14:textId="77777777" w:rsidR="00F7058B" w:rsidRPr="006C1C8B" w:rsidRDefault="00F7058B" w:rsidP="00F7058B">
            <w:pPr>
              <w:pStyle w:val="TableBodyText"/>
            </w:pPr>
            <w:r w:rsidRPr="000B635F">
              <w:t>FRD 112D</w:t>
            </w:r>
          </w:p>
        </w:tc>
        <w:tc>
          <w:tcPr>
            <w:tcW w:w="6095" w:type="dxa"/>
          </w:tcPr>
          <w:p w14:paraId="34D62C8E" w14:textId="530F9323" w:rsidR="00F7058B" w:rsidRDefault="00F7058B" w:rsidP="00F7058B">
            <w:pPr>
              <w:pStyle w:val="TableBodyText"/>
            </w:pPr>
            <w:r w:rsidRPr="00FA7157">
              <w:t xml:space="preserve">Defined </w:t>
            </w:r>
            <w:r>
              <w:t>b</w:t>
            </w:r>
            <w:r w:rsidRPr="00FA7157">
              <w:t xml:space="preserve">enefit </w:t>
            </w:r>
            <w:r>
              <w:t>s</w:t>
            </w:r>
            <w:r w:rsidRPr="00FA7157">
              <w:t xml:space="preserve">uperannuation </w:t>
            </w:r>
            <w:r>
              <w:t>o</w:t>
            </w:r>
            <w:r w:rsidRPr="00FA7157">
              <w:t>bligations</w:t>
            </w:r>
          </w:p>
        </w:tc>
        <w:tc>
          <w:tcPr>
            <w:tcW w:w="1417" w:type="dxa"/>
          </w:tcPr>
          <w:p w14:paraId="1778266B" w14:textId="3D9F9D1A" w:rsidR="00F7058B" w:rsidRDefault="00A2291C" w:rsidP="00F7058B">
            <w:pPr>
              <w:pStyle w:val="TableBodyTextrightalign"/>
            </w:pPr>
            <w:r>
              <w:fldChar w:fldCharType="begin"/>
            </w:r>
            <w:r>
              <w:instrText xml:space="preserve"> PAGEREF _Ref149164402 \h </w:instrText>
            </w:r>
            <w:r>
              <w:fldChar w:fldCharType="separate"/>
            </w:r>
            <w:r>
              <w:rPr>
                <w:noProof/>
              </w:rPr>
              <w:t>75</w:t>
            </w:r>
            <w:r>
              <w:fldChar w:fldCharType="end"/>
            </w:r>
            <w:r w:rsidR="00A17FB3">
              <w:t xml:space="preserve">, </w:t>
            </w:r>
            <w:r w:rsidR="00A17FB3">
              <w:fldChar w:fldCharType="begin"/>
            </w:r>
            <w:r w:rsidR="00A17FB3">
              <w:instrText xml:space="preserve"> PAGEREF _Ref149164427 \h </w:instrText>
            </w:r>
            <w:r w:rsidR="00A17FB3">
              <w:fldChar w:fldCharType="separate"/>
            </w:r>
            <w:r w:rsidR="00A17FB3">
              <w:rPr>
                <w:noProof/>
              </w:rPr>
              <w:t>77</w:t>
            </w:r>
            <w:r w:rsidR="00A17FB3">
              <w:fldChar w:fldCharType="end"/>
            </w:r>
          </w:p>
        </w:tc>
      </w:tr>
      <w:tr w:rsidR="009E23CD" w14:paraId="58770594" w14:textId="77777777" w:rsidTr="001E2834">
        <w:tc>
          <w:tcPr>
            <w:tcW w:w="0" w:type="dxa"/>
          </w:tcPr>
          <w:p w14:paraId="3731C356" w14:textId="77777777" w:rsidR="00F7058B" w:rsidRPr="006C1C8B" w:rsidRDefault="00F7058B" w:rsidP="00F7058B">
            <w:pPr>
              <w:pStyle w:val="TableBodyText"/>
            </w:pPr>
            <w:r w:rsidRPr="000B635F">
              <w:t>FRD 114C</w:t>
            </w:r>
          </w:p>
        </w:tc>
        <w:tc>
          <w:tcPr>
            <w:tcW w:w="6095" w:type="dxa"/>
          </w:tcPr>
          <w:p w14:paraId="0B1F8F24" w14:textId="4814DEFB" w:rsidR="00F7058B" w:rsidRDefault="00F7058B" w:rsidP="00F7058B">
            <w:pPr>
              <w:pStyle w:val="TableBodyText"/>
            </w:pPr>
            <w:r w:rsidRPr="00FA7157">
              <w:t xml:space="preserve">Financial </w:t>
            </w:r>
            <w:r>
              <w:t>i</w:t>
            </w:r>
            <w:r w:rsidRPr="00FA7157">
              <w:t>nstruments – general government entities and public non-financial corporations</w:t>
            </w:r>
          </w:p>
        </w:tc>
        <w:tc>
          <w:tcPr>
            <w:tcW w:w="1417" w:type="dxa"/>
          </w:tcPr>
          <w:p w14:paraId="54C303D6" w14:textId="32349D83" w:rsidR="00F7058B" w:rsidRDefault="00153230" w:rsidP="00F7058B">
            <w:pPr>
              <w:pStyle w:val="TableBodyTextrightalign"/>
            </w:pPr>
            <w:r>
              <w:fldChar w:fldCharType="begin"/>
            </w:r>
            <w:r>
              <w:instrText xml:space="preserve"> PAGEREF _Ref82070996 \h </w:instrText>
            </w:r>
            <w:r>
              <w:fldChar w:fldCharType="separate"/>
            </w:r>
            <w:r>
              <w:rPr>
                <w:noProof/>
              </w:rPr>
              <w:t>94</w:t>
            </w:r>
            <w:r>
              <w:fldChar w:fldCharType="end"/>
            </w:r>
          </w:p>
        </w:tc>
      </w:tr>
    </w:tbl>
    <w:p w14:paraId="691DDAA0" w14:textId="25F82541" w:rsidR="008B3E68" w:rsidRDefault="00465B9C" w:rsidP="008B3E68">
      <w:pPr>
        <w:pStyle w:val="TableNote"/>
      </w:pPr>
      <w:r>
        <w:t>Notes</w:t>
      </w:r>
    </w:p>
    <w:p w14:paraId="3959207D" w14:textId="0B047078" w:rsidR="008B3E68" w:rsidRDefault="008B3E68" w:rsidP="008B3E68">
      <w:pPr>
        <w:pStyle w:val="TableNote"/>
      </w:pPr>
      <w:r w:rsidRPr="00072CBB">
        <w:rPr>
          <w:rStyle w:val="Charactersuperscript"/>
        </w:rPr>
        <w:t>(a)</w:t>
      </w:r>
      <w:r>
        <w:t xml:space="preserve"> </w:t>
      </w:r>
      <w:r w:rsidRPr="00D123BC">
        <w:t xml:space="preserve">References to FRDs have been removed from the Disclosure Index if the specific FRDs do not contain requirements that are of </w:t>
      </w:r>
      <w:r w:rsidR="000A50A9">
        <w:t>t</w:t>
      </w:r>
      <w:r w:rsidRPr="00D123BC">
        <w:t>he nature of disclosure.</w:t>
      </w:r>
    </w:p>
    <w:p w14:paraId="376A49B3" w14:textId="77777777" w:rsidR="00037C19" w:rsidRDefault="00037C19" w:rsidP="00037C19">
      <w:pPr>
        <w:pStyle w:val="BodyText"/>
        <w:rPr>
          <w:lang w:eastAsia="en-GB"/>
        </w:rPr>
        <w:sectPr w:rsidR="00037C19" w:rsidSect="0076660F">
          <w:headerReference w:type="even" r:id="rId82"/>
          <w:headerReference w:type="default" r:id="rId83"/>
          <w:headerReference w:type="first" r:id="rId84"/>
          <w:pgSz w:w="11907" w:h="16839" w:code="9"/>
          <w:pgMar w:top="1440" w:right="1440" w:bottom="1440" w:left="1440" w:header="720" w:footer="720" w:gutter="0"/>
          <w:cols w:space="720"/>
          <w:titlePg/>
          <w:docGrid w:linePitch="360"/>
        </w:sectPr>
      </w:pPr>
    </w:p>
    <w:p w14:paraId="0825560B" w14:textId="7ADB44C1" w:rsidR="009C2188" w:rsidRDefault="009C2188" w:rsidP="00E867B1">
      <w:pPr>
        <w:pStyle w:val="AppendixHeading1"/>
      </w:pPr>
      <w:bookmarkStart w:id="238" w:name="_Toc149131463"/>
      <w:r>
        <w:t>Other disclosures</w:t>
      </w:r>
      <w:bookmarkEnd w:id="238"/>
    </w:p>
    <w:p w14:paraId="58B51BAD" w14:textId="77777777" w:rsidR="00234232" w:rsidRPr="00234232" w:rsidRDefault="00234232" w:rsidP="00AB6880">
      <w:pPr>
        <w:pStyle w:val="Heading2"/>
      </w:pPr>
      <w:bookmarkStart w:id="239" w:name="_Ref149165724"/>
      <w:r w:rsidRPr="00234232">
        <w:t>Direction 5.1.4 Financial compliance attestation form 2022/23</w:t>
      </w:r>
      <w:bookmarkEnd w:id="239"/>
    </w:p>
    <w:p w14:paraId="36F3A652" w14:textId="77777777" w:rsidR="00234232" w:rsidRPr="00234232" w:rsidRDefault="00234232" w:rsidP="00CB4963">
      <w:pPr>
        <w:pStyle w:val="Heading3"/>
      </w:pPr>
      <w:r w:rsidRPr="00234232">
        <w:t xml:space="preserve">Attestation for financial management compliance with Standing Direction 5.1.4 </w:t>
      </w:r>
    </w:p>
    <w:p w14:paraId="0FF7D7CB" w14:textId="38FD2E30" w:rsidR="00234232" w:rsidRPr="00234232" w:rsidRDefault="00234232" w:rsidP="00234232">
      <w:pPr>
        <w:pStyle w:val="BodyText"/>
      </w:pPr>
      <w:r w:rsidRPr="00234232">
        <w:t xml:space="preserve">I, Stephen Farrow, on behalf of Independent Broad-based Anti-corruption Commission (IBAC), certify that the IBAC has no Material Compliance Deficiency with respect to the applicable Standing Directions under the </w:t>
      </w:r>
      <w:r w:rsidRPr="00CB4963">
        <w:rPr>
          <w:rStyle w:val="Characteritalic"/>
        </w:rPr>
        <w:t>Financial Management Act 1994</w:t>
      </w:r>
      <w:r w:rsidRPr="00234232">
        <w:t xml:space="preserve"> </w:t>
      </w:r>
      <w:r w:rsidR="008500CF">
        <w:t xml:space="preserve">(Vic) </w:t>
      </w:r>
      <w:r w:rsidRPr="00234232">
        <w:t>and Instructions.</w:t>
      </w:r>
    </w:p>
    <w:p w14:paraId="4BE6174D" w14:textId="4101A01F" w:rsidR="00234232" w:rsidRPr="008500CF" w:rsidRDefault="00234232" w:rsidP="00234232">
      <w:pPr>
        <w:pStyle w:val="BodyText"/>
        <w:rPr>
          <w:rStyle w:val="Characterbold"/>
        </w:rPr>
      </w:pPr>
      <w:r w:rsidRPr="008500CF">
        <w:rPr>
          <w:rStyle w:val="Characterbold"/>
        </w:rPr>
        <w:t>Stephen Farrow</w:t>
      </w:r>
    </w:p>
    <w:p w14:paraId="5518CE2C" w14:textId="77777777" w:rsidR="00234232" w:rsidRPr="00234232" w:rsidRDefault="00234232" w:rsidP="008500CF">
      <w:pPr>
        <w:pStyle w:val="BodyText"/>
        <w:contextualSpacing/>
      </w:pPr>
      <w:r w:rsidRPr="00234232">
        <w:t>Acting Commissioner</w:t>
      </w:r>
    </w:p>
    <w:p w14:paraId="33AA48B9" w14:textId="77777777" w:rsidR="00234232" w:rsidRPr="00234232" w:rsidRDefault="00234232" w:rsidP="008500CF">
      <w:pPr>
        <w:pStyle w:val="BodyText"/>
        <w:contextualSpacing/>
      </w:pPr>
      <w:r w:rsidRPr="00234232">
        <w:t>Independent Broad-based Anti-corruption Commission</w:t>
      </w:r>
    </w:p>
    <w:p w14:paraId="7759C942" w14:textId="26B4B9C6" w:rsidR="00234232" w:rsidRPr="00234232" w:rsidRDefault="00234232" w:rsidP="008500CF">
      <w:pPr>
        <w:pStyle w:val="BodyText"/>
        <w:contextualSpacing/>
      </w:pPr>
      <w:r w:rsidRPr="00234232">
        <w:t>19 September 2023</w:t>
      </w:r>
    </w:p>
    <w:p w14:paraId="152A0D58" w14:textId="77777777" w:rsidR="009C2188" w:rsidRPr="002F6765" w:rsidRDefault="009C2188" w:rsidP="009C2188">
      <w:pPr>
        <w:pStyle w:val="Heading2"/>
      </w:pPr>
      <w:bookmarkStart w:id="240" w:name="_Toc133585241"/>
      <w:bookmarkStart w:id="241" w:name="_Toc133920516"/>
      <w:bookmarkStart w:id="242" w:name="_Ref149162906"/>
      <w:r w:rsidRPr="002F6765">
        <w:t xml:space="preserve">Local </w:t>
      </w:r>
      <w:r w:rsidRPr="00F42B31">
        <w:t>Jobs</w:t>
      </w:r>
      <w:r w:rsidRPr="002F6765">
        <w:t xml:space="preserve"> First</w:t>
      </w:r>
      <w:bookmarkEnd w:id="240"/>
      <w:bookmarkEnd w:id="241"/>
      <w:bookmarkEnd w:id="242"/>
    </w:p>
    <w:p w14:paraId="094E95C8" w14:textId="6B2CDCB2" w:rsidR="009C2188" w:rsidRPr="002F6765" w:rsidRDefault="009C2188" w:rsidP="009C2188">
      <w:pPr>
        <w:pStyle w:val="BodyText"/>
      </w:pPr>
      <w:r w:rsidRPr="00F134BA">
        <w:t xml:space="preserve">IBAC did not commence or complete any projects in </w:t>
      </w:r>
      <w:r w:rsidR="000A1691">
        <w:t>2022/23</w:t>
      </w:r>
      <w:r w:rsidRPr="00F134BA">
        <w:t xml:space="preserve"> in which a Victorian Industry Participation Policy Plan, Local Industry Development Plan or Major Project Skills Guarantee were required</w:t>
      </w:r>
      <w:r w:rsidRPr="002F6765">
        <w:t>.</w:t>
      </w:r>
    </w:p>
    <w:p w14:paraId="26D4BE99" w14:textId="77777777" w:rsidR="009C2188" w:rsidRDefault="009C2188" w:rsidP="009C2188">
      <w:pPr>
        <w:pStyle w:val="Heading2"/>
      </w:pPr>
      <w:bookmarkStart w:id="243" w:name="_Toc133585242"/>
      <w:bookmarkStart w:id="244" w:name="_Toc133920517"/>
      <w:r>
        <w:t>Expenditures</w:t>
      </w:r>
      <w:bookmarkEnd w:id="243"/>
      <w:bookmarkEnd w:id="244"/>
    </w:p>
    <w:p w14:paraId="4AA0BC1D" w14:textId="77777777" w:rsidR="009C2188" w:rsidRDefault="009C2188" w:rsidP="009C2188">
      <w:pPr>
        <w:pStyle w:val="Heading3"/>
      </w:pPr>
      <w:bookmarkStart w:id="245" w:name="_Ref149136899"/>
      <w:r>
        <w:t>Government advertising expenditure</w:t>
      </w:r>
      <w:bookmarkEnd w:id="245"/>
    </w:p>
    <w:p w14:paraId="135D77C9" w14:textId="57C29813" w:rsidR="009C2188" w:rsidRDefault="009C2188" w:rsidP="009C2188">
      <w:pPr>
        <w:pStyle w:val="BodyText"/>
      </w:pPr>
      <w:r>
        <w:t xml:space="preserve">IBAC ran advertising campaigns with a total media spend of </w:t>
      </w:r>
      <w:r w:rsidR="003C6777" w:rsidRPr="003C6777">
        <w:t>$449,153</w:t>
      </w:r>
      <w:r>
        <w:t xml:space="preserve"> (excluding GST) during </w:t>
      </w:r>
      <w:r w:rsidR="000A1691">
        <w:t>2022/23</w:t>
      </w:r>
      <w:r>
        <w:t>.</w:t>
      </w:r>
    </w:p>
    <w:p w14:paraId="03C905EE" w14:textId="77777777" w:rsidR="009C2188" w:rsidRDefault="009C2188" w:rsidP="009C2188">
      <w:pPr>
        <w:pStyle w:val="Heading3"/>
      </w:pPr>
      <w:r>
        <w:t>Consultancy expenditure</w:t>
      </w:r>
    </w:p>
    <w:p w14:paraId="51F53FDF" w14:textId="1ADA50D2" w:rsidR="009C2188" w:rsidRDefault="009C2188" w:rsidP="00B07072">
      <w:pPr>
        <w:pStyle w:val="Heading4"/>
      </w:pPr>
      <w:bookmarkStart w:id="246" w:name="_Ref149136878"/>
      <w:r>
        <w:t>Consultancies (over</w:t>
      </w:r>
      <w:r w:rsidR="00025C73">
        <w:t xml:space="preserve"> </w:t>
      </w:r>
      <w:r>
        <w:t>$10,000)</w:t>
      </w:r>
      <w:bookmarkEnd w:id="246"/>
    </w:p>
    <w:p w14:paraId="48A021A2" w14:textId="5D586641" w:rsidR="009C2188" w:rsidRDefault="009C2188" w:rsidP="009C2188">
      <w:pPr>
        <w:pStyle w:val="BodyText"/>
      </w:pPr>
      <w:r>
        <w:t xml:space="preserve">IBAC contracted </w:t>
      </w:r>
      <w:r w:rsidR="003C7570">
        <w:t>seven</w:t>
      </w:r>
      <w:r>
        <w:t xml:space="preserve"> consultancies at a total expenditure of </w:t>
      </w:r>
      <w:r w:rsidR="00CC7049" w:rsidRPr="00CC7049">
        <w:t>$597,088</w:t>
      </w:r>
      <w:r>
        <w:t xml:space="preserve"> (excluding GST). Details of individual consultancies are provided in </w:t>
      </w:r>
      <w:r>
        <w:fldChar w:fldCharType="begin"/>
      </w:r>
      <w:r>
        <w:instrText xml:space="preserve"> REF _Ref120548316 \h </w:instrText>
      </w:r>
      <w:r>
        <w:fldChar w:fldCharType="separate"/>
      </w:r>
      <w:r w:rsidR="00214316">
        <w:t xml:space="preserve">Table </w:t>
      </w:r>
      <w:r w:rsidR="00214316">
        <w:rPr>
          <w:noProof/>
        </w:rPr>
        <w:t>28</w:t>
      </w:r>
      <w:r>
        <w:fldChar w:fldCharType="end"/>
      </w:r>
      <w:r>
        <w:t>.</w:t>
      </w:r>
    </w:p>
    <w:p w14:paraId="4237129A" w14:textId="1CC62175" w:rsidR="009C2188" w:rsidRDefault="009C2188" w:rsidP="00834775">
      <w:pPr>
        <w:pStyle w:val="Caption"/>
      </w:pPr>
      <w:bookmarkStart w:id="247" w:name="_Ref120548316"/>
      <w:r>
        <w:t xml:space="preserve">Table </w:t>
      </w:r>
      <w:r>
        <w:fldChar w:fldCharType="begin"/>
      </w:r>
      <w:r>
        <w:instrText xml:space="preserve"> SEQ Table \* ARABIC </w:instrText>
      </w:r>
      <w:r>
        <w:fldChar w:fldCharType="separate"/>
      </w:r>
      <w:r w:rsidR="00B51F19">
        <w:rPr>
          <w:noProof/>
        </w:rPr>
        <w:t>28</w:t>
      </w:r>
      <w:r>
        <w:rPr>
          <w:noProof/>
        </w:rPr>
        <w:fldChar w:fldCharType="end"/>
      </w:r>
      <w:bookmarkEnd w:id="247"/>
      <w:r>
        <w:t>: Consultancies over $10,000</w:t>
      </w:r>
    </w:p>
    <w:tbl>
      <w:tblPr>
        <w:tblStyle w:val="CustomTablestandard"/>
        <w:tblW w:w="9860" w:type="dxa"/>
        <w:tblLook w:val="04A0" w:firstRow="1" w:lastRow="0" w:firstColumn="1" w:lastColumn="0" w:noHBand="0" w:noVBand="1"/>
      </w:tblPr>
      <w:tblGrid>
        <w:gridCol w:w="1419"/>
        <w:gridCol w:w="2688"/>
        <w:gridCol w:w="984"/>
        <w:gridCol w:w="952"/>
        <w:gridCol w:w="1328"/>
        <w:gridCol w:w="1129"/>
        <w:gridCol w:w="1360"/>
      </w:tblGrid>
      <w:tr w:rsidR="00396C11" w14:paraId="3F95EEAA" w14:textId="77777777" w:rsidTr="00786D36">
        <w:trPr>
          <w:cnfStyle w:val="100000000000" w:firstRow="1" w:lastRow="0" w:firstColumn="0" w:lastColumn="0" w:oddVBand="0" w:evenVBand="0" w:oddHBand="0" w:evenHBand="0" w:firstRowFirstColumn="0" w:firstRowLastColumn="0" w:lastRowFirstColumn="0" w:lastRowLastColumn="0"/>
          <w:trHeight w:val="1340"/>
        </w:trPr>
        <w:tc>
          <w:tcPr>
            <w:tcW w:w="1418" w:type="dxa"/>
            <w:tcBorders>
              <w:left w:val="nil"/>
            </w:tcBorders>
            <w:hideMark/>
          </w:tcPr>
          <w:p w14:paraId="55D1741D" w14:textId="77777777" w:rsidR="009C2188" w:rsidRDefault="009C2188">
            <w:pPr>
              <w:pStyle w:val="TableHeading1"/>
              <w:rPr>
                <w:lang w:val="en-US" w:eastAsia="zh-CN"/>
              </w:rPr>
            </w:pPr>
            <w:bookmarkStart w:id="248" w:name="RANGE!A3"/>
            <w:r>
              <w:rPr>
                <w:lang w:eastAsia="en-US"/>
              </w:rPr>
              <w:t>Consultant</w:t>
            </w:r>
            <w:bookmarkEnd w:id="248"/>
          </w:p>
        </w:tc>
        <w:tc>
          <w:tcPr>
            <w:tcW w:w="2690" w:type="dxa"/>
            <w:hideMark/>
          </w:tcPr>
          <w:p w14:paraId="5F605207" w14:textId="77777777" w:rsidR="009C2188" w:rsidRDefault="009C2188">
            <w:pPr>
              <w:pStyle w:val="TableHeading1"/>
              <w:rPr>
                <w:lang w:eastAsia="en-US"/>
              </w:rPr>
            </w:pPr>
            <w:r>
              <w:rPr>
                <w:lang w:eastAsia="en-US"/>
              </w:rPr>
              <w:t>Purpose of consultancy</w:t>
            </w:r>
          </w:p>
        </w:tc>
        <w:tc>
          <w:tcPr>
            <w:tcW w:w="985" w:type="dxa"/>
            <w:hideMark/>
          </w:tcPr>
          <w:p w14:paraId="0D37BA0D" w14:textId="77777777" w:rsidR="009C2188" w:rsidRDefault="009C2188">
            <w:pPr>
              <w:pStyle w:val="TableHeading3rightalign"/>
            </w:pPr>
            <w:r>
              <w:t>Start date</w:t>
            </w:r>
          </w:p>
        </w:tc>
        <w:tc>
          <w:tcPr>
            <w:tcW w:w="953" w:type="dxa"/>
            <w:hideMark/>
          </w:tcPr>
          <w:p w14:paraId="2DE94097" w14:textId="77777777" w:rsidR="009C2188" w:rsidRDefault="009C2188">
            <w:pPr>
              <w:pStyle w:val="TableHeading3rightalign"/>
            </w:pPr>
            <w:r>
              <w:t>End date</w:t>
            </w:r>
          </w:p>
        </w:tc>
        <w:tc>
          <w:tcPr>
            <w:tcW w:w="1329" w:type="dxa"/>
            <w:hideMark/>
          </w:tcPr>
          <w:p w14:paraId="685FBFB6" w14:textId="0387B210" w:rsidR="009C2188" w:rsidRDefault="009C2188">
            <w:pPr>
              <w:pStyle w:val="TableHeading3rightalign"/>
            </w:pPr>
            <w:r>
              <w:t>Total approved project fee</w:t>
            </w:r>
            <w:r w:rsidR="00C00678">
              <w:t xml:space="preserve"> for</w:t>
            </w:r>
            <w:r w:rsidR="00A637E5">
              <w:t xml:space="preserve"> 2022/23</w:t>
            </w:r>
            <w:r>
              <w:t xml:space="preserve"> (excl. GST)</w:t>
            </w:r>
          </w:p>
        </w:tc>
        <w:tc>
          <w:tcPr>
            <w:tcW w:w="1125" w:type="dxa"/>
            <w:hideMark/>
          </w:tcPr>
          <w:p w14:paraId="3C4AA7AC" w14:textId="1F90D1BD" w:rsidR="009C2188" w:rsidRDefault="009C2188">
            <w:pPr>
              <w:pStyle w:val="TableHeading3rightalign"/>
            </w:pPr>
            <w:r>
              <w:t xml:space="preserve">Expenditure in </w:t>
            </w:r>
            <w:r w:rsidR="000A1691">
              <w:t>2022/23</w:t>
            </w:r>
            <w:r>
              <w:t xml:space="preserve"> (excl. GST)</w:t>
            </w:r>
          </w:p>
        </w:tc>
        <w:tc>
          <w:tcPr>
            <w:tcW w:w="1360" w:type="dxa"/>
            <w:tcBorders>
              <w:right w:val="nil"/>
            </w:tcBorders>
            <w:hideMark/>
          </w:tcPr>
          <w:p w14:paraId="170F434F" w14:textId="77777777" w:rsidR="009C2188" w:rsidRDefault="009C2188">
            <w:pPr>
              <w:pStyle w:val="TableHeading3rightalign"/>
            </w:pPr>
            <w:r>
              <w:t>Future expenditure (excl. GST)</w:t>
            </w:r>
          </w:p>
        </w:tc>
      </w:tr>
      <w:tr w:rsidR="008F2E71" w14:paraId="74EE9A21" w14:textId="77777777" w:rsidTr="00786D36">
        <w:trPr>
          <w:trHeight w:val="268"/>
        </w:trPr>
        <w:tc>
          <w:tcPr>
            <w:tcW w:w="1418" w:type="dxa"/>
            <w:tcBorders>
              <w:top w:val="single" w:sz="4" w:space="0" w:color="auto"/>
              <w:left w:val="nil"/>
              <w:bottom w:val="single" w:sz="4" w:space="0" w:color="auto"/>
              <w:right w:val="nil"/>
            </w:tcBorders>
            <w:noWrap/>
          </w:tcPr>
          <w:p w14:paraId="75F1B5BD" w14:textId="7ABF3CD3" w:rsidR="008F2E71" w:rsidRPr="00F3530C" w:rsidRDefault="008F2E71" w:rsidP="00454A53">
            <w:pPr>
              <w:pStyle w:val="TableBodyText"/>
            </w:pPr>
            <w:r w:rsidRPr="00F3530C">
              <w:t>Terra Firma P</w:t>
            </w:r>
            <w:r w:rsidR="004D07FE">
              <w:t>ty</w:t>
            </w:r>
            <w:r w:rsidRPr="00F3530C">
              <w:t xml:space="preserve"> L</w:t>
            </w:r>
            <w:r w:rsidR="004D07FE">
              <w:t>td</w:t>
            </w:r>
          </w:p>
        </w:tc>
        <w:tc>
          <w:tcPr>
            <w:tcW w:w="2690" w:type="dxa"/>
            <w:tcBorders>
              <w:top w:val="single" w:sz="4" w:space="0" w:color="auto"/>
              <w:left w:val="nil"/>
              <w:bottom w:val="single" w:sz="4" w:space="0" w:color="auto"/>
              <w:right w:val="nil"/>
            </w:tcBorders>
          </w:tcPr>
          <w:p w14:paraId="54D60686" w14:textId="7519F128" w:rsidR="008F2E71" w:rsidRPr="00F3530C" w:rsidRDefault="008F2E71" w:rsidP="00454A53">
            <w:pPr>
              <w:pStyle w:val="TableBodyText"/>
            </w:pPr>
            <w:r w:rsidRPr="00F3530C">
              <w:t xml:space="preserve">IBAC’s capability maturity assessment, gap analysis and development of a roadmap.  </w:t>
            </w:r>
          </w:p>
        </w:tc>
        <w:tc>
          <w:tcPr>
            <w:tcW w:w="985" w:type="dxa"/>
            <w:tcBorders>
              <w:top w:val="single" w:sz="4" w:space="0" w:color="auto"/>
              <w:left w:val="nil"/>
              <w:bottom w:val="single" w:sz="4" w:space="0" w:color="auto"/>
              <w:right w:val="nil"/>
            </w:tcBorders>
          </w:tcPr>
          <w:p w14:paraId="31C52E0E" w14:textId="002F1AF0" w:rsidR="008F2E71" w:rsidRDefault="008F2E71" w:rsidP="008F2E71">
            <w:pPr>
              <w:pStyle w:val="TableBodyTextrightalign"/>
              <w:rPr>
                <w:lang w:eastAsia="en-US"/>
              </w:rPr>
            </w:pPr>
            <w:r w:rsidRPr="00F96339">
              <w:t>Aug-22</w:t>
            </w:r>
          </w:p>
        </w:tc>
        <w:tc>
          <w:tcPr>
            <w:tcW w:w="953" w:type="dxa"/>
            <w:tcBorders>
              <w:top w:val="single" w:sz="4" w:space="0" w:color="auto"/>
              <w:left w:val="nil"/>
              <w:bottom w:val="single" w:sz="4" w:space="0" w:color="auto"/>
              <w:right w:val="nil"/>
            </w:tcBorders>
          </w:tcPr>
          <w:p w14:paraId="74848DB9" w14:textId="2A29285B" w:rsidR="008F2E71" w:rsidRDefault="008F2E71" w:rsidP="008F2E71">
            <w:pPr>
              <w:pStyle w:val="TableBodyTextrightalign"/>
              <w:rPr>
                <w:lang w:eastAsia="en-US"/>
              </w:rPr>
            </w:pPr>
            <w:r w:rsidRPr="00F96339">
              <w:t>Aug-22</w:t>
            </w:r>
          </w:p>
        </w:tc>
        <w:tc>
          <w:tcPr>
            <w:tcW w:w="1325" w:type="dxa"/>
            <w:tcBorders>
              <w:top w:val="single" w:sz="4" w:space="0" w:color="auto"/>
              <w:left w:val="nil"/>
              <w:bottom w:val="single" w:sz="4" w:space="0" w:color="auto"/>
              <w:right w:val="nil"/>
            </w:tcBorders>
          </w:tcPr>
          <w:p w14:paraId="1C3DECB8" w14:textId="07FDE343" w:rsidR="008F2E71" w:rsidRDefault="008F2E71" w:rsidP="008F2E71">
            <w:pPr>
              <w:pStyle w:val="TableBodyTextrightalign"/>
            </w:pPr>
            <w:r w:rsidRPr="00F96339">
              <w:t>$20,168</w:t>
            </w:r>
          </w:p>
        </w:tc>
        <w:tc>
          <w:tcPr>
            <w:tcW w:w="1129" w:type="dxa"/>
            <w:tcBorders>
              <w:top w:val="single" w:sz="4" w:space="0" w:color="auto"/>
              <w:left w:val="nil"/>
              <w:bottom w:val="single" w:sz="4" w:space="0" w:color="auto"/>
              <w:right w:val="nil"/>
            </w:tcBorders>
          </w:tcPr>
          <w:p w14:paraId="0EAF01B9" w14:textId="320425AE" w:rsidR="008F2E71" w:rsidRDefault="008F2E71" w:rsidP="008F2E71">
            <w:pPr>
              <w:pStyle w:val="TableBodyTextrightalign"/>
            </w:pPr>
            <w:r w:rsidRPr="00F96339">
              <w:t>$20,168</w:t>
            </w:r>
          </w:p>
        </w:tc>
        <w:tc>
          <w:tcPr>
            <w:tcW w:w="1360" w:type="dxa"/>
            <w:tcBorders>
              <w:top w:val="single" w:sz="4" w:space="0" w:color="auto"/>
              <w:left w:val="nil"/>
              <w:bottom w:val="single" w:sz="4" w:space="0" w:color="auto"/>
              <w:right w:val="nil"/>
            </w:tcBorders>
          </w:tcPr>
          <w:p w14:paraId="6AE1D67E" w14:textId="72097127" w:rsidR="008F2E71" w:rsidRDefault="00786D36" w:rsidP="008F2E71">
            <w:pPr>
              <w:pStyle w:val="TableBodyTextrightalign"/>
            </w:pPr>
            <w:r>
              <w:t>–</w:t>
            </w:r>
            <w:r w:rsidR="008F2E71" w:rsidRPr="00F96339">
              <w:t xml:space="preserve"> </w:t>
            </w:r>
          </w:p>
        </w:tc>
      </w:tr>
      <w:tr w:rsidR="008F2E71" w14:paraId="099A487A" w14:textId="77777777" w:rsidTr="00786D36">
        <w:trPr>
          <w:trHeight w:val="103"/>
        </w:trPr>
        <w:tc>
          <w:tcPr>
            <w:tcW w:w="1418" w:type="dxa"/>
            <w:tcBorders>
              <w:top w:val="single" w:sz="4" w:space="0" w:color="auto"/>
              <w:left w:val="nil"/>
              <w:bottom w:val="single" w:sz="4" w:space="0" w:color="auto"/>
              <w:right w:val="nil"/>
            </w:tcBorders>
          </w:tcPr>
          <w:p w14:paraId="009BD5A9" w14:textId="546F1E88" w:rsidR="008F2E71" w:rsidRPr="00454A53" w:rsidRDefault="00396C11" w:rsidP="00454A53">
            <w:pPr>
              <w:pStyle w:val="TableBodyText"/>
            </w:pPr>
            <w:r w:rsidRPr="00454A53">
              <w:t>JWS Research</w:t>
            </w:r>
          </w:p>
        </w:tc>
        <w:tc>
          <w:tcPr>
            <w:tcW w:w="2690" w:type="dxa"/>
            <w:tcBorders>
              <w:top w:val="single" w:sz="4" w:space="0" w:color="auto"/>
              <w:left w:val="nil"/>
              <w:bottom w:val="single" w:sz="4" w:space="0" w:color="auto"/>
              <w:right w:val="nil"/>
            </w:tcBorders>
          </w:tcPr>
          <w:p w14:paraId="756056A2" w14:textId="1CBEF987" w:rsidR="008F2E71" w:rsidRPr="00454A53" w:rsidRDefault="002C4AB8" w:rsidP="00454A53">
            <w:pPr>
              <w:pStyle w:val="TableBodyText"/>
            </w:pPr>
            <w:r w:rsidRPr="00454A53">
              <w:t xml:space="preserve">Research design, analysis, data collection data analysis and reporting for IBAC's 2023 perceptions of corruption surveys with </w:t>
            </w:r>
            <w:r w:rsidR="001B2F12">
              <w:t>c</w:t>
            </w:r>
            <w:r w:rsidRPr="00454A53">
              <w:t xml:space="preserve">ouncillors and </w:t>
            </w:r>
            <w:r w:rsidR="001B2F12">
              <w:t>m</w:t>
            </w:r>
            <w:r w:rsidRPr="00454A53">
              <w:t>embers of Parliament.</w:t>
            </w:r>
          </w:p>
        </w:tc>
        <w:tc>
          <w:tcPr>
            <w:tcW w:w="985" w:type="dxa"/>
            <w:tcBorders>
              <w:top w:val="single" w:sz="4" w:space="0" w:color="auto"/>
              <w:left w:val="nil"/>
              <w:bottom w:val="single" w:sz="4" w:space="0" w:color="auto"/>
              <w:right w:val="nil"/>
            </w:tcBorders>
          </w:tcPr>
          <w:p w14:paraId="0BE8856F" w14:textId="2F7FC40F" w:rsidR="008F2E71" w:rsidRDefault="008F2E71" w:rsidP="00F3530C">
            <w:pPr>
              <w:pStyle w:val="TableBodyTextrightalign"/>
            </w:pPr>
            <w:r w:rsidRPr="00F96339">
              <w:t>Mar-23</w:t>
            </w:r>
          </w:p>
        </w:tc>
        <w:tc>
          <w:tcPr>
            <w:tcW w:w="953" w:type="dxa"/>
            <w:tcBorders>
              <w:top w:val="single" w:sz="4" w:space="0" w:color="auto"/>
              <w:left w:val="nil"/>
              <w:bottom w:val="single" w:sz="4" w:space="0" w:color="auto"/>
              <w:right w:val="nil"/>
            </w:tcBorders>
          </w:tcPr>
          <w:p w14:paraId="7253A6A6" w14:textId="539142B9" w:rsidR="008F2E71" w:rsidRDefault="008F2E71" w:rsidP="00F3530C">
            <w:pPr>
              <w:pStyle w:val="TableBodyTextrightalign"/>
            </w:pPr>
            <w:r w:rsidRPr="00F96339">
              <w:t>Jun-23</w:t>
            </w:r>
          </w:p>
        </w:tc>
        <w:tc>
          <w:tcPr>
            <w:tcW w:w="1325" w:type="dxa"/>
            <w:tcBorders>
              <w:top w:val="single" w:sz="4" w:space="0" w:color="auto"/>
              <w:left w:val="nil"/>
              <w:bottom w:val="single" w:sz="4" w:space="0" w:color="auto"/>
              <w:right w:val="nil"/>
            </w:tcBorders>
          </w:tcPr>
          <w:p w14:paraId="0E2D1868" w14:textId="06B993CB" w:rsidR="008F2E71" w:rsidRDefault="008F2E71" w:rsidP="00450E20">
            <w:pPr>
              <w:pStyle w:val="TableBodyTextrightalign"/>
            </w:pPr>
            <w:r w:rsidRPr="00F96339">
              <w:t>$65,250</w:t>
            </w:r>
          </w:p>
        </w:tc>
        <w:tc>
          <w:tcPr>
            <w:tcW w:w="1129" w:type="dxa"/>
            <w:tcBorders>
              <w:top w:val="single" w:sz="4" w:space="0" w:color="auto"/>
              <w:left w:val="nil"/>
              <w:bottom w:val="single" w:sz="4" w:space="0" w:color="auto"/>
              <w:right w:val="nil"/>
            </w:tcBorders>
          </w:tcPr>
          <w:p w14:paraId="730E090C" w14:textId="18678B65" w:rsidR="008F2E71" w:rsidRDefault="008F2E71" w:rsidP="00450E20">
            <w:pPr>
              <w:pStyle w:val="TableBodyTextrightalign"/>
            </w:pPr>
            <w:r w:rsidRPr="00F96339">
              <w:t>$65,250</w:t>
            </w:r>
          </w:p>
        </w:tc>
        <w:tc>
          <w:tcPr>
            <w:tcW w:w="1360" w:type="dxa"/>
            <w:tcBorders>
              <w:top w:val="single" w:sz="4" w:space="0" w:color="auto"/>
              <w:left w:val="nil"/>
              <w:bottom w:val="single" w:sz="4" w:space="0" w:color="auto"/>
              <w:right w:val="nil"/>
            </w:tcBorders>
          </w:tcPr>
          <w:p w14:paraId="7C7E0532" w14:textId="4B38F827" w:rsidR="008F2E71" w:rsidRDefault="00786D36" w:rsidP="00450E20">
            <w:pPr>
              <w:pStyle w:val="TableBodyTextrightalign"/>
            </w:pPr>
            <w:r>
              <w:t>–</w:t>
            </w:r>
            <w:r w:rsidR="008F2E71" w:rsidRPr="00F96339">
              <w:t xml:space="preserve"> </w:t>
            </w:r>
          </w:p>
        </w:tc>
      </w:tr>
      <w:tr w:rsidR="008F2E71" w14:paraId="3F359BE1" w14:textId="77777777" w:rsidTr="00786D36">
        <w:trPr>
          <w:trHeight w:val="35"/>
        </w:trPr>
        <w:tc>
          <w:tcPr>
            <w:tcW w:w="1418" w:type="dxa"/>
            <w:tcBorders>
              <w:top w:val="single" w:sz="4" w:space="0" w:color="auto"/>
              <w:left w:val="nil"/>
              <w:bottom w:val="single" w:sz="4" w:space="0" w:color="auto"/>
              <w:right w:val="nil"/>
            </w:tcBorders>
          </w:tcPr>
          <w:p w14:paraId="7EDB26CA" w14:textId="0A67DE38" w:rsidR="008F2E71" w:rsidRPr="00454A53" w:rsidRDefault="00454A53" w:rsidP="00454A53">
            <w:pPr>
              <w:pStyle w:val="TableBodyText"/>
            </w:pPr>
            <w:r>
              <w:t>Little Rocket</w:t>
            </w:r>
          </w:p>
        </w:tc>
        <w:tc>
          <w:tcPr>
            <w:tcW w:w="2690" w:type="dxa"/>
            <w:tcBorders>
              <w:top w:val="single" w:sz="4" w:space="0" w:color="auto"/>
              <w:left w:val="nil"/>
              <w:bottom w:val="single" w:sz="4" w:space="0" w:color="auto"/>
              <w:right w:val="nil"/>
            </w:tcBorders>
          </w:tcPr>
          <w:p w14:paraId="386C159C" w14:textId="055A1B11" w:rsidR="008F2E71" w:rsidRPr="00454A53" w:rsidRDefault="00396C11" w:rsidP="00454A53">
            <w:pPr>
              <w:pStyle w:val="TableBodyText"/>
            </w:pPr>
            <w:r w:rsidRPr="00454A53">
              <w:t>Development of a plan and strategy to engage with Aboriginal peoples.</w:t>
            </w:r>
          </w:p>
        </w:tc>
        <w:tc>
          <w:tcPr>
            <w:tcW w:w="985" w:type="dxa"/>
            <w:tcBorders>
              <w:top w:val="single" w:sz="4" w:space="0" w:color="auto"/>
              <w:left w:val="nil"/>
              <w:bottom w:val="single" w:sz="4" w:space="0" w:color="auto"/>
              <w:right w:val="nil"/>
            </w:tcBorders>
          </w:tcPr>
          <w:p w14:paraId="2585CFD3" w14:textId="67B68F15" w:rsidR="008F2E71" w:rsidRDefault="008F2E71" w:rsidP="00F3530C">
            <w:pPr>
              <w:pStyle w:val="TableBodyTextrightalign"/>
            </w:pPr>
            <w:r w:rsidRPr="00F96339">
              <w:t>Feb-23</w:t>
            </w:r>
          </w:p>
        </w:tc>
        <w:tc>
          <w:tcPr>
            <w:tcW w:w="953" w:type="dxa"/>
            <w:tcBorders>
              <w:top w:val="single" w:sz="4" w:space="0" w:color="auto"/>
              <w:left w:val="nil"/>
              <w:bottom w:val="single" w:sz="4" w:space="0" w:color="auto"/>
              <w:right w:val="nil"/>
            </w:tcBorders>
          </w:tcPr>
          <w:p w14:paraId="19829670" w14:textId="619C00B4" w:rsidR="008F2E71" w:rsidRDefault="008F2E71" w:rsidP="00F3530C">
            <w:pPr>
              <w:pStyle w:val="TableBodyTextrightalign"/>
            </w:pPr>
            <w:r w:rsidRPr="00F96339">
              <w:t>Jun-23</w:t>
            </w:r>
          </w:p>
        </w:tc>
        <w:tc>
          <w:tcPr>
            <w:tcW w:w="1325" w:type="dxa"/>
            <w:tcBorders>
              <w:top w:val="single" w:sz="4" w:space="0" w:color="auto"/>
              <w:left w:val="nil"/>
              <w:bottom w:val="single" w:sz="4" w:space="0" w:color="auto"/>
              <w:right w:val="nil"/>
            </w:tcBorders>
          </w:tcPr>
          <w:p w14:paraId="41D216C9" w14:textId="38D3DEB2" w:rsidR="008F2E71" w:rsidRDefault="008F2E71" w:rsidP="00450E20">
            <w:pPr>
              <w:pStyle w:val="TableBodyTextrightalign"/>
            </w:pPr>
            <w:r w:rsidRPr="00F96339">
              <w:t>$28,915</w:t>
            </w:r>
          </w:p>
        </w:tc>
        <w:tc>
          <w:tcPr>
            <w:tcW w:w="1129" w:type="dxa"/>
            <w:tcBorders>
              <w:top w:val="single" w:sz="4" w:space="0" w:color="auto"/>
              <w:left w:val="nil"/>
              <w:bottom w:val="single" w:sz="4" w:space="0" w:color="auto"/>
              <w:right w:val="nil"/>
            </w:tcBorders>
          </w:tcPr>
          <w:p w14:paraId="33C0FD87" w14:textId="33131C52" w:rsidR="008F2E71" w:rsidRDefault="008F2E71" w:rsidP="00450E20">
            <w:pPr>
              <w:pStyle w:val="TableBodyTextrightalign"/>
            </w:pPr>
            <w:r w:rsidRPr="00F96339">
              <w:t>$28,915</w:t>
            </w:r>
          </w:p>
        </w:tc>
        <w:tc>
          <w:tcPr>
            <w:tcW w:w="1360" w:type="dxa"/>
            <w:tcBorders>
              <w:top w:val="single" w:sz="4" w:space="0" w:color="auto"/>
              <w:left w:val="nil"/>
              <w:bottom w:val="single" w:sz="4" w:space="0" w:color="auto"/>
              <w:right w:val="nil"/>
            </w:tcBorders>
          </w:tcPr>
          <w:p w14:paraId="0DCAFC16" w14:textId="280E28B4" w:rsidR="008F2E71" w:rsidRDefault="00786D36" w:rsidP="00450E20">
            <w:pPr>
              <w:pStyle w:val="TableBodyTextrightalign"/>
            </w:pPr>
            <w:r>
              <w:t>–</w:t>
            </w:r>
          </w:p>
        </w:tc>
      </w:tr>
      <w:tr w:rsidR="008F2E71" w14:paraId="3895509E" w14:textId="77777777" w:rsidTr="00786D36">
        <w:trPr>
          <w:trHeight w:val="37"/>
        </w:trPr>
        <w:tc>
          <w:tcPr>
            <w:tcW w:w="1418" w:type="dxa"/>
            <w:tcBorders>
              <w:top w:val="single" w:sz="4" w:space="0" w:color="auto"/>
              <w:left w:val="nil"/>
              <w:bottom w:val="single" w:sz="4" w:space="0" w:color="auto"/>
              <w:right w:val="nil"/>
            </w:tcBorders>
          </w:tcPr>
          <w:p w14:paraId="06A9CFF2" w14:textId="1A308ABC" w:rsidR="008F2E71" w:rsidRDefault="00454A53" w:rsidP="008F2E71">
            <w:pPr>
              <w:pStyle w:val="TableBodyText"/>
            </w:pPr>
            <w:r>
              <w:t xml:space="preserve">Deloitte Consulting </w:t>
            </w:r>
            <w:r w:rsidR="003C33AF">
              <w:t>P</w:t>
            </w:r>
            <w:r w:rsidR="004D07FE">
              <w:t>ty</w:t>
            </w:r>
            <w:r w:rsidR="003C33AF">
              <w:t xml:space="preserve"> L</w:t>
            </w:r>
            <w:r w:rsidR="004D07FE">
              <w:t>td</w:t>
            </w:r>
          </w:p>
        </w:tc>
        <w:tc>
          <w:tcPr>
            <w:tcW w:w="2690" w:type="dxa"/>
            <w:tcBorders>
              <w:top w:val="single" w:sz="4" w:space="0" w:color="auto"/>
              <w:left w:val="nil"/>
              <w:bottom w:val="single" w:sz="4" w:space="0" w:color="auto"/>
              <w:right w:val="nil"/>
            </w:tcBorders>
          </w:tcPr>
          <w:p w14:paraId="3B9B3C26" w14:textId="284F30AF" w:rsidR="008F2E71" w:rsidRDefault="00BB32A5" w:rsidP="008F2E71">
            <w:pPr>
              <w:pStyle w:val="TableBodyText"/>
            </w:pPr>
            <w:r w:rsidRPr="00BB32A5">
              <w:t>Development of a technical capability framework for investigations unit including training needs analysis, service providers and program delivery.</w:t>
            </w:r>
          </w:p>
        </w:tc>
        <w:tc>
          <w:tcPr>
            <w:tcW w:w="985" w:type="dxa"/>
            <w:tcBorders>
              <w:top w:val="single" w:sz="4" w:space="0" w:color="auto"/>
              <w:left w:val="nil"/>
              <w:bottom w:val="single" w:sz="4" w:space="0" w:color="auto"/>
              <w:right w:val="nil"/>
            </w:tcBorders>
          </w:tcPr>
          <w:p w14:paraId="4D5F5159" w14:textId="459362C7" w:rsidR="008F2E71" w:rsidRDefault="008F2E71" w:rsidP="00F3530C">
            <w:pPr>
              <w:pStyle w:val="TableBodyTextrightalign"/>
            </w:pPr>
            <w:r w:rsidRPr="00F96339">
              <w:t>Jun-23</w:t>
            </w:r>
          </w:p>
        </w:tc>
        <w:tc>
          <w:tcPr>
            <w:tcW w:w="953" w:type="dxa"/>
            <w:tcBorders>
              <w:top w:val="single" w:sz="4" w:space="0" w:color="auto"/>
              <w:left w:val="nil"/>
              <w:bottom w:val="single" w:sz="4" w:space="0" w:color="auto"/>
              <w:right w:val="nil"/>
            </w:tcBorders>
          </w:tcPr>
          <w:p w14:paraId="5CC0B17A" w14:textId="42413666" w:rsidR="008F2E71" w:rsidRDefault="008F2E71" w:rsidP="00F3530C">
            <w:pPr>
              <w:pStyle w:val="TableBodyTextrightalign"/>
            </w:pPr>
            <w:r w:rsidRPr="00F96339">
              <w:t>Jun-23</w:t>
            </w:r>
          </w:p>
        </w:tc>
        <w:tc>
          <w:tcPr>
            <w:tcW w:w="1325" w:type="dxa"/>
            <w:tcBorders>
              <w:top w:val="single" w:sz="4" w:space="0" w:color="auto"/>
              <w:left w:val="nil"/>
              <w:bottom w:val="single" w:sz="4" w:space="0" w:color="auto"/>
              <w:right w:val="nil"/>
            </w:tcBorders>
          </w:tcPr>
          <w:p w14:paraId="67656F9B" w14:textId="5AD0B32E" w:rsidR="008F2E71" w:rsidRDefault="008F2E71" w:rsidP="00450E20">
            <w:pPr>
              <w:pStyle w:val="TableBodyTextrightalign"/>
            </w:pPr>
            <w:r w:rsidRPr="00F96339">
              <w:t>$227,855</w:t>
            </w:r>
          </w:p>
        </w:tc>
        <w:tc>
          <w:tcPr>
            <w:tcW w:w="1129" w:type="dxa"/>
            <w:tcBorders>
              <w:top w:val="single" w:sz="4" w:space="0" w:color="auto"/>
              <w:left w:val="nil"/>
              <w:bottom w:val="single" w:sz="4" w:space="0" w:color="auto"/>
              <w:right w:val="nil"/>
            </w:tcBorders>
          </w:tcPr>
          <w:p w14:paraId="397788CB" w14:textId="1376DA88" w:rsidR="008F2E71" w:rsidRDefault="008F2E71" w:rsidP="00450E20">
            <w:pPr>
              <w:pStyle w:val="TableBodyTextrightalign"/>
            </w:pPr>
            <w:r w:rsidRPr="00F96339">
              <w:t>$227,855</w:t>
            </w:r>
          </w:p>
        </w:tc>
        <w:tc>
          <w:tcPr>
            <w:tcW w:w="1360" w:type="dxa"/>
            <w:tcBorders>
              <w:top w:val="single" w:sz="4" w:space="0" w:color="auto"/>
              <w:left w:val="nil"/>
              <w:bottom w:val="single" w:sz="4" w:space="0" w:color="auto"/>
              <w:right w:val="nil"/>
            </w:tcBorders>
          </w:tcPr>
          <w:p w14:paraId="39C79469" w14:textId="1E9203BA" w:rsidR="008F2E71" w:rsidRDefault="00786D36" w:rsidP="00450E20">
            <w:pPr>
              <w:pStyle w:val="TableBodyTextrightalign"/>
            </w:pPr>
            <w:r>
              <w:t>–</w:t>
            </w:r>
          </w:p>
        </w:tc>
      </w:tr>
      <w:tr w:rsidR="008F2E71" w14:paraId="75BD6796" w14:textId="77777777" w:rsidTr="00786D36">
        <w:trPr>
          <w:trHeight w:val="268"/>
        </w:trPr>
        <w:tc>
          <w:tcPr>
            <w:tcW w:w="1418" w:type="dxa"/>
            <w:tcBorders>
              <w:top w:val="single" w:sz="4" w:space="0" w:color="auto"/>
              <w:left w:val="nil"/>
              <w:bottom w:val="single" w:sz="4" w:space="0" w:color="auto"/>
              <w:right w:val="nil"/>
            </w:tcBorders>
          </w:tcPr>
          <w:p w14:paraId="53429A62" w14:textId="2FD22D59" w:rsidR="008F2E71" w:rsidRDefault="00287671" w:rsidP="008F2E71">
            <w:pPr>
              <w:pStyle w:val="TableBodyText"/>
            </w:pPr>
            <w:r>
              <w:t>Ernst &amp; Young</w:t>
            </w:r>
          </w:p>
        </w:tc>
        <w:tc>
          <w:tcPr>
            <w:tcW w:w="2690" w:type="dxa"/>
            <w:tcBorders>
              <w:top w:val="single" w:sz="4" w:space="0" w:color="auto"/>
              <w:left w:val="nil"/>
              <w:bottom w:val="single" w:sz="4" w:space="0" w:color="auto"/>
              <w:right w:val="nil"/>
            </w:tcBorders>
          </w:tcPr>
          <w:p w14:paraId="3D298B67" w14:textId="290740E9" w:rsidR="008F2E71" w:rsidRDefault="00287671" w:rsidP="008F2E71">
            <w:pPr>
              <w:pStyle w:val="TableBodyText"/>
            </w:pPr>
            <w:r w:rsidRPr="00287671">
              <w:t xml:space="preserve">Development of an </w:t>
            </w:r>
            <w:r w:rsidR="00FB0EEA">
              <w:t>o</w:t>
            </w:r>
            <w:r w:rsidRPr="00287671">
              <w:t xml:space="preserve">rganisational </w:t>
            </w:r>
            <w:r w:rsidR="00FB0EEA">
              <w:t>i</w:t>
            </w:r>
            <w:r w:rsidRPr="00287671">
              <w:t>ntegrity maturity rating system that objectively and consistently measure</w:t>
            </w:r>
            <w:r w:rsidR="00FB0EEA">
              <w:t>s</w:t>
            </w:r>
            <w:r w:rsidRPr="00287671">
              <w:t xml:space="preserve"> the Integrity of Victorian public sector agencies.</w:t>
            </w:r>
          </w:p>
        </w:tc>
        <w:tc>
          <w:tcPr>
            <w:tcW w:w="985" w:type="dxa"/>
            <w:tcBorders>
              <w:top w:val="single" w:sz="4" w:space="0" w:color="auto"/>
              <w:left w:val="nil"/>
              <w:bottom w:val="single" w:sz="4" w:space="0" w:color="auto"/>
              <w:right w:val="nil"/>
            </w:tcBorders>
          </w:tcPr>
          <w:p w14:paraId="7DD5B42C" w14:textId="102592F8" w:rsidR="008F2E71" w:rsidRDefault="008F2E71" w:rsidP="00F3530C">
            <w:pPr>
              <w:pStyle w:val="TableBodyTextrightalign"/>
            </w:pPr>
            <w:r w:rsidRPr="00F96339">
              <w:t>May-23</w:t>
            </w:r>
          </w:p>
        </w:tc>
        <w:tc>
          <w:tcPr>
            <w:tcW w:w="953" w:type="dxa"/>
            <w:tcBorders>
              <w:top w:val="single" w:sz="4" w:space="0" w:color="auto"/>
              <w:left w:val="nil"/>
              <w:bottom w:val="single" w:sz="4" w:space="0" w:color="auto"/>
              <w:right w:val="nil"/>
            </w:tcBorders>
          </w:tcPr>
          <w:p w14:paraId="0A6E0050" w14:textId="0C83F822" w:rsidR="008F2E71" w:rsidRDefault="008F2E71" w:rsidP="00F3530C">
            <w:pPr>
              <w:pStyle w:val="TableBodyTextrightalign"/>
            </w:pPr>
            <w:r w:rsidRPr="00F96339">
              <w:t>Jul-23</w:t>
            </w:r>
          </w:p>
        </w:tc>
        <w:tc>
          <w:tcPr>
            <w:tcW w:w="1325" w:type="dxa"/>
            <w:tcBorders>
              <w:top w:val="single" w:sz="4" w:space="0" w:color="auto"/>
              <w:left w:val="nil"/>
              <w:bottom w:val="single" w:sz="4" w:space="0" w:color="auto"/>
              <w:right w:val="nil"/>
            </w:tcBorders>
          </w:tcPr>
          <w:p w14:paraId="390EA826" w14:textId="3DD2E121" w:rsidR="008F2E71" w:rsidRDefault="008F2E71" w:rsidP="00450E20">
            <w:pPr>
              <w:pStyle w:val="TableBodyTextrightalign"/>
            </w:pPr>
            <w:r w:rsidRPr="00F96339">
              <w:t>$179,935</w:t>
            </w:r>
          </w:p>
        </w:tc>
        <w:tc>
          <w:tcPr>
            <w:tcW w:w="1129" w:type="dxa"/>
            <w:tcBorders>
              <w:top w:val="single" w:sz="4" w:space="0" w:color="auto"/>
              <w:left w:val="nil"/>
              <w:bottom w:val="single" w:sz="4" w:space="0" w:color="auto"/>
              <w:right w:val="nil"/>
            </w:tcBorders>
          </w:tcPr>
          <w:p w14:paraId="02557E4B" w14:textId="5E139257" w:rsidR="008F2E71" w:rsidRDefault="008F2E71" w:rsidP="00450E20">
            <w:pPr>
              <w:pStyle w:val="TableBodyTextrightalign"/>
            </w:pPr>
            <w:r w:rsidRPr="00F96339">
              <w:t>$152,946</w:t>
            </w:r>
          </w:p>
        </w:tc>
        <w:tc>
          <w:tcPr>
            <w:tcW w:w="1360" w:type="dxa"/>
            <w:tcBorders>
              <w:top w:val="single" w:sz="4" w:space="0" w:color="auto"/>
              <w:left w:val="nil"/>
              <w:bottom w:val="single" w:sz="4" w:space="0" w:color="auto"/>
              <w:right w:val="nil"/>
            </w:tcBorders>
          </w:tcPr>
          <w:p w14:paraId="24DAB779" w14:textId="2FE20E44" w:rsidR="008F2E71" w:rsidRDefault="008F2E71" w:rsidP="00450E20">
            <w:pPr>
              <w:pStyle w:val="TableBodyTextrightalign"/>
            </w:pPr>
            <w:r w:rsidRPr="00F96339">
              <w:t>$26,989</w:t>
            </w:r>
          </w:p>
        </w:tc>
      </w:tr>
      <w:tr w:rsidR="008F2E71" w14:paraId="480C845F" w14:textId="77777777" w:rsidTr="00786D36">
        <w:trPr>
          <w:trHeight w:val="268"/>
        </w:trPr>
        <w:tc>
          <w:tcPr>
            <w:tcW w:w="1418" w:type="dxa"/>
            <w:tcBorders>
              <w:top w:val="single" w:sz="4" w:space="0" w:color="auto"/>
              <w:left w:val="nil"/>
              <w:bottom w:val="single" w:sz="4" w:space="0" w:color="auto"/>
              <w:right w:val="nil"/>
            </w:tcBorders>
            <w:noWrap/>
          </w:tcPr>
          <w:p w14:paraId="7E3BD309" w14:textId="3650480D" w:rsidR="008F2E71" w:rsidRDefault="000F4FA9" w:rsidP="008F2E71">
            <w:pPr>
              <w:pStyle w:val="TableBodyText"/>
            </w:pPr>
            <w:r w:rsidRPr="006C40C5">
              <w:t>Cube Group Management Consulting (Australia) Pty Ltd</w:t>
            </w:r>
          </w:p>
        </w:tc>
        <w:tc>
          <w:tcPr>
            <w:tcW w:w="2690" w:type="dxa"/>
            <w:tcBorders>
              <w:top w:val="single" w:sz="4" w:space="0" w:color="auto"/>
              <w:left w:val="nil"/>
              <w:bottom w:val="single" w:sz="4" w:space="0" w:color="auto"/>
              <w:right w:val="nil"/>
            </w:tcBorders>
          </w:tcPr>
          <w:p w14:paraId="581BEFB0" w14:textId="45E7ED47" w:rsidR="008F2E71" w:rsidRDefault="006328B3" w:rsidP="008F2E71">
            <w:pPr>
              <w:pStyle w:val="TableBodyText"/>
            </w:pPr>
            <w:r w:rsidRPr="006328B3">
              <w:t>Review, refine, benchmark, test and provide recommendations on development of a reporting framework.</w:t>
            </w:r>
          </w:p>
        </w:tc>
        <w:tc>
          <w:tcPr>
            <w:tcW w:w="985" w:type="dxa"/>
            <w:tcBorders>
              <w:top w:val="single" w:sz="4" w:space="0" w:color="auto"/>
              <w:left w:val="nil"/>
              <w:bottom w:val="single" w:sz="4" w:space="0" w:color="auto"/>
              <w:right w:val="nil"/>
            </w:tcBorders>
          </w:tcPr>
          <w:p w14:paraId="42C710AC" w14:textId="0E4A0772" w:rsidR="008F2E71" w:rsidRDefault="008F2E71" w:rsidP="00F3530C">
            <w:pPr>
              <w:pStyle w:val="TableBodyTextrightalign"/>
            </w:pPr>
            <w:r w:rsidRPr="00F96339">
              <w:t>Jun-23</w:t>
            </w:r>
          </w:p>
        </w:tc>
        <w:tc>
          <w:tcPr>
            <w:tcW w:w="953" w:type="dxa"/>
            <w:tcBorders>
              <w:top w:val="single" w:sz="4" w:space="0" w:color="auto"/>
              <w:left w:val="nil"/>
              <w:bottom w:val="single" w:sz="4" w:space="0" w:color="auto"/>
              <w:right w:val="nil"/>
            </w:tcBorders>
          </w:tcPr>
          <w:p w14:paraId="69D7793D" w14:textId="490C517E" w:rsidR="008F2E71" w:rsidRDefault="008F2E71" w:rsidP="00F3530C">
            <w:pPr>
              <w:pStyle w:val="TableBodyTextrightalign"/>
            </w:pPr>
            <w:r w:rsidRPr="00F96339">
              <w:t>Jun-23</w:t>
            </w:r>
          </w:p>
        </w:tc>
        <w:tc>
          <w:tcPr>
            <w:tcW w:w="1325" w:type="dxa"/>
            <w:tcBorders>
              <w:top w:val="single" w:sz="4" w:space="0" w:color="auto"/>
              <w:left w:val="nil"/>
              <w:bottom w:val="single" w:sz="4" w:space="0" w:color="auto"/>
              <w:right w:val="nil"/>
            </w:tcBorders>
          </w:tcPr>
          <w:p w14:paraId="0A530270" w14:textId="789F27A3" w:rsidR="008F2E71" w:rsidRDefault="008F2E71" w:rsidP="00450E20">
            <w:pPr>
              <w:pStyle w:val="TableBodyTextrightalign"/>
            </w:pPr>
            <w:r w:rsidRPr="00F96339">
              <w:t>$45,454</w:t>
            </w:r>
          </w:p>
        </w:tc>
        <w:tc>
          <w:tcPr>
            <w:tcW w:w="1129" w:type="dxa"/>
            <w:tcBorders>
              <w:top w:val="single" w:sz="4" w:space="0" w:color="auto"/>
              <w:left w:val="nil"/>
              <w:bottom w:val="single" w:sz="4" w:space="0" w:color="auto"/>
              <w:right w:val="nil"/>
            </w:tcBorders>
          </w:tcPr>
          <w:p w14:paraId="2D913E08" w14:textId="0CC08264" w:rsidR="008F2E71" w:rsidRDefault="008F2E71" w:rsidP="00450E20">
            <w:pPr>
              <w:pStyle w:val="TableBodyTextrightalign"/>
            </w:pPr>
            <w:r w:rsidRPr="00F96339">
              <w:t>$45,545</w:t>
            </w:r>
          </w:p>
        </w:tc>
        <w:tc>
          <w:tcPr>
            <w:tcW w:w="1360" w:type="dxa"/>
            <w:tcBorders>
              <w:top w:val="single" w:sz="4" w:space="0" w:color="auto"/>
              <w:left w:val="nil"/>
              <w:bottom w:val="single" w:sz="4" w:space="0" w:color="auto"/>
              <w:right w:val="nil"/>
            </w:tcBorders>
          </w:tcPr>
          <w:p w14:paraId="38058D5A" w14:textId="748ABA36" w:rsidR="008F2E71" w:rsidRDefault="00786D36" w:rsidP="00450E20">
            <w:pPr>
              <w:pStyle w:val="TableBodyTextrightalign"/>
            </w:pPr>
            <w:r>
              <w:t>–</w:t>
            </w:r>
          </w:p>
        </w:tc>
      </w:tr>
      <w:tr w:rsidR="004C3F0C" w14:paraId="269BE1B6" w14:textId="77777777" w:rsidTr="00786D36">
        <w:trPr>
          <w:trHeight w:val="35"/>
        </w:trPr>
        <w:tc>
          <w:tcPr>
            <w:tcW w:w="1418" w:type="dxa"/>
            <w:tcBorders>
              <w:top w:val="single" w:sz="4" w:space="0" w:color="auto"/>
              <w:left w:val="nil"/>
              <w:bottom w:val="single" w:sz="4" w:space="0" w:color="auto"/>
              <w:right w:val="nil"/>
            </w:tcBorders>
          </w:tcPr>
          <w:p w14:paraId="233EFFB7" w14:textId="030AAD67" w:rsidR="004C3F0C" w:rsidRDefault="004D07FE" w:rsidP="004C3F0C">
            <w:pPr>
              <w:pStyle w:val="TableBodyText"/>
            </w:pPr>
            <w:r>
              <w:t xml:space="preserve">FBG Group Pty Ltd </w:t>
            </w:r>
          </w:p>
        </w:tc>
        <w:tc>
          <w:tcPr>
            <w:tcW w:w="2690" w:type="dxa"/>
            <w:tcBorders>
              <w:top w:val="single" w:sz="4" w:space="0" w:color="auto"/>
              <w:left w:val="nil"/>
              <w:bottom w:val="single" w:sz="4" w:space="0" w:color="auto"/>
              <w:right w:val="nil"/>
            </w:tcBorders>
          </w:tcPr>
          <w:p w14:paraId="42E4C2BB" w14:textId="07FB8F89" w:rsidR="004C3F0C" w:rsidRDefault="00DB5EFE" w:rsidP="004C3F0C">
            <w:pPr>
              <w:pStyle w:val="TableBodyText"/>
            </w:pPr>
            <w:r w:rsidRPr="00DB5EFE">
              <w:t>Psychosocial risk assessment and development of a tailored wellbeing policy for the Assessment of Review team.</w:t>
            </w:r>
          </w:p>
        </w:tc>
        <w:tc>
          <w:tcPr>
            <w:tcW w:w="985" w:type="dxa"/>
            <w:tcBorders>
              <w:top w:val="single" w:sz="4" w:space="0" w:color="auto"/>
              <w:left w:val="nil"/>
              <w:bottom w:val="single" w:sz="4" w:space="0" w:color="auto"/>
              <w:right w:val="nil"/>
            </w:tcBorders>
          </w:tcPr>
          <w:p w14:paraId="5D0F6310" w14:textId="66F23A43" w:rsidR="004C3F0C" w:rsidRDefault="004C3F0C" w:rsidP="00F3530C">
            <w:pPr>
              <w:pStyle w:val="TableBodyTextrightalign"/>
            </w:pPr>
            <w:r w:rsidRPr="00402109">
              <w:t>Sep-22</w:t>
            </w:r>
          </w:p>
        </w:tc>
        <w:tc>
          <w:tcPr>
            <w:tcW w:w="953" w:type="dxa"/>
            <w:tcBorders>
              <w:top w:val="single" w:sz="4" w:space="0" w:color="auto"/>
              <w:left w:val="nil"/>
              <w:bottom w:val="single" w:sz="4" w:space="0" w:color="auto"/>
              <w:right w:val="nil"/>
            </w:tcBorders>
          </w:tcPr>
          <w:p w14:paraId="32584291" w14:textId="75B21426" w:rsidR="004C3F0C" w:rsidRDefault="004C3F0C" w:rsidP="00F3530C">
            <w:pPr>
              <w:pStyle w:val="TableBodyTextrightalign"/>
            </w:pPr>
            <w:r w:rsidRPr="00402109">
              <w:t>Jun-23</w:t>
            </w:r>
          </w:p>
        </w:tc>
        <w:tc>
          <w:tcPr>
            <w:tcW w:w="1325" w:type="dxa"/>
            <w:tcBorders>
              <w:top w:val="single" w:sz="4" w:space="0" w:color="auto"/>
              <w:left w:val="nil"/>
              <w:bottom w:val="single" w:sz="4" w:space="0" w:color="auto"/>
              <w:right w:val="nil"/>
            </w:tcBorders>
          </w:tcPr>
          <w:p w14:paraId="7EFE81C6" w14:textId="4BBBE0A7" w:rsidR="004C3F0C" w:rsidRDefault="004C3F0C" w:rsidP="00450E20">
            <w:pPr>
              <w:pStyle w:val="TableBodyTextrightalign"/>
            </w:pPr>
            <w:r w:rsidRPr="00402109">
              <w:t>$57,590</w:t>
            </w:r>
          </w:p>
        </w:tc>
        <w:tc>
          <w:tcPr>
            <w:tcW w:w="1129" w:type="dxa"/>
            <w:tcBorders>
              <w:top w:val="single" w:sz="4" w:space="0" w:color="auto"/>
              <w:left w:val="nil"/>
              <w:bottom w:val="single" w:sz="4" w:space="0" w:color="auto"/>
              <w:right w:val="nil"/>
            </w:tcBorders>
          </w:tcPr>
          <w:p w14:paraId="04C5859D" w14:textId="01A64169" w:rsidR="004C3F0C" w:rsidRDefault="004C3F0C" w:rsidP="00450E20">
            <w:pPr>
              <w:pStyle w:val="TableBodyTextrightalign"/>
            </w:pPr>
            <w:r w:rsidRPr="00402109">
              <w:t>$56,500</w:t>
            </w:r>
          </w:p>
        </w:tc>
        <w:tc>
          <w:tcPr>
            <w:tcW w:w="1360" w:type="dxa"/>
            <w:tcBorders>
              <w:top w:val="single" w:sz="4" w:space="0" w:color="auto"/>
              <w:left w:val="nil"/>
              <w:bottom w:val="single" w:sz="4" w:space="0" w:color="auto"/>
              <w:right w:val="nil"/>
            </w:tcBorders>
          </w:tcPr>
          <w:p w14:paraId="28A3951A" w14:textId="37EC8891" w:rsidR="004C3F0C" w:rsidRDefault="00786D36" w:rsidP="00450E20">
            <w:pPr>
              <w:pStyle w:val="TableBodyTextrightalign"/>
            </w:pPr>
            <w:r>
              <w:t>–</w:t>
            </w:r>
          </w:p>
        </w:tc>
      </w:tr>
    </w:tbl>
    <w:p w14:paraId="452EBFBC" w14:textId="77777777" w:rsidR="009C2188" w:rsidRDefault="009C2188" w:rsidP="009C2188">
      <w:pPr>
        <w:pStyle w:val="TableNote"/>
      </w:pPr>
    </w:p>
    <w:p w14:paraId="2D7E671D" w14:textId="7E523A5E" w:rsidR="009C2188" w:rsidRDefault="009C2188" w:rsidP="00B07072">
      <w:pPr>
        <w:pStyle w:val="Heading4"/>
      </w:pPr>
      <w:bookmarkStart w:id="249" w:name="_Ref149136887"/>
      <w:r>
        <w:t>Consultancies (under</w:t>
      </w:r>
      <w:r w:rsidR="00025C73">
        <w:t xml:space="preserve"> </w:t>
      </w:r>
      <w:r>
        <w:t>$10,000)</w:t>
      </w:r>
      <w:bookmarkEnd w:id="249"/>
    </w:p>
    <w:p w14:paraId="654698E0" w14:textId="190654DC" w:rsidR="009C2188" w:rsidRDefault="009C2188" w:rsidP="009C2188">
      <w:pPr>
        <w:pStyle w:val="BodyText"/>
      </w:pPr>
      <w:bookmarkStart w:id="250" w:name="_Toc81209846"/>
      <w:r>
        <w:t xml:space="preserve">IBAC </w:t>
      </w:r>
      <w:r w:rsidR="00DB5EFE">
        <w:t xml:space="preserve">did not </w:t>
      </w:r>
      <w:r>
        <w:t>engage consultants where the total fees payable to the individual consultancy was less than $10,000.</w:t>
      </w:r>
    </w:p>
    <w:p w14:paraId="6063C54E" w14:textId="44C33E38" w:rsidR="009C2188" w:rsidRDefault="009C2188" w:rsidP="009C2188">
      <w:pPr>
        <w:pStyle w:val="Heading3"/>
      </w:pPr>
      <w:bookmarkStart w:id="251" w:name="_Ref149136909"/>
      <w:r>
        <w:t>ICT expenditure</w:t>
      </w:r>
      <w:bookmarkEnd w:id="251"/>
    </w:p>
    <w:p w14:paraId="6E952BCE" w14:textId="3049CF6F" w:rsidR="009C2188" w:rsidRDefault="009C2188" w:rsidP="00834775">
      <w:pPr>
        <w:pStyle w:val="Caption"/>
      </w:pPr>
      <w:r>
        <w:t xml:space="preserve">Table </w:t>
      </w:r>
      <w:r>
        <w:fldChar w:fldCharType="begin"/>
      </w:r>
      <w:r>
        <w:instrText xml:space="preserve"> SEQ Table \* ARABIC </w:instrText>
      </w:r>
      <w:r>
        <w:fldChar w:fldCharType="separate"/>
      </w:r>
      <w:r w:rsidR="00214316">
        <w:rPr>
          <w:noProof/>
        </w:rPr>
        <w:t>29</w:t>
      </w:r>
      <w:r>
        <w:rPr>
          <w:noProof/>
        </w:rPr>
        <w:fldChar w:fldCharType="end"/>
      </w:r>
      <w:r>
        <w:t>: ICT expenditure</w:t>
      </w:r>
    </w:p>
    <w:tbl>
      <w:tblPr>
        <w:tblStyle w:val="CustomTablestandard"/>
        <w:tblW w:w="0" w:type="auto"/>
        <w:tblLook w:val="04A0" w:firstRow="1" w:lastRow="0" w:firstColumn="1" w:lastColumn="0" w:noHBand="0" w:noVBand="1"/>
      </w:tblPr>
      <w:tblGrid>
        <w:gridCol w:w="4536"/>
        <w:gridCol w:w="851"/>
      </w:tblGrid>
      <w:tr w:rsidR="009C2188" w14:paraId="5A967891" w14:textId="77777777">
        <w:trPr>
          <w:cnfStyle w:val="100000000000" w:firstRow="1" w:lastRow="0" w:firstColumn="0" w:lastColumn="0" w:oddVBand="0" w:evenVBand="0" w:oddHBand="0" w:evenHBand="0" w:firstRowFirstColumn="0" w:firstRowLastColumn="0" w:lastRowFirstColumn="0" w:lastRowLastColumn="0"/>
        </w:trPr>
        <w:tc>
          <w:tcPr>
            <w:tcW w:w="4536" w:type="dxa"/>
            <w:tcBorders>
              <w:left w:val="nil"/>
            </w:tcBorders>
          </w:tcPr>
          <w:p w14:paraId="6BBE824F" w14:textId="77777777" w:rsidR="009C2188" w:rsidRDefault="009C2188">
            <w:pPr>
              <w:pStyle w:val="TableBodyText"/>
              <w:rPr>
                <w:rFonts w:asciiTheme="minorHAnsi" w:hAnsiTheme="minorHAnsi" w:cstheme="minorHAnsi"/>
                <w:lang w:val="en-US" w:eastAsia="en-US"/>
              </w:rPr>
            </w:pPr>
          </w:p>
        </w:tc>
        <w:tc>
          <w:tcPr>
            <w:tcW w:w="851" w:type="dxa"/>
            <w:tcBorders>
              <w:right w:val="nil"/>
            </w:tcBorders>
            <w:hideMark/>
          </w:tcPr>
          <w:p w14:paraId="0699EFF0" w14:textId="77777777" w:rsidR="009C2188" w:rsidRDefault="009C2188">
            <w:pPr>
              <w:pStyle w:val="TableHeading3rightalign"/>
              <w:rPr>
                <w:lang w:eastAsia="en-US"/>
              </w:rPr>
            </w:pPr>
            <w:r>
              <w:rPr>
                <w:lang w:eastAsia="en-US"/>
              </w:rPr>
              <w:t>$m</w:t>
            </w:r>
          </w:p>
        </w:tc>
      </w:tr>
      <w:tr w:rsidR="009C2188" w14:paraId="58233222" w14:textId="77777777">
        <w:tc>
          <w:tcPr>
            <w:tcW w:w="4536" w:type="dxa"/>
            <w:tcBorders>
              <w:top w:val="single" w:sz="4" w:space="0" w:color="auto"/>
              <w:left w:val="nil"/>
              <w:bottom w:val="single" w:sz="4" w:space="0" w:color="auto"/>
              <w:right w:val="nil"/>
            </w:tcBorders>
            <w:hideMark/>
          </w:tcPr>
          <w:p w14:paraId="599C3D39" w14:textId="7E6D14DA" w:rsidR="009C2188" w:rsidRDefault="009C2188">
            <w:pPr>
              <w:pStyle w:val="TableBodyText"/>
              <w:rPr>
                <w:rStyle w:val="Characterbold"/>
                <w:bCs w:val="0"/>
              </w:rPr>
            </w:pPr>
            <w:r>
              <w:rPr>
                <w:rStyle w:val="Characterbold"/>
                <w:bCs w:val="0"/>
                <w:lang w:eastAsia="en-US"/>
              </w:rPr>
              <w:t>Business</w:t>
            </w:r>
            <w:r w:rsidR="00265665">
              <w:rPr>
                <w:rStyle w:val="Characterbold"/>
                <w:bCs w:val="0"/>
                <w:lang w:eastAsia="en-US"/>
              </w:rPr>
              <w:t>-</w:t>
            </w:r>
            <w:r>
              <w:rPr>
                <w:rStyle w:val="Characterbold"/>
                <w:bCs w:val="0"/>
                <w:lang w:eastAsia="en-US"/>
              </w:rPr>
              <w:t>as</w:t>
            </w:r>
            <w:r w:rsidR="00265665">
              <w:rPr>
                <w:rStyle w:val="Characterbold"/>
                <w:bCs w:val="0"/>
                <w:lang w:eastAsia="en-US"/>
              </w:rPr>
              <w:t>-</w:t>
            </w:r>
            <w:r>
              <w:rPr>
                <w:rStyle w:val="Characterbold"/>
                <w:bCs w:val="0"/>
                <w:lang w:eastAsia="en-US"/>
              </w:rPr>
              <w:t>usual (BAU) ICT expenditure</w:t>
            </w:r>
          </w:p>
        </w:tc>
        <w:tc>
          <w:tcPr>
            <w:tcW w:w="851" w:type="dxa"/>
            <w:tcBorders>
              <w:top w:val="single" w:sz="4" w:space="0" w:color="auto"/>
              <w:left w:val="nil"/>
              <w:bottom w:val="single" w:sz="4" w:space="0" w:color="auto"/>
              <w:right w:val="nil"/>
            </w:tcBorders>
            <w:hideMark/>
          </w:tcPr>
          <w:p w14:paraId="59E598C9" w14:textId="29212C7B" w:rsidR="009C2188" w:rsidRDefault="00DB5EFE">
            <w:pPr>
              <w:pStyle w:val="TableBodyTextrightalign"/>
              <w:rPr>
                <w:rStyle w:val="Characterbold"/>
                <w:bCs w:val="0"/>
                <w:lang w:eastAsia="en-US"/>
              </w:rPr>
            </w:pPr>
            <w:r>
              <w:rPr>
                <w:rStyle w:val="Characterbold"/>
              </w:rPr>
              <w:t>7.9</w:t>
            </w:r>
          </w:p>
        </w:tc>
      </w:tr>
      <w:tr w:rsidR="009C2188" w14:paraId="5A6E6358" w14:textId="77777777">
        <w:tc>
          <w:tcPr>
            <w:tcW w:w="4536" w:type="dxa"/>
            <w:tcBorders>
              <w:top w:val="single" w:sz="4" w:space="0" w:color="auto"/>
              <w:left w:val="nil"/>
              <w:bottom w:val="single" w:sz="4" w:space="0" w:color="auto"/>
              <w:right w:val="nil"/>
            </w:tcBorders>
            <w:hideMark/>
          </w:tcPr>
          <w:p w14:paraId="59471765" w14:textId="77777777" w:rsidR="009C2188" w:rsidRDefault="009C2188">
            <w:pPr>
              <w:pStyle w:val="TableBodyText"/>
              <w:rPr>
                <w:rStyle w:val="Characterbold"/>
                <w:bCs w:val="0"/>
                <w:lang w:eastAsia="en-US"/>
              </w:rPr>
            </w:pPr>
            <w:r>
              <w:rPr>
                <w:rStyle w:val="Characterbold"/>
                <w:bCs w:val="0"/>
                <w:lang w:eastAsia="en-US"/>
              </w:rPr>
              <w:t>Total non-BAU ICT expenditure</w:t>
            </w:r>
          </w:p>
        </w:tc>
        <w:tc>
          <w:tcPr>
            <w:tcW w:w="851" w:type="dxa"/>
            <w:tcBorders>
              <w:top w:val="single" w:sz="4" w:space="0" w:color="auto"/>
              <w:left w:val="nil"/>
              <w:bottom w:val="single" w:sz="4" w:space="0" w:color="auto"/>
              <w:right w:val="nil"/>
            </w:tcBorders>
            <w:hideMark/>
          </w:tcPr>
          <w:p w14:paraId="17595DC1" w14:textId="05C58D20" w:rsidR="009C2188" w:rsidRDefault="00DB5EFE">
            <w:pPr>
              <w:pStyle w:val="TableBodyTextrightalign"/>
              <w:rPr>
                <w:rStyle w:val="Characterbold"/>
                <w:bCs w:val="0"/>
                <w:lang w:eastAsia="en-US"/>
              </w:rPr>
            </w:pPr>
            <w:r>
              <w:rPr>
                <w:rStyle w:val="Characterbold"/>
              </w:rPr>
              <w:t>3.2</w:t>
            </w:r>
          </w:p>
        </w:tc>
      </w:tr>
      <w:tr w:rsidR="009C2188" w14:paraId="3DA2505B" w14:textId="77777777">
        <w:tc>
          <w:tcPr>
            <w:tcW w:w="4536" w:type="dxa"/>
            <w:tcBorders>
              <w:top w:val="single" w:sz="4" w:space="0" w:color="auto"/>
              <w:left w:val="nil"/>
              <w:bottom w:val="single" w:sz="4" w:space="0" w:color="auto"/>
              <w:right w:val="nil"/>
            </w:tcBorders>
            <w:hideMark/>
          </w:tcPr>
          <w:p w14:paraId="57E60394" w14:textId="77777777" w:rsidR="009C2188" w:rsidRDefault="009C2188">
            <w:pPr>
              <w:pStyle w:val="TableBodyText"/>
              <w:rPr>
                <w:lang w:val="en-US"/>
              </w:rPr>
            </w:pPr>
            <w:r>
              <w:rPr>
                <w:lang w:eastAsia="en-US"/>
              </w:rPr>
              <w:t>Operational non-BAU expenditure</w:t>
            </w:r>
          </w:p>
        </w:tc>
        <w:tc>
          <w:tcPr>
            <w:tcW w:w="851" w:type="dxa"/>
            <w:tcBorders>
              <w:top w:val="single" w:sz="4" w:space="0" w:color="auto"/>
              <w:left w:val="nil"/>
              <w:bottom w:val="single" w:sz="4" w:space="0" w:color="auto"/>
              <w:right w:val="nil"/>
            </w:tcBorders>
            <w:hideMark/>
          </w:tcPr>
          <w:p w14:paraId="2E243216" w14:textId="5A2F39B1" w:rsidR="009C2188" w:rsidRDefault="00DB5EFE">
            <w:pPr>
              <w:pStyle w:val="TableBodyTextrightalign"/>
              <w:rPr>
                <w:lang w:eastAsia="en-US"/>
              </w:rPr>
            </w:pPr>
            <w:r>
              <w:t>1.4</w:t>
            </w:r>
          </w:p>
        </w:tc>
      </w:tr>
      <w:tr w:rsidR="009C2188" w14:paraId="385C642E" w14:textId="77777777">
        <w:tc>
          <w:tcPr>
            <w:tcW w:w="4536" w:type="dxa"/>
            <w:tcBorders>
              <w:top w:val="single" w:sz="4" w:space="0" w:color="auto"/>
              <w:left w:val="nil"/>
              <w:bottom w:val="single" w:sz="4" w:space="0" w:color="auto"/>
              <w:right w:val="nil"/>
            </w:tcBorders>
            <w:hideMark/>
          </w:tcPr>
          <w:p w14:paraId="16F18F26" w14:textId="77777777" w:rsidR="009C2188" w:rsidRDefault="009C2188">
            <w:pPr>
              <w:pStyle w:val="TableBodyText"/>
              <w:rPr>
                <w:lang w:eastAsia="en-US"/>
              </w:rPr>
            </w:pPr>
            <w:r>
              <w:rPr>
                <w:lang w:eastAsia="en-US"/>
              </w:rPr>
              <w:t>Capital non-BAU expenditure</w:t>
            </w:r>
          </w:p>
        </w:tc>
        <w:tc>
          <w:tcPr>
            <w:tcW w:w="851" w:type="dxa"/>
            <w:tcBorders>
              <w:top w:val="single" w:sz="4" w:space="0" w:color="auto"/>
              <w:left w:val="nil"/>
              <w:bottom w:val="single" w:sz="4" w:space="0" w:color="auto"/>
              <w:right w:val="nil"/>
            </w:tcBorders>
            <w:hideMark/>
          </w:tcPr>
          <w:p w14:paraId="4C0D6159" w14:textId="49AE3497" w:rsidR="009C2188" w:rsidRDefault="00DB5EFE">
            <w:pPr>
              <w:pStyle w:val="TableBodyTextrightalign"/>
              <w:rPr>
                <w:lang w:eastAsia="en-US"/>
              </w:rPr>
            </w:pPr>
            <w:r>
              <w:t>1.8</w:t>
            </w:r>
          </w:p>
        </w:tc>
      </w:tr>
    </w:tbl>
    <w:p w14:paraId="71D21D8A" w14:textId="4DF57760" w:rsidR="009C2188" w:rsidRPr="00105817" w:rsidRDefault="009C2188" w:rsidP="00CF2752">
      <w:pPr>
        <w:pStyle w:val="BodyText"/>
        <w:rPr>
          <w:rStyle w:val="Characteryellowhighlight"/>
        </w:rPr>
      </w:pPr>
      <w:r>
        <w:t xml:space="preserve">In </w:t>
      </w:r>
      <w:r w:rsidR="000A1691">
        <w:t>2022/23</w:t>
      </w:r>
      <w:r>
        <w:t>, IBAC’s total ICT expenditure was $</w:t>
      </w:r>
      <w:r w:rsidR="001E31A0">
        <w:t>11.2</w:t>
      </w:r>
      <w:r w:rsidR="00025C73">
        <w:t xml:space="preserve"> </w:t>
      </w:r>
      <w:r>
        <w:t>million</w:t>
      </w:r>
      <w:r w:rsidRPr="00295029">
        <w:t xml:space="preserve">, </w:t>
      </w:r>
      <w:r w:rsidRPr="00786D36">
        <w:t>an increase</w:t>
      </w:r>
      <w:r>
        <w:t xml:space="preserve"> of </w:t>
      </w:r>
      <w:r w:rsidR="00CF2752">
        <w:t>$1.4</w:t>
      </w:r>
      <w:r w:rsidR="00295029">
        <w:t xml:space="preserve"> million</w:t>
      </w:r>
      <w:r w:rsidR="001E31A0">
        <w:t xml:space="preserve"> or 14.1</w:t>
      </w:r>
      <w:r>
        <w:t xml:space="preserve"> per cent compared to </w:t>
      </w:r>
      <w:r w:rsidR="000A1691">
        <w:t>2021/22</w:t>
      </w:r>
      <w:r>
        <w:t xml:space="preserve">. </w:t>
      </w:r>
    </w:p>
    <w:p w14:paraId="24C42521" w14:textId="77777777" w:rsidR="009C2188" w:rsidRDefault="009C2188" w:rsidP="009C2188">
      <w:pPr>
        <w:pStyle w:val="Heading2"/>
      </w:pPr>
      <w:bookmarkStart w:id="252" w:name="_Toc133585243"/>
      <w:bookmarkStart w:id="253" w:name="_Toc133920518"/>
      <w:bookmarkStart w:id="254" w:name="_Ref149136178"/>
      <w:r>
        <w:t>Disclosure of major contracts</w:t>
      </w:r>
      <w:bookmarkEnd w:id="252"/>
      <w:bookmarkEnd w:id="253"/>
      <w:bookmarkEnd w:id="254"/>
    </w:p>
    <w:p w14:paraId="13D12F58" w14:textId="5FD7AB9B" w:rsidR="009C2188" w:rsidRPr="00295029" w:rsidRDefault="009C2188" w:rsidP="00295029">
      <w:pPr>
        <w:pStyle w:val="BodyText"/>
      </w:pPr>
      <w:r w:rsidRPr="007E78B5">
        <w:t xml:space="preserve">IBAC did not award any major contracts greater than $10 million during </w:t>
      </w:r>
      <w:r w:rsidR="000A1691" w:rsidRPr="007E78B5">
        <w:t>2022/23</w:t>
      </w:r>
      <w:r w:rsidRPr="00295029">
        <w:t>.</w:t>
      </w:r>
    </w:p>
    <w:p w14:paraId="5BBA992F" w14:textId="77777777" w:rsidR="001E1680" w:rsidRDefault="001E1680" w:rsidP="00A32031">
      <w:pPr>
        <w:pStyle w:val="Heading2"/>
      </w:pPr>
      <w:r w:rsidRPr="00DC6283">
        <w:t xml:space="preserve">Disclosure of </w:t>
      </w:r>
      <w:r>
        <w:t>e</w:t>
      </w:r>
      <w:r w:rsidRPr="00DC6283">
        <w:t xml:space="preserve">mergency </w:t>
      </w:r>
      <w:r>
        <w:t>p</w:t>
      </w:r>
      <w:r w:rsidRPr="00DC6283">
        <w:t>rocurement</w:t>
      </w:r>
    </w:p>
    <w:p w14:paraId="11F61F32" w14:textId="7CA9A47F" w:rsidR="00A32031" w:rsidRDefault="001E1680" w:rsidP="001E1680">
      <w:pPr>
        <w:pStyle w:val="BodyText"/>
      </w:pPr>
      <w:r w:rsidRPr="00B30D1B">
        <w:t xml:space="preserve">In </w:t>
      </w:r>
      <w:r w:rsidR="000A1691">
        <w:t>2022/23</w:t>
      </w:r>
      <w:r w:rsidR="00A32031">
        <w:t>,</w:t>
      </w:r>
      <w:r>
        <w:t xml:space="preserve"> IBAC</w:t>
      </w:r>
      <w:r w:rsidRPr="00B30D1B">
        <w:t xml:space="preserve"> activated </w:t>
      </w:r>
      <w:r w:rsidR="00A32031">
        <w:t>e</w:t>
      </w:r>
      <w:r w:rsidRPr="00B30D1B">
        <w:t xml:space="preserve">mergency </w:t>
      </w:r>
      <w:r w:rsidR="00A32031">
        <w:t>p</w:t>
      </w:r>
      <w:r w:rsidRPr="00B30D1B">
        <w:t xml:space="preserve">rocurement on </w:t>
      </w:r>
      <w:r w:rsidR="006016E1">
        <w:t>zero</w:t>
      </w:r>
      <w:r w:rsidRPr="00B30D1B">
        <w:t xml:space="preserve"> occasion</w:t>
      </w:r>
      <w:r>
        <w:t>s</w:t>
      </w:r>
      <w:r w:rsidRPr="00B30D1B">
        <w:t xml:space="preserve"> in accordance with the requirements of government policy and accompanying guidelines. </w:t>
      </w:r>
      <w:r w:rsidR="006016E1">
        <w:t xml:space="preserve">No </w:t>
      </w:r>
      <w:r w:rsidRPr="00B30D1B">
        <w:t>new contracts</w:t>
      </w:r>
      <w:r w:rsidR="006016E1">
        <w:t xml:space="preserve"> </w:t>
      </w:r>
      <w:r w:rsidRPr="00B30D1B">
        <w:t xml:space="preserve">were awarded in connection with </w:t>
      </w:r>
      <w:r w:rsidR="006016E1">
        <w:t>an</w:t>
      </w:r>
      <w:r w:rsidR="006016E1" w:rsidRPr="00B30D1B">
        <w:t xml:space="preserve"> </w:t>
      </w:r>
      <w:r w:rsidRPr="00B30D1B">
        <w:t xml:space="preserve">emergency. </w:t>
      </w:r>
    </w:p>
    <w:p w14:paraId="038D677B" w14:textId="65E7551E" w:rsidR="001E1680" w:rsidRPr="00B30D1B" w:rsidRDefault="001E1680" w:rsidP="001E1680">
      <w:pPr>
        <w:pStyle w:val="BodyText"/>
      </w:pPr>
    </w:p>
    <w:p w14:paraId="38E58176" w14:textId="784490FD" w:rsidR="0030505F" w:rsidRPr="002F6765" w:rsidRDefault="00417456" w:rsidP="0030505F">
      <w:pPr>
        <w:pStyle w:val="Heading3"/>
        <w:rPr>
          <w:rFonts w:eastAsia="Calibri"/>
          <w:lang w:val="en-US"/>
        </w:rPr>
      </w:pPr>
      <w:bookmarkStart w:id="255" w:name="_Ref149166004"/>
      <w:r>
        <w:t>F</w:t>
      </w:r>
      <w:r w:rsidR="002305CC">
        <w:t>reedom of information</w:t>
      </w:r>
      <w:bookmarkEnd w:id="255"/>
    </w:p>
    <w:p w14:paraId="6EA76806" w14:textId="4D1D80B7" w:rsidR="00417456" w:rsidRDefault="00417456" w:rsidP="00417456">
      <w:pPr>
        <w:pStyle w:val="BodyText"/>
      </w:pPr>
      <w:r>
        <w:t>The FOI Act creates a right of the public to access certain documents held by public sector agencies, including IBAC.</w:t>
      </w:r>
    </w:p>
    <w:p w14:paraId="274EAFA8" w14:textId="30DEEC81" w:rsidR="00417456" w:rsidRDefault="00417456" w:rsidP="00417456">
      <w:pPr>
        <w:pStyle w:val="BodyText"/>
      </w:pPr>
      <w:r>
        <w:t>Section 194 of the IBAC Act exempts certain classes of documents held by IBAC from access through the FOI Act. Specifically, the FOI Act does not apply to a document held by IBAC to the extent to which the document discloses information that relates to any of the following:</w:t>
      </w:r>
    </w:p>
    <w:p w14:paraId="10B59514" w14:textId="38CE82FD" w:rsidR="00417456" w:rsidRDefault="00417456" w:rsidP="00417456">
      <w:pPr>
        <w:pStyle w:val="ListBullet"/>
        <w:numPr>
          <w:ilvl w:val="0"/>
          <w:numId w:val="107"/>
        </w:numPr>
      </w:pPr>
      <w:r>
        <w:t>a recommendation made by IBAC under the IBAC Act</w:t>
      </w:r>
    </w:p>
    <w:p w14:paraId="2124D9F6" w14:textId="6583FE46" w:rsidR="00417456" w:rsidRDefault="00417456" w:rsidP="00417456">
      <w:pPr>
        <w:pStyle w:val="ListBullet"/>
        <w:numPr>
          <w:ilvl w:val="0"/>
          <w:numId w:val="107"/>
        </w:numPr>
      </w:pPr>
      <w:r>
        <w:t>an investigation conducted under the IBAC Act</w:t>
      </w:r>
    </w:p>
    <w:p w14:paraId="1DCA86F7" w14:textId="13BE9F85" w:rsidR="00417456" w:rsidRDefault="00417456" w:rsidP="00417456">
      <w:pPr>
        <w:pStyle w:val="ListBullet"/>
        <w:numPr>
          <w:ilvl w:val="0"/>
          <w:numId w:val="107"/>
        </w:numPr>
      </w:pPr>
      <w:r>
        <w:t>a report, including a draft report, on an investigation conducted under the IBAC Act</w:t>
      </w:r>
    </w:p>
    <w:p w14:paraId="7DA867FA" w14:textId="12FA6DDD" w:rsidR="00417456" w:rsidRDefault="00417456" w:rsidP="00417456">
      <w:pPr>
        <w:pStyle w:val="ListBullet"/>
        <w:numPr>
          <w:ilvl w:val="0"/>
          <w:numId w:val="107"/>
        </w:numPr>
      </w:pPr>
      <w:r>
        <w:t>a complaint made to IBAC</w:t>
      </w:r>
    </w:p>
    <w:p w14:paraId="40A9CF24" w14:textId="2C5561C5" w:rsidR="00417456" w:rsidRDefault="00417456" w:rsidP="00417456">
      <w:pPr>
        <w:pStyle w:val="ListBullet"/>
        <w:numPr>
          <w:ilvl w:val="0"/>
          <w:numId w:val="107"/>
        </w:numPr>
      </w:pPr>
      <w:r>
        <w:t>information received by IBAC under section 56 of the IBAC Act</w:t>
      </w:r>
    </w:p>
    <w:p w14:paraId="4D7C7284" w14:textId="77777777" w:rsidR="00417456" w:rsidRDefault="00417456" w:rsidP="00417456">
      <w:pPr>
        <w:pStyle w:val="ListBullet"/>
        <w:numPr>
          <w:ilvl w:val="0"/>
          <w:numId w:val="107"/>
        </w:numPr>
      </w:pPr>
      <w:r>
        <w:t>a notification made to IBAC under a mandatory notification provision; or</w:t>
      </w:r>
    </w:p>
    <w:p w14:paraId="3A421502" w14:textId="77777777" w:rsidR="00417456" w:rsidRDefault="00417456" w:rsidP="00417456">
      <w:pPr>
        <w:pStyle w:val="ListBullet"/>
        <w:numPr>
          <w:ilvl w:val="0"/>
          <w:numId w:val="107"/>
        </w:numPr>
      </w:pPr>
      <w:r>
        <w:t>a preliminary inquiry.</w:t>
      </w:r>
    </w:p>
    <w:p w14:paraId="1778A49E" w14:textId="13188E1B" w:rsidR="001E70A6" w:rsidRPr="00E4604E" w:rsidRDefault="00417456" w:rsidP="00E4604E">
      <w:pPr>
        <w:pStyle w:val="BodyText"/>
      </w:pPr>
      <w:r w:rsidRPr="00E4604E">
        <w:t xml:space="preserve">In </w:t>
      </w:r>
      <w:r w:rsidR="000A1691" w:rsidRPr="00E4604E">
        <w:t>2022/23</w:t>
      </w:r>
      <w:r w:rsidRPr="00E4604E">
        <w:t xml:space="preserve">, IBAC received 15 requests for access to documents under the FOI Act. Twelve requests were from members of the public and </w:t>
      </w:r>
      <w:r w:rsidR="009F46DE" w:rsidRPr="00E4604E">
        <w:t>three</w:t>
      </w:r>
      <w:r w:rsidRPr="00E4604E">
        <w:t xml:space="preserve"> requests were from the media. Due to the operation of section 194 of the IBAC Act, the FOI Act did not apply to </w:t>
      </w:r>
      <w:r w:rsidR="00B432C2" w:rsidRPr="00E4604E">
        <w:t>seven</w:t>
      </w:r>
      <w:r w:rsidRPr="00E4604E">
        <w:t xml:space="preserve"> of the FOI requests</w:t>
      </w:r>
      <w:r w:rsidR="001E70A6" w:rsidRPr="00E4604E">
        <w:t xml:space="preserve">. </w:t>
      </w:r>
    </w:p>
    <w:p w14:paraId="494B3ED6" w14:textId="005C2764" w:rsidR="00E4604E" w:rsidRPr="00E4604E" w:rsidRDefault="00E4604E" w:rsidP="00E4604E">
      <w:pPr>
        <w:pStyle w:val="BodyText"/>
      </w:pPr>
      <w:r w:rsidRPr="00E4604E">
        <w:t xml:space="preserve">Of the two substantive FOI decisions made by IBAC </w:t>
      </w:r>
      <w:r w:rsidR="008E15D6">
        <w:t>in 2022/23</w:t>
      </w:r>
      <w:r w:rsidRPr="00E4604E">
        <w:t xml:space="preserve">, both were finalised within the statutory timeframe. One of these decisions related to an application made in </w:t>
      </w:r>
      <w:r w:rsidR="008E15D6">
        <w:t>20</w:t>
      </w:r>
      <w:r w:rsidRPr="00E4604E">
        <w:t xml:space="preserve">21/22 and </w:t>
      </w:r>
      <w:r w:rsidR="000B4369">
        <w:t xml:space="preserve">is </w:t>
      </w:r>
      <w:r w:rsidRPr="00E4604E">
        <w:t xml:space="preserve">therefore not included in </w:t>
      </w:r>
      <w:r w:rsidR="000B4369">
        <w:t>T</w:t>
      </w:r>
      <w:r w:rsidRPr="00E4604E">
        <w:t>able</w:t>
      </w:r>
      <w:r w:rsidR="000B4369">
        <w:t xml:space="preserve"> 3</w:t>
      </w:r>
      <w:r w:rsidR="00761B2E">
        <w:t>0</w:t>
      </w:r>
      <w:r w:rsidRPr="00E4604E">
        <w:t>.</w:t>
      </w:r>
    </w:p>
    <w:p w14:paraId="28B69E72" w14:textId="7672DF50" w:rsidR="00BD4F47" w:rsidRDefault="00BD4F47" w:rsidP="00834775">
      <w:pPr>
        <w:pStyle w:val="Caption"/>
      </w:pPr>
      <w:bookmarkStart w:id="256" w:name="_Ref149136710"/>
      <w:r>
        <w:t xml:space="preserve">Table </w:t>
      </w:r>
      <w:r>
        <w:fldChar w:fldCharType="begin"/>
      </w:r>
      <w:r>
        <w:instrText xml:space="preserve"> SEQ Table \* ARABIC </w:instrText>
      </w:r>
      <w:r>
        <w:fldChar w:fldCharType="separate"/>
      </w:r>
      <w:r w:rsidR="0093118A">
        <w:rPr>
          <w:noProof/>
        </w:rPr>
        <w:t>30</w:t>
      </w:r>
      <w:r>
        <w:fldChar w:fldCharType="end"/>
      </w:r>
      <w:r>
        <w:t>: FOI applications</w:t>
      </w:r>
      <w:r w:rsidRPr="00BD4F47">
        <w:rPr>
          <w:rStyle w:val="Charactersuperscript"/>
        </w:rPr>
        <w:t>(a)</w:t>
      </w:r>
      <w:bookmarkEnd w:id="256"/>
    </w:p>
    <w:tbl>
      <w:tblPr>
        <w:tblStyle w:val="TableGrid"/>
        <w:tblW w:w="0" w:type="auto"/>
        <w:tblLayout w:type="fixed"/>
        <w:tblLook w:val="04A0" w:firstRow="1" w:lastRow="0" w:firstColumn="1" w:lastColumn="0" w:noHBand="0" w:noVBand="1"/>
      </w:tblPr>
      <w:tblGrid>
        <w:gridCol w:w="4820"/>
        <w:gridCol w:w="1134"/>
      </w:tblGrid>
      <w:tr w:rsidR="001E70A6" w14:paraId="68357560" w14:textId="77777777" w:rsidTr="00973EAF">
        <w:trPr>
          <w:cnfStyle w:val="100000000000" w:firstRow="1" w:lastRow="0" w:firstColumn="0" w:lastColumn="0" w:oddVBand="0" w:evenVBand="0" w:oddHBand="0" w:evenHBand="0" w:firstRowFirstColumn="0" w:firstRowLastColumn="0" w:lastRowFirstColumn="0" w:lastRowLastColumn="0"/>
          <w:trHeight w:val="300"/>
        </w:trPr>
        <w:tc>
          <w:tcPr>
            <w:tcW w:w="4820" w:type="dxa"/>
            <w:tcBorders>
              <w:top w:val="single" w:sz="8" w:space="0" w:color="FFFFFF" w:themeColor="background1"/>
              <w:left w:val="nil"/>
              <w:bottom w:val="single" w:sz="8" w:space="0" w:color="FFFFFF" w:themeColor="background1"/>
              <w:right w:val="nil"/>
            </w:tcBorders>
            <w:shd w:val="clear" w:color="auto" w:fill="E5DFEC" w:themeFill="accent4" w:themeFillTint="33"/>
            <w:tcMar>
              <w:left w:w="108" w:type="dxa"/>
              <w:right w:w="108" w:type="dxa"/>
            </w:tcMar>
            <w:vAlign w:val="bottom"/>
          </w:tcPr>
          <w:p w14:paraId="37A3105C" w14:textId="77777777" w:rsidR="001E70A6" w:rsidRDefault="001E70A6" w:rsidP="004955EF">
            <w:pPr>
              <w:pStyle w:val="TableHeading1"/>
            </w:pPr>
            <w:r w:rsidRPr="1EFBF1D2">
              <w:rPr>
                <w:rFonts w:eastAsia="Calibri"/>
              </w:rPr>
              <w:t xml:space="preserve">Type of FOI outcome </w:t>
            </w:r>
          </w:p>
        </w:tc>
        <w:tc>
          <w:tcPr>
            <w:tcW w:w="1134" w:type="dxa"/>
            <w:tcBorders>
              <w:top w:val="single" w:sz="8" w:space="0" w:color="FFFFFF" w:themeColor="background1"/>
              <w:left w:val="nil"/>
              <w:bottom w:val="single" w:sz="8" w:space="0" w:color="FFFFFF" w:themeColor="background1"/>
              <w:right w:val="nil"/>
            </w:tcBorders>
            <w:shd w:val="clear" w:color="auto" w:fill="E5DFEC" w:themeFill="accent4" w:themeFillTint="33"/>
            <w:tcMar>
              <w:left w:w="108" w:type="dxa"/>
              <w:right w:w="108" w:type="dxa"/>
            </w:tcMar>
            <w:vAlign w:val="bottom"/>
          </w:tcPr>
          <w:p w14:paraId="05B768A0" w14:textId="5B2424AA" w:rsidR="001E70A6" w:rsidRDefault="000A1691" w:rsidP="00D24762">
            <w:pPr>
              <w:pStyle w:val="TableHeading3rightalign"/>
              <w:rPr>
                <w:rFonts w:eastAsia="Calibri"/>
              </w:rPr>
            </w:pPr>
            <w:r>
              <w:rPr>
                <w:rFonts w:eastAsia="Calibri"/>
              </w:rPr>
              <w:t>2022/23</w:t>
            </w:r>
          </w:p>
        </w:tc>
      </w:tr>
      <w:tr w:rsidR="001E70A6" w14:paraId="3F21E700" w14:textId="77777777" w:rsidTr="00973EAF">
        <w:trPr>
          <w:trHeight w:val="300"/>
        </w:trPr>
        <w:tc>
          <w:tcPr>
            <w:tcW w:w="4820" w:type="dxa"/>
            <w:tcBorders>
              <w:top w:val="single" w:sz="8" w:space="0" w:color="FFFFFF" w:themeColor="background1"/>
              <w:left w:val="nil"/>
              <w:bottom w:val="single" w:sz="8" w:space="0" w:color="auto"/>
              <w:right w:val="nil"/>
            </w:tcBorders>
            <w:tcMar>
              <w:left w:w="108" w:type="dxa"/>
              <w:right w:w="108" w:type="dxa"/>
            </w:tcMar>
          </w:tcPr>
          <w:p w14:paraId="65E4C701" w14:textId="77777777" w:rsidR="001E70A6" w:rsidRDefault="001E70A6" w:rsidP="004955EF">
            <w:pPr>
              <w:pStyle w:val="TableBodyText"/>
            </w:pPr>
            <w:r w:rsidRPr="1EFBF1D2">
              <w:rPr>
                <w:rFonts w:eastAsia="Calibri"/>
              </w:rPr>
              <w:t>Total number of applications</w:t>
            </w:r>
          </w:p>
        </w:tc>
        <w:tc>
          <w:tcPr>
            <w:tcW w:w="1134" w:type="dxa"/>
            <w:tcBorders>
              <w:top w:val="single" w:sz="8" w:space="0" w:color="FFFFFF" w:themeColor="background1"/>
              <w:left w:val="nil"/>
              <w:bottom w:val="single" w:sz="8" w:space="0" w:color="auto"/>
              <w:right w:val="nil"/>
            </w:tcBorders>
            <w:tcMar>
              <w:left w:w="108" w:type="dxa"/>
              <w:right w:w="108" w:type="dxa"/>
            </w:tcMar>
          </w:tcPr>
          <w:p w14:paraId="14B3571E" w14:textId="77777777" w:rsidR="001E70A6" w:rsidRPr="00786D36" w:rsidRDefault="001E70A6" w:rsidP="00FD67FA">
            <w:pPr>
              <w:pStyle w:val="TableBodyTextrightalign"/>
              <w:rPr>
                <w:rFonts w:eastAsia="Calibri"/>
              </w:rPr>
            </w:pPr>
            <w:r w:rsidRPr="00786D36">
              <w:rPr>
                <w:rFonts w:eastAsia="Calibri"/>
              </w:rPr>
              <w:t>15</w:t>
            </w:r>
          </w:p>
        </w:tc>
      </w:tr>
      <w:tr w:rsidR="001E70A6" w14:paraId="285C63D3"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12A7C152" w14:textId="0DBC1090" w:rsidR="001E70A6" w:rsidRDefault="001E70A6" w:rsidP="00056E54">
            <w:pPr>
              <w:pStyle w:val="TableListBullet"/>
            </w:pPr>
            <w:r w:rsidRPr="1EFBF1D2">
              <w:rPr>
                <w:rFonts w:eastAsia="Calibri"/>
              </w:rPr>
              <w:t>Applications excluded by s</w:t>
            </w:r>
            <w:r w:rsidR="00973EAF">
              <w:rPr>
                <w:rFonts w:eastAsia="Calibri"/>
              </w:rPr>
              <w:t xml:space="preserve">ection </w:t>
            </w:r>
            <w:r w:rsidRPr="1EFBF1D2">
              <w:rPr>
                <w:rFonts w:eastAsia="Calibri"/>
              </w:rPr>
              <w:t xml:space="preserve">194 </w:t>
            </w:r>
          </w:p>
        </w:tc>
        <w:tc>
          <w:tcPr>
            <w:tcW w:w="1134" w:type="dxa"/>
            <w:tcBorders>
              <w:top w:val="single" w:sz="8" w:space="0" w:color="auto"/>
              <w:left w:val="nil"/>
              <w:bottom w:val="single" w:sz="8" w:space="0" w:color="auto"/>
              <w:right w:val="nil"/>
            </w:tcBorders>
            <w:tcMar>
              <w:left w:w="108" w:type="dxa"/>
              <w:right w:w="108" w:type="dxa"/>
            </w:tcMar>
          </w:tcPr>
          <w:p w14:paraId="48B023DB" w14:textId="77777777" w:rsidR="001E70A6" w:rsidRPr="00786D36" w:rsidRDefault="001E70A6" w:rsidP="00FD67FA">
            <w:pPr>
              <w:pStyle w:val="TableBodyTextrightalign"/>
              <w:rPr>
                <w:rFonts w:eastAsia="Calibri"/>
              </w:rPr>
            </w:pPr>
            <w:r w:rsidRPr="00786D36">
              <w:rPr>
                <w:rFonts w:eastAsia="Calibri"/>
              </w:rPr>
              <w:t>7</w:t>
            </w:r>
          </w:p>
        </w:tc>
      </w:tr>
      <w:tr w:rsidR="001E70A6" w14:paraId="6D96CB71"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7B6E5244" w14:textId="77777777" w:rsidR="001E70A6" w:rsidRDefault="001E70A6" w:rsidP="00056E54">
            <w:pPr>
              <w:pStyle w:val="TableListBullet"/>
            </w:pPr>
            <w:r w:rsidRPr="1EFBF1D2">
              <w:rPr>
                <w:rFonts w:eastAsia="Calibri"/>
              </w:rPr>
              <w:t>Applications granted in part</w:t>
            </w:r>
          </w:p>
        </w:tc>
        <w:tc>
          <w:tcPr>
            <w:tcW w:w="1134" w:type="dxa"/>
            <w:tcBorders>
              <w:top w:val="single" w:sz="8" w:space="0" w:color="auto"/>
              <w:left w:val="nil"/>
              <w:bottom w:val="single" w:sz="8" w:space="0" w:color="auto"/>
              <w:right w:val="nil"/>
            </w:tcBorders>
            <w:tcMar>
              <w:left w:w="108" w:type="dxa"/>
              <w:right w:w="108" w:type="dxa"/>
            </w:tcMar>
          </w:tcPr>
          <w:p w14:paraId="5256F8E2" w14:textId="77777777" w:rsidR="001E70A6" w:rsidRPr="00786D36" w:rsidRDefault="001E70A6" w:rsidP="00FD67FA">
            <w:pPr>
              <w:pStyle w:val="TableBodyTextrightalign"/>
              <w:rPr>
                <w:rFonts w:eastAsia="Calibri"/>
              </w:rPr>
            </w:pPr>
            <w:r w:rsidRPr="00786D36">
              <w:rPr>
                <w:rFonts w:eastAsia="Calibri"/>
              </w:rPr>
              <w:t>1</w:t>
            </w:r>
          </w:p>
        </w:tc>
      </w:tr>
      <w:tr w:rsidR="001E70A6" w14:paraId="365986E2"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4D07A9FB" w14:textId="77777777" w:rsidR="001E70A6" w:rsidRDefault="001E70A6" w:rsidP="00056E54">
            <w:pPr>
              <w:pStyle w:val="TableListBullet"/>
            </w:pPr>
            <w:r w:rsidRPr="1EFBF1D2">
              <w:rPr>
                <w:rFonts w:eastAsia="Calibri"/>
              </w:rPr>
              <w:t>Applications granted in full</w:t>
            </w:r>
          </w:p>
        </w:tc>
        <w:tc>
          <w:tcPr>
            <w:tcW w:w="1134" w:type="dxa"/>
            <w:tcBorders>
              <w:top w:val="single" w:sz="8" w:space="0" w:color="auto"/>
              <w:left w:val="nil"/>
              <w:bottom w:val="single" w:sz="8" w:space="0" w:color="auto"/>
              <w:right w:val="nil"/>
            </w:tcBorders>
            <w:tcMar>
              <w:left w:w="108" w:type="dxa"/>
              <w:right w:w="108" w:type="dxa"/>
            </w:tcMar>
          </w:tcPr>
          <w:p w14:paraId="3A10ECCF" w14:textId="77777777" w:rsidR="001E70A6" w:rsidRPr="00786D36" w:rsidRDefault="001E70A6" w:rsidP="00FD67FA">
            <w:pPr>
              <w:pStyle w:val="TableBodyTextrightalign"/>
              <w:rPr>
                <w:rFonts w:eastAsia="Calibri"/>
              </w:rPr>
            </w:pPr>
            <w:r w:rsidRPr="00786D36">
              <w:rPr>
                <w:rFonts w:eastAsia="Calibri"/>
              </w:rPr>
              <w:t>0</w:t>
            </w:r>
          </w:p>
        </w:tc>
      </w:tr>
      <w:tr w:rsidR="001E70A6" w14:paraId="311ACC41"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23986318" w14:textId="2C87AD6F" w:rsidR="001E70A6" w:rsidRDefault="001E70A6" w:rsidP="00056E54">
            <w:pPr>
              <w:pStyle w:val="TableListBullet"/>
            </w:pPr>
            <w:r w:rsidRPr="1EFBF1D2">
              <w:rPr>
                <w:rFonts w:eastAsia="Calibri"/>
              </w:rPr>
              <w:t xml:space="preserve">Applications resulting in disclosures outside </w:t>
            </w:r>
            <w:r w:rsidR="00973EAF">
              <w:rPr>
                <w:rFonts w:eastAsia="Calibri"/>
              </w:rPr>
              <w:t xml:space="preserve">the </w:t>
            </w:r>
            <w:r w:rsidRPr="1EFBF1D2">
              <w:rPr>
                <w:rFonts w:eastAsia="Calibri"/>
              </w:rPr>
              <w:t xml:space="preserve">FOI Act </w:t>
            </w:r>
          </w:p>
        </w:tc>
        <w:tc>
          <w:tcPr>
            <w:tcW w:w="1134" w:type="dxa"/>
            <w:tcBorders>
              <w:top w:val="single" w:sz="8" w:space="0" w:color="auto"/>
              <w:left w:val="nil"/>
              <w:bottom w:val="single" w:sz="8" w:space="0" w:color="auto"/>
              <w:right w:val="nil"/>
            </w:tcBorders>
            <w:tcMar>
              <w:left w:w="108" w:type="dxa"/>
              <w:right w:w="108" w:type="dxa"/>
            </w:tcMar>
          </w:tcPr>
          <w:p w14:paraId="281E6524" w14:textId="77777777" w:rsidR="001E70A6" w:rsidRPr="00786D36" w:rsidRDefault="001E70A6" w:rsidP="00FD67FA">
            <w:pPr>
              <w:pStyle w:val="TableBodyTextrightalign"/>
              <w:rPr>
                <w:rFonts w:eastAsia="Calibri"/>
              </w:rPr>
            </w:pPr>
            <w:r w:rsidRPr="00786D36">
              <w:rPr>
                <w:rFonts w:eastAsia="Calibri"/>
              </w:rPr>
              <w:t>1</w:t>
            </w:r>
          </w:p>
        </w:tc>
      </w:tr>
      <w:tr w:rsidR="001E70A6" w14:paraId="77EF62BF"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6C1A999A" w14:textId="77777777" w:rsidR="001E70A6" w:rsidRDefault="001E70A6" w:rsidP="00056E54">
            <w:pPr>
              <w:pStyle w:val="TableListBullet"/>
            </w:pPr>
            <w:r w:rsidRPr="1EFBF1D2">
              <w:rPr>
                <w:rFonts w:eastAsia="Calibri"/>
              </w:rPr>
              <w:t xml:space="preserve">Applications deemed invalid </w:t>
            </w:r>
          </w:p>
        </w:tc>
        <w:tc>
          <w:tcPr>
            <w:tcW w:w="1134" w:type="dxa"/>
            <w:tcBorders>
              <w:top w:val="single" w:sz="8" w:space="0" w:color="auto"/>
              <w:left w:val="nil"/>
              <w:bottom w:val="single" w:sz="8" w:space="0" w:color="auto"/>
              <w:right w:val="nil"/>
            </w:tcBorders>
            <w:tcMar>
              <w:left w:w="108" w:type="dxa"/>
              <w:right w:w="108" w:type="dxa"/>
            </w:tcMar>
          </w:tcPr>
          <w:p w14:paraId="5383876E" w14:textId="77777777" w:rsidR="001E70A6" w:rsidRPr="00786D36" w:rsidRDefault="001E70A6" w:rsidP="00FD67FA">
            <w:pPr>
              <w:pStyle w:val="TableBodyTextrightalign"/>
              <w:rPr>
                <w:rFonts w:eastAsia="Calibri"/>
              </w:rPr>
            </w:pPr>
            <w:r w:rsidRPr="00786D36">
              <w:rPr>
                <w:rFonts w:eastAsia="Calibri"/>
              </w:rPr>
              <w:t>2</w:t>
            </w:r>
          </w:p>
        </w:tc>
      </w:tr>
      <w:tr w:rsidR="001E70A6" w14:paraId="6C316CE0"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35AC26C8" w14:textId="77777777" w:rsidR="001E70A6" w:rsidRDefault="001E70A6" w:rsidP="00056E54">
            <w:pPr>
              <w:pStyle w:val="TableListBullet"/>
            </w:pPr>
            <w:r w:rsidRPr="1EFBF1D2">
              <w:rPr>
                <w:rFonts w:eastAsia="Calibri"/>
              </w:rPr>
              <w:t>Applications withdrawn</w:t>
            </w:r>
          </w:p>
        </w:tc>
        <w:tc>
          <w:tcPr>
            <w:tcW w:w="1134" w:type="dxa"/>
            <w:tcBorders>
              <w:top w:val="single" w:sz="8" w:space="0" w:color="auto"/>
              <w:left w:val="nil"/>
              <w:bottom w:val="single" w:sz="8" w:space="0" w:color="auto"/>
              <w:right w:val="nil"/>
            </w:tcBorders>
            <w:tcMar>
              <w:left w:w="108" w:type="dxa"/>
              <w:right w:w="108" w:type="dxa"/>
            </w:tcMar>
          </w:tcPr>
          <w:p w14:paraId="2858A7FD" w14:textId="77777777" w:rsidR="001E70A6" w:rsidRPr="00786D36" w:rsidRDefault="001E70A6" w:rsidP="00FD67FA">
            <w:pPr>
              <w:pStyle w:val="TableBodyTextrightalign"/>
              <w:rPr>
                <w:rFonts w:eastAsia="Calibri"/>
              </w:rPr>
            </w:pPr>
            <w:r w:rsidRPr="00786D36">
              <w:rPr>
                <w:rFonts w:eastAsia="Calibri"/>
              </w:rPr>
              <w:t>1</w:t>
            </w:r>
          </w:p>
        </w:tc>
      </w:tr>
      <w:tr w:rsidR="001E70A6" w14:paraId="07797028"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3F2AB0A8" w14:textId="77777777" w:rsidR="001E70A6" w:rsidRDefault="001E70A6" w:rsidP="00056E54">
            <w:pPr>
              <w:pStyle w:val="TableListBullet"/>
            </w:pPr>
            <w:r w:rsidRPr="1EFBF1D2">
              <w:rPr>
                <w:rFonts w:eastAsia="Calibri"/>
              </w:rPr>
              <w:t>Applications awaiting determination</w:t>
            </w:r>
          </w:p>
        </w:tc>
        <w:tc>
          <w:tcPr>
            <w:tcW w:w="1134" w:type="dxa"/>
            <w:tcBorders>
              <w:top w:val="single" w:sz="8" w:space="0" w:color="auto"/>
              <w:left w:val="nil"/>
              <w:bottom w:val="single" w:sz="8" w:space="0" w:color="auto"/>
              <w:right w:val="nil"/>
            </w:tcBorders>
            <w:tcMar>
              <w:left w:w="108" w:type="dxa"/>
              <w:right w:w="108" w:type="dxa"/>
            </w:tcMar>
          </w:tcPr>
          <w:p w14:paraId="63C7EA6E" w14:textId="77777777" w:rsidR="001E70A6" w:rsidRPr="00786D36" w:rsidRDefault="001E70A6" w:rsidP="00FD67FA">
            <w:pPr>
              <w:pStyle w:val="TableBodyTextrightalign"/>
              <w:rPr>
                <w:rFonts w:eastAsia="Calibri"/>
              </w:rPr>
            </w:pPr>
            <w:r w:rsidRPr="00786D36">
              <w:rPr>
                <w:rFonts w:eastAsia="Calibri"/>
              </w:rPr>
              <w:t>3</w:t>
            </w:r>
          </w:p>
        </w:tc>
      </w:tr>
      <w:tr w:rsidR="001E70A6" w14:paraId="38DC1D77"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0F09E2FD" w14:textId="77777777" w:rsidR="001E70A6" w:rsidRDefault="001E70A6" w:rsidP="00056E54">
            <w:pPr>
              <w:pStyle w:val="TableListBullet"/>
            </w:pPr>
            <w:r w:rsidRPr="1EFBF1D2">
              <w:rPr>
                <w:rFonts w:eastAsia="Calibri"/>
              </w:rPr>
              <w:t>Applications reviewed</w:t>
            </w:r>
          </w:p>
        </w:tc>
        <w:tc>
          <w:tcPr>
            <w:tcW w:w="1134" w:type="dxa"/>
            <w:tcBorders>
              <w:top w:val="single" w:sz="8" w:space="0" w:color="auto"/>
              <w:left w:val="nil"/>
              <w:bottom w:val="single" w:sz="8" w:space="0" w:color="auto"/>
              <w:right w:val="nil"/>
            </w:tcBorders>
            <w:tcMar>
              <w:left w:w="108" w:type="dxa"/>
              <w:right w:w="108" w:type="dxa"/>
            </w:tcMar>
          </w:tcPr>
          <w:p w14:paraId="0955BA63" w14:textId="77777777" w:rsidR="001E70A6" w:rsidRPr="00786D36" w:rsidRDefault="001E70A6" w:rsidP="00FD67FA">
            <w:pPr>
              <w:pStyle w:val="TableBodyTextrightalign"/>
              <w:rPr>
                <w:rFonts w:eastAsia="Calibri"/>
              </w:rPr>
            </w:pPr>
            <w:r w:rsidRPr="00786D36">
              <w:rPr>
                <w:rFonts w:eastAsia="Calibri"/>
              </w:rPr>
              <w:t>0</w:t>
            </w:r>
          </w:p>
        </w:tc>
      </w:tr>
      <w:tr w:rsidR="001E70A6" w14:paraId="2B198249"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6F632C3A" w14:textId="77777777" w:rsidR="001E70A6" w:rsidRDefault="001E70A6" w:rsidP="00056E54">
            <w:pPr>
              <w:pStyle w:val="TableListBullet"/>
            </w:pPr>
            <w:r w:rsidRPr="1EFBF1D2">
              <w:rPr>
                <w:rFonts w:eastAsia="Calibri"/>
              </w:rPr>
              <w:t>Applications appealed</w:t>
            </w:r>
          </w:p>
        </w:tc>
        <w:tc>
          <w:tcPr>
            <w:tcW w:w="1134" w:type="dxa"/>
            <w:tcBorders>
              <w:top w:val="single" w:sz="8" w:space="0" w:color="auto"/>
              <w:left w:val="nil"/>
              <w:bottom w:val="single" w:sz="8" w:space="0" w:color="auto"/>
              <w:right w:val="nil"/>
            </w:tcBorders>
            <w:tcMar>
              <w:left w:w="108" w:type="dxa"/>
              <w:right w:w="108" w:type="dxa"/>
            </w:tcMar>
          </w:tcPr>
          <w:p w14:paraId="4AA4B0A5" w14:textId="77777777" w:rsidR="001E70A6" w:rsidRPr="00786D36" w:rsidRDefault="001E70A6" w:rsidP="00FD67FA">
            <w:pPr>
              <w:pStyle w:val="TableBodyTextrightalign"/>
              <w:rPr>
                <w:rFonts w:eastAsia="Calibri"/>
              </w:rPr>
            </w:pPr>
            <w:r w:rsidRPr="00786D36">
              <w:rPr>
                <w:rFonts w:eastAsia="Calibri"/>
              </w:rPr>
              <w:t>0</w:t>
            </w:r>
          </w:p>
        </w:tc>
      </w:tr>
      <w:tr w:rsidR="0007204F" w14:paraId="2DC9C4D3" w14:textId="77777777" w:rsidTr="00973EAF">
        <w:trPr>
          <w:trHeight w:val="300"/>
        </w:trPr>
        <w:tc>
          <w:tcPr>
            <w:tcW w:w="4820" w:type="dxa"/>
            <w:tcBorders>
              <w:top w:val="single" w:sz="8" w:space="0" w:color="auto"/>
              <w:left w:val="nil"/>
              <w:bottom w:val="single" w:sz="8" w:space="0" w:color="auto"/>
              <w:right w:val="nil"/>
            </w:tcBorders>
            <w:tcMar>
              <w:left w:w="108" w:type="dxa"/>
              <w:right w:w="108" w:type="dxa"/>
            </w:tcMar>
          </w:tcPr>
          <w:p w14:paraId="664625FB" w14:textId="1071E0C5" w:rsidR="0007204F" w:rsidRPr="1EFBF1D2" w:rsidRDefault="0007204F" w:rsidP="0007204F">
            <w:pPr>
              <w:pStyle w:val="TableBodyText"/>
              <w:rPr>
                <w:rFonts w:eastAsia="Calibri"/>
              </w:rPr>
            </w:pPr>
            <w:r w:rsidRPr="1EFBF1D2">
              <w:rPr>
                <w:rFonts w:eastAsia="Calibri"/>
              </w:rPr>
              <w:t>Complaints to OVIC</w:t>
            </w:r>
          </w:p>
        </w:tc>
        <w:tc>
          <w:tcPr>
            <w:tcW w:w="1134" w:type="dxa"/>
            <w:tcBorders>
              <w:top w:val="single" w:sz="8" w:space="0" w:color="auto"/>
              <w:left w:val="nil"/>
              <w:bottom w:val="single" w:sz="8" w:space="0" w:color="auto"/>
              <w:right w:val="nil"/>
            </w:tcBorders>
            <w:tcMar>
              <w:left w:w="108" w:type="dxa"/>
              <w:right w:w="108" w:type="dxa"/>
            </w:tcMar>
          </w:tcPr>
          <w:p w14:paraId="2C2BF7AF" w14:textId="7BC89B49" w:rsidR="0007204F" w:rsidRPr="00786D36" w:rsidRDefault="0007204F" w:rsidP="0007204F">
            <w:pPr>
              <w:pStyle w:val="TableBodyTextrightalign"/>
              <w:rPr>
                <w:rFonts w:eastAsia="Calibri"/>
              </w:rPr>
            </w:pPr>
            <w:r w:rsidRPr="00786D36">
              <w:rPr>
                <w:rFonts w:eastAsia="Calibri"/>
              </w:rPr>
              <w:t>1</w:t>
            </w:r>
          </w:p>
        </w:tc>
      </w:tr>
    </w:tbl>
    <w:p w14:paraId="0CA7E3EB" w14:textId="5FCA7C0F" w:rsidR="001E70A6" w:rsidRPr="002F6765" w:rsidRDefault="00465B9C" w:rsidP="004955EF">
      <w:pPr>
        <w:pStyle w:val="TableNote"/>
        <w:rPr>
          <w:rFonts w:eastAsia="Calibri"/>
          <w:lang w:val="en-US"/>
        </w:rPr>
      </w:pPr>
      <w:r>
        <w:rPr>
          <w:rFonts w:eastAsia="Calibri"/>
          <w:lang w:val="en-US"/>
        </w:rPr>
        <w:t>Notes</w:t>
      </w:r>
      <w:r w:rsidR="001E70A6" w:rsidRPr="1EFBF1D2">
        <w:rPr>
          <w:rFonts w:eastAsia="Calibri"/>
          <w:lang w:val="en-US"/>
        </w:rPr>
        <w:t xml:space="preserve"> </w:t>
      </w:r>
    </w:p>
    <w:p w14:paraId="1FDF6718" w14:textId="06341115" w:rsidR="001E70A6" w:rsidRPr="002F6765" w:rsidRDefault="001E70A6" w:rsidP="004955EF">
      <w:pPr>
        <w:pStyle w:val="TableNote"/>
        <w:rPr>
          <w:rFonts w:eastAsia="Calibri"/>
          <w:lang w:val="en-US"/>
        </w:rPr>
      </w:pPr>
      <w:r w:rsidRPr="007E3C19">
        <w:rPr>
          <w:rStyle w:val="Charactersuperscript"/>
          <w:rFonts w:eastAsia="Calibri"/>
        </w:rPr>
        <w:t>(a)</w:t>
      </w:r>
      <w:r w:rsidRPr="1EFBF1D2">
        <w:rPr>
          <w:rFonts w:eastAsia="Calibri"/>
          <w:lang w:val="en-US"/>
        </w:rPr>
        <w:t xml:space="preserve"> This table meets the financial reporting directive from the Department of Treasury and Finance. Historical data on </w:t>
      </w:r>
      <w:hyperlink r:id="rId85" w:history="1">
        <w:r w:rsidRPr="00417456">
          <w:rPr>
            <w:rStyle w:val="Hyperlink"/>
            <w:rFonts w:eastAsia="Calibri"/>
            <w:lang w:val="en-US"/>
          </w:rPr>
          <w:t>FOI applications</w:t>
        </w:r>
      </w:hyperlink>
      <w:r w:rsidRPr="1EFBF1D2">
        <w:rPr>
          <w:rFonts w:eastAsia="Calibri"/>
          <w:lang w:val="en-US"/>
        </w:rPr>
        <w:t xml:space="preserve"> is available in previous annual reports and can be viewed </w:t>
      </w:r>
      <w:r w:rsidR="00417456">
        <w:rPr>
          <w:rFonts w:eastAsia="Calibri"/>
          <w:lang w:val="en-US"/>
        </w:rPr>
        <w:t>on the IBAC website (</w:t>
      </w:r>
      <w:r w:rsidR="00417456" w:rsidRPr="0060517F">
        <w:rPr>
          <w:rFonts w:eastAsia="Calibri" w:cs="Calibri"/>
          <w:szCs w:val="17"/>
          <w:lang w:val="en-US"/>
        </w:rPr>
        <w:t>www.ibac.vic.gov.au</w:t>
      </w:r>
      <w:r w:rsidR="00417456" w:rsidRPr="00831BFF">
        <w:rPr>
          <w:rFonts w:eastAsia="Calibri"/>
        </w:rPr>
        <w:t>)</w:t>
      </w:r>
      <w:r w:rsidRPr="1EFBF1D2">
        <w:rPr>
          <w:rFonts w:eastAsia="Calibri"/>
          <w:lang w:val="en-US"/>
        </w:rPr>
        <w:t>.</w:t>
      </w:r>
    </w:p>
    <w:p w14:paraId="2BA13F1C" w14:textId="77777777" w:rsidR="00B51F19" w:rsidRDefault="00B51F19" w:rsidP="00B51F19">
      <w:pPr>
        <w:pStyle w:val="TableNote"/>
        <w:rPr>
          <w:lang w:val="en-US"/>
        </w:rPr>
      </w:pPr>
    </w:p>
    <w:p w14:paraId="4C3E0183" w14:textId="77777777" w:rsidR="008E656C" w:rsidRDefault="008E656C" w:rsidP="00896A28">
      <w:pPr>
        <w:pStyle w:val="Heading3"/>
        <w:rPr>
          <w:rFonts w:eastAsia="Calibri"/>
          <w:lang w:val="en-US"/>
        </w:rPr>
      </w:pPr>
      <w:bookmarkStart w:id="257" w:name="_Toc133585245"/>
      <w:bookmarkStart w:id="258" w:name="_Toc133920520"/>
      <w:bookmarkStart w:id="259" w:name="_Hlk119271933"/>
      <w:r w:rsidRPr="1EFBF1D2">
        <w:rPr>
          <w:rFonts w:eastAsia="Calibri"/>
          <w:lang w:val="en-US"/>
        </w:rPr>
        <w:t>Publicly available information</w:t>
      </w:r>
    </w:p>
    <w:p w14:paraId="01CCCF24" w14:textId="01A83427" w:rsidR="008E656C" w:rsidRPr="002F6765" w:rsidRDefault="008E656C" w:rsidP="00784EDD">
      <w:pPr>
        <w:pStyle w:val="BodyText"/>
        <w:rPr>
          <w:lang w:val="en-US"/>
        </w:rPr>
      </w:pPr>
      <w:r w:rsidRPr="1EFBF1D2">
        <w:rPr>
          <w:lang w:val="en-US"/>
        </w:rPr>
        <w:t xml:space="preserve">IBAC publishes </w:t>
      </w:r>
      <w:r w:rsidR="007C5C6F">
        <w:rPr>
          <w:lang w:val="en-US"/>
        </w:rPr>
        <w:t xml:space="preserve">its </w:t>
      </w:r>
      <w:r w:rsidRPr="1EFBF1D2">
        <w:rPr>
          <w:lang w:val="en-US"/>
        </w:rPr>
        <w:t xml:space="preserve">FOI Part II statement on </w:t>
      </w:r>
      <w:r w:rsidR="00DC68F2">
        <w:rPr>
          <w:lang w:val="en-US"/>
        </w:rPr>
        <w:t>its</w:t>
      </w:r>
      <w:r w:rsidRPr="1EFBF1D2">
        <w:rPr>
          <w:lang w:val="en-US"/>
        </w:rPr>
        <w:t xml:space="preserve"> website to outline how IBAC makes information readily available to the public, reducing the need for members of the public to submit requests under the FOI Act.</w:t>
      </w:r>
    </w:p>
    <w:p w14:paraId="293355AC" w14:textId="77777777" w:rsidR="008E656C" w:rsidRPr="002F6765" w:rsidRDefault="008E656C" w:rsidP="00784EDD">
      <w:pPr>
        <w:pStyle w:val="BodyText"/>
        <w:rPr>
          <w:lang w:val="en-US"/>
        </w:rPr>
      </w:pPr>
      <w:r w:rsidRPr="1EFBF1D2">
        <w:rPr>
          <w:lang w:val="en-US"/>
        </w:rPr>
        <w:t>IBAC’s FOI Part II statement contains the following information:</w:t>
      </w:r>
    </w:p>
    <w:p w14:paraId="316A66CD" w14:textId="77777777" w:rsidR="008E656C" w:rsidRPr="002F6765" w:rsidRDefault="008E656C" w:rsidP="00F25FC2">
      <w:pPr>
        <w:pStyle w:val="ListBullet"/>
        <w:rPr>
          <w:lang w:val="en-US"/>
        </w:rPr>
      </w:pPr>
      <w:r w:rsidRPr="1EFBF1D2">
        <w:rPr>
          <w:lang w:val="en-US"/>
        </w:rPr>
        <w:t xml:space="preserve">Statement 1 – </w:t>
      </w:r>
      <w:r w:rsidRPr="00F25FC2">
        <w:t>Organisation</w:t>
      </w:r>
      <w:r w:rsidRPr="1EFBF1D2">
        <w:rPr>
          <w:lang w:val="en-US"/>
        </w:rPr>
        <w:t xml:space="preserve"> and functions</w:t>
      </w:r>
    </w:p>
    <w:p w14:paraId="59F6A39B" w14:textId="77777777" w:rsidR="008E656C" w:rsidRPr="002F6765" w:rsidRDefault="008E656C" w:rsidP="00784EDD">
      <w:pPr>
        <w:pStyle w:val="ListBullet"/>
        <w:rPr>
          <w:lang w:val="en-US"/>
        </w:rPr>
      </w:pPr>
      <w:r w:rsidRPr="1EFBF1D2">
        <w:rPr>
          <w:lang w:val="en-US"/>
        </w:rPr>
        <w:t>Statement 2 – Categories of documents created by IBAC</w:t>
      </w:r>
    </w:p>
    <w:p w14:paraId="65EF690B" w14:textId="77777777" w:rsidR="008E656C" w:rsidRPr="002F6765" w:rsidRDefault="008E656C" w:rsidP="00784EDD">
      <w:pPr>
        <w:pStyle w:val="ListBullet"/>
        <w:rPr>
          <w:lang w:val="en-US"/>
        </w:rPr>
      </w:pPr>
      <w:r w:rsidRPr="1EFBF1D2">
        <w:rPr>
          <w:lang w:val="en-US"/>
        </w:rPr>
        <w:t>Statement 3 – Freedom of information arrangements</w:t>
      </w:r>
    </w:p>
    <w:p w14:paraId="2C9DAEE1" w14:textId="77777777" w:rsidR="008E656C" w:rsidRPr="002F6765" w:rsidRDefault="008E656C" w:rsidP="00784EDD">
      <w:pPr>
        <w:pStyle w:val="ListBullet"/>
        <w:rPr>
          <w:lang w:val="en-US"/>
        </w:rPr>
      </w:pPr>
      <w:r w:rsidRPr="1EFBF1D2">
        <w:rPr>
          <w:lang w:val="en-US"/>
        </w:rPr>
        <w:t>Statement 4 – Publications</w:t>
      </w:r>
    </w:p>
    <w:p w14:paraId="384AA616" w14:textId="77777777" w:rsidR="008E656C" w:rsidRPr="002F6765" w:rsidRDefault="008E656C" w:rsidP="00784EDD">
      <w:pPr>
        <w:pStyle w:val="ListBullet"/>
        <w:rPr>
          <w:lang w:val="en-US"/>
        </w:rPr>
      </w:pPr>
      <w:r w:rsidRPr="1EFBF1D2">
        <w:rPr>
          <w:lang w:val="en-US"/>
        </w:rPr>
        <w:t>Statement 5 – Rules, policies and procedures</w:t>
      </w:r>
    </w:p>
    <w:p w14:paraId="22D26440" w14:textId="77777777" w:rsidR="008E656C" w:rsidRPr="002F6765" w:rsidRDefault="008E656C" w:rsidP="00784EDD">
      <w:pPr>
        <w:pStyle w:val="ListBullet"/>
        <w:rPr>
          <w:lang w:val="en-US"/>
        </w:rPr>
      </w:pPr>
      <w:r w:rsidRPr="1EFBF1D2">
        <w:rPr>
          <w:lang w:val="en-US"/>
        </w:rPr>
        <w:t>Statement 6 – Report literature</w:t>
      </w:r>
    </w:p>
    <w:p w14:paraId="084AB6DC" w14:textId="107DD2C2" w:rsidR="008E656C" w:rsidRPr="002F6765" w:rsidRDefault="006D5FFE" w:rsidP="00784EDD">
      <w:pPr>
        <w:pStyle w:val="BodyText"/>
        <w:rPr>
          <w:lang w:val="en-US"/>
        </w:rPr>
      </w:pPr>
      <w:r>
        <w:rPr>
          <w:lang w:val="en-US"/>
        </w:rPr>
        <w:t>Our</w:t>
      </w:r>
      <w:r w:rsidR="008E656C" w:rsidRPr="1EFBF1D2">
        <w:rPr>
          <w:lang w:val="en-US"/>
        </w:rPr>
        <w:t xml:space="preserve"> </w:t>
      </w:r>
      <w:hyperlink r:id="rId86" w:history="1">
        <w:r w:rsidR="008E656C" w:rsidRPr="006D5FFE">
          <w:rPr>
            <w:rStyle w:val="Hyperlink"/>
            <w:lang w:val="en-US"/>
          </w:rPr>
          <w:t>Part II statements</w:t>
        </w:r>
      </w:hyperlink>
      <w:r w:rsidR="008E656C" w:rsidRPr="1EFBF1D2">
        <w:rPr>
          <w:lang w:val="en-US"/>
        </w:rPr>
        <w:t xml:space="preserve"> </w:t>
      </w:r>
      <w:r>
        <w:rPr>
          <w:lang w:val="en-US"/>
        </w:rPr>
        <w:t>can be found on</w:t>
      </w:r>
      <w:r w:rsidR="00214316">
        <w:t xml:space="preserve"> the IBAC website (</w:t>
      </w:r>
      <w:r w:rsidRPr="006D5FFE">
        <w:rPr>
          <w:rFonts w:eastAsia="Calibri" w:cs="Calibri"/>
          <w:szCs w:val="22"/>
          <w:lang w:val="en-US"/>
        </w:rPr>
        <w:t>www.ibac.vic.gov.au/freedom-information-requests</w:t>
      </w:r>
      <w:r w:rsidR="00214316" w:rsidRPr="006D5FFE">
        <w:t>)</w:t>
      </w:r>
      <w:r w:rsidR="008E656C" w:rsidRPr="1EFBF1D2">
        <w:rPr>
          <w:lang w:val="en-US"/>
        </w:rPr>
        <w:t>.</w:t>
      </w:r>
    </w:p>
    <w:p w14:paraId="7A5419DD" w14:textId="64AAF0B1" w:rsidR="005F3A22" w:rsidRDefault="006D5FFE">
      <w:pPr>
        <w:pStyle w:val="Heading3"/>
        <w:rPr>
          <w:lang w:val="en-US"/>
        </w:rPr>
      </w:pPr>
      <w:bookmarkStart w:id="260" w:name="_Ref149166007"/>
      <w:r w:rsidRPr="006D5FFE">
        <w:rPr>
          <w:lang w:val="en-US"/>
        </w:rPr>
        <w:t>Making an FOI request</w:t>
      </w:r>
      <w:bookmarkEnd w:id="260"/>
    </w:p>
    <w:p w14:paraId="268AE76A" w14:textId="42E8EE77" w:rsidR="006D5FFE" w:rsidRDefault="006D5FFE" w:rsidP="006D5FFE">
      <w:pPr>
        <w:pStyle w:val="BodyText"/>
      </w:pPr>
      <w:r>
        <w:t>Access may be requested in writing to IBAC’s FOI Officer.</w:t>
      </w:r>
    </w:p>
    <w:p w14:paraId="39DC924B" w14:textId="2B61086A" w:rsidR="006D5FFE" w:rsidRDefault="006D5FFE" w:rsidP="006D5FFE">
      <w:pPr>
        <w:pStyle w:val="BodyText"/>
      </w:pPr>
      <w:r>
        <w:t>Such requests should:</w:t>
      </w:r>
    </w:p>
    <w:p w14:paraId="5DE51758" w14:textId="22CE61BE" w:rsidR="006D5FFE" w:rsidRDefault="006D5FFE" w:rsidP="006D5FFE">
      <w:pPr>
        <w:pStyle w:val="ListBullet"/>
        <w:numPr>
          <w:ilvl w:val="0"/>
          <w:numId w:val="107"/>
        </w:numPr>
      </w:pPr>
      <w:r>
        <w:t>be in writing</w:t>
      </w:r>
    </w:p>
    <w:p w14:paraId="38BD6B7A" w14:textId="77777777" w:rsidR="006D5FFE" w:rsidRDefault="006D5FFE" w:rsidP="006D5FFE">
      <w:pPr>
        <w:pStyle w:val="ListBullet"/>
        <w:numPr>
          <w:ilvl w:val="0"/>
          <w:numId w:val="107"/>
        </w:numPr>
      </w:pPr>
      <w:r>
        <w:t>identify as clearly as possible which documents are requested</w:t>
      </w:r>
    </w:p>
    <w:p w14:paraId="55D0FF5C" w14:textId="35FEFC7E" w:rsidR="006D5FFE" w:rsidRDefault="006D5FFE" w:rsidP="006D5FFE">
      <w:pPr>
        <w:pStyle w:val="ListBullet"/>
        <w:numPr>
          <w:ilvl w:val="0"/>
          <w:numId w:val="107"/>
        </w:numPr>
      </w:pPr>
      <w:r>
        <w:t>be accompanied by the appropriate application fee (which can be waived in certain circumstances).</w:t>
      </w:r>
    </w:p>
    <w:p w14:paraId="4DE156AB" w14:textId="0CD43DD8" w:rsidR="006D5FFE" w:rsidRDefault="006D5FFE" w:rsidP="006D5FFE">
      <w:pPr>
        <w:pStyle w:val="BodyText"/>
      </w:pPr>
      <w:r>
        <w:t xml:space="preserve">To submit an FOI request, first </w:t>
      </w:r>
      <w:hyperlink r:id="rId87" w:history="1">
        <w:r w:rsidR="00831BFF" w:rsidRPr="00831BFF">
          <w:rPr>
            <w:rStyle w:val="Hyperlink"/>
          </w:rPr>
          <w:t>download and complete the form</w:t>
        </w:r>
      </w:hyperlink>
      <w:r w:rsidR="002B2E30">
        <w:t xml:space="preserve">, which is </w:t>
      </w:r>
      <w:r>
        <w:t xml:space="preserve">available </w:t>
      </w:r>
      <w:r w:rsidR="002B2E30">
        <w:t>on</w:t>
      </w:r>
      <w:r>
        <w:t xml:space="preserve"> the IBAC website (</w:t>
      </w:r>
      <w:r w:rsidRPr="006D5FFE">
        <w:rPr>
          <w:rFonts w:eastAsia="Calibri" w:cs="Calibri"/>
          <w:szCs w:val="22"/>
        </w:rPr>
        <w:t>www.ibac.vic.gov.au/freedom-information-requests</w:t>
      </w:r>
      <w:r>
        <w:t>).</w:t>
      </w:r>
    </w:p>
    <w:p w14:paraId="5DCDC488" w14:textId="6A04ED4C" w:rsidR="006D5FFE" w:rsidRDefault="000B068D" w:rsidP="000B068D">
      <w:pPr>
        <w:pStyle w:val="BodyText"/>
        <w:rPr>
          <w:rStyle w:val="Hyperlink"/>
          <w:rFonts w:eastAsia="Calibri" w:cs="Calibri"/>
          <w:szCs w:val="22"/>
        </w:rPr>
      </w:pPr>
      <w:r w:rsidRPr="000B068D">
        <w:t>Send your completed form to IBAC, by email to FOI@ibac.vic.gov.au or by post to:</w:t>
      </w:r>
      <w:r>
        <w:rPr>
          <w:rStyle w:val="Hyperlink"/>
          <w:rFonts w:eastAsia="Calibri" w:cs="Calibri"/>
          <w:szCs w:val="22"/>
        </w:rPr>
        <w:t xml:space="preserve"> </w:t>
      </w:r>
    </w:p>
    <w:p w14:paraId="39F98F51" w14:textId="77777777" w:rsidR="006D5FFE" w:rsidRDefault="006D5FFE" w:rsidP="006D5FFE">
      <w:pPr>
        <w:pStyle w:val="BodyTextindent"/>
      </w:pPr>
      <w:r>
        <w:t>Independent Broad-based Anti-corruption Commission</w:t>
      </w:r>
      <w:r>
        <w:br/>
        <w:t xml:space="preserve"> Freedom of Information Officer</w:t>
      </w:r>
      <w:r>
        <w:br/>
        <w:t xml:space="preserve"> GPO Box 24234</w:t>
      </w:r>
      <w:r>
        <w:br/>
        <w:t xml:space="preserve"> Melbourne VIC 3001</w:t>
      </w:r>
    </w:p>
    <w:p w14:paraId="35FBDE35" w14:textId="021A5F4F" w:rsidR="006D5FFE" w:rsidRDefault="006D5FFE" w:rsidP="006D5FFE">
      <w:pPr>
        <w:pStyle w:val="BodyText"/>
      </w:pPr>
      <w:r>
        <w:t xml:space="preserve">Pay the application fee of </w:t>
      </w:r>
      <w:r w:rsidRPr="00786D36">
        <w:t>$31.80</w:t>
      </w:r>
      <w:r w:rsidRPr="006D5FFE">
        <w:t xml:space="preserve"> by bank transfer, bank cheque or money order.</w:t>
      </w:r>
      <w:r w:rsidRPr="007211D6">
        <w:t xml:space="preserve"> </w:t>
      </w:r>
      <w:r>
        <w:t xml:space="preserve">If paying by bank transfer, please contact IBAC for </w:t>
      </w:r>
      <w:r w:rsidR="009A2818">
        <w:t xml:space="preserve">account </w:t>
      </w:r>
      <w:r>
        <w:t>details. If paying by bank cheque or money order, please deliver to the postal address above.</w:t>
      </w:r>
    </w:p>
    <w:p w14:paraId="1A88718C" w14:textId="77777777" w:rsidR="006D5FFE" w:rsidRDefault="006D5FFE" w:rsidP="006D5FFE">
      <w:pPr>
        <w:pStyle w:val="BodyText"/>
      </w:pPr>
      <w:r>
        <w:t>If payment of the application fee would cause you hardship, you may request a fee waiver.</w:t>
      </w:r>
    </w:p>
    <w:p w14:paraId="7F78B69C" w14:textId="792E6CA6" w:rsidR="006D5FFE" w:rsidRDefault="006D5FFE" w:rsidP="006D5FFE">
      <w:pPr>
        <w:pStyle w:val="BodyText"/>
      </w:pPr>
      <w:r>
        <w:t>Charges may also apply after documents have been processed and a decision has been made about an access request (for example, photocopying, search and retrieval charges).</w:t>
      </w:r>
    </w:p>
    <w:p w14:paraId="55028C10" w14:textId="77777777" w:rsidR="006D5FFE" w:rsidRDefault="006D5FFE" w:rsidP="006D5FFE">
      <w:pPr>
        <w:pStyle w:val="BodyText"/>
      </w:pPr>
      <w:r>
        <w:t xml:space="preserve">If an applicant is not satisfied by an FOI decision made by IBAC, they have a right under section 49A of the FOI Act to seek a review by OVIC within </w:t>
      </w:r>
      <w:r w:rsidRPr="00786D36">
        <w:t>28</w:t>
      </w:r>
      <w:r>
        <w:t xml:space="preserve"> days after the day on which they are given written notice of the decision.</w:t>
      </w:r>
    </w:p>
    <w:p w14:paraId="191431C2" w14:textId="7DD9EBCE" w:rsidR="00A32031" w:rsidRPr="007211D6" w:rsidRDefault="006D5FFE" w:rsidP="006D5FFE">
      <w:pPr>
        <w:pStyle w:val="BodyText"/>
      </w:pPr>
      <w:r>
        <w:t xml:space="preserve">Further information regarding </w:t>
      </w:r>
      <w:r w:rsidR="009F7CC0">
        <w:t>FOI</w:t>
      </w:r>
      <w:r>
        <w:t xml:space="preserve"> </w:t>
      </w:r>
      <w:r w:rsidR="009F7CC0">
        <w:t>is available</w:t>
      </w:r>
      <w:r>
        <w:t xml:space="preserve"> on the </w:t>
      </w:r>
      <w:hyperlink r:id="rId88" w:history="1">
        <w:r w:rsidRPr="006D5FFE">
          <w:rPr>
            <w:rStyle w:val="Hyperlink"/>
          </w:rPr>
          <w:t>OVIC website</w:t>
        </w:r>
      </w:hyperlink>
      <w:r>
        <w:t xml:space="preserve"> (</w:t>
      </w:r>
      <w:r w:rsidRPr="006D5FFE">
        <w:rPr>
          <w:rFonts w:eastAsia="Calibri" w:cs="Calibri"/>
          <w:szCs w:val="22"/>
        </w:rPr>
        <w:t>www.ovic.vic.gov.au</w:t>
      </w:r>
      <w:r>
        <w:t>)</w:t>
      </w:r>
      <w:r w:rsidR="008E656C" w:rsidRPr="1EFBF1D2">
        <w:rPr>
          <w:lang w:val="en-US"/>
        </w:rPr>
        <w:t>.</w:t>
      </w:r>
      <w:r w:rsidR="00A32031">
        <w:br w:type="page"/>
      </w:r>
    </w:p>
    <w:p w14:paraId="77EA292C" w14:textId="19637F37" w:rsidR="009C2188" w:rsidRPr="002F6765" w:rsidRDefault="009C2188" w:rsidP="009C2188">
      <w:pPr>
        <w:pStyle w:val="Heading2"/>
      </w:pPr>
      <w:r w:rsidRPr="002F6765">
        <w:t xml:space="preserve">Compliance </w:t>
      </w:r>
      <w:r w:rsidRPr="003C30CC">
        <w:t>reporting</w:t>
      </w:r>
      <w:bookmarkEnd w:id="257"/>
      <w:bookmarkEnd w:id="258"/>
    </w:p>
    <w:p w14:paraId="6D3A7F22" w14:textId="17A8A3B3" w:rsidR="009C2188" w:rsidRPr="009A2818" w:rsidRDefault="009C2188" w:rsidP="009A2818">
      <w:pPr>
        <w:pStyle w:val="Heading3"/>
      </w:pPr>
      <w:bookmarkStart w:id="261" w:name="_Ref149136806"/>
      <w:bookmarkEnd w:id="259"/>
      <w:r w:rsidRPr="009A2818">
        <w:t>Building Act</w:t>
      </w:r>
      <w:bookmarkEnd w:id="261"/>
    </w:p>
    <w:p w14:paraId="782C28D2" w14:textId="5EB50383" w:rsidR="009C2188" w:rsidRPr="002F6765" w:rsidRDefault="009C2188" w:rsidP="009C2188">
      <w:pPr>
        <w:pStyle w:val="BodyText"/>
      </w:pPr>
      <w:r w:rsidRPr="002F6765">
        <w:t xml:space="preserve">IBAC </w:t>
      </w:r>
      <w:r w:rsidRPr="003C30CC">
        <w:t>does</w:t>
      </w:r>
      <w:r w:rsidRPr="002F6765">
        <w:t xml:space="preserve"> not own or control any government buildings and consequently is exempt from notifying its compliance with the building and maintenance provisions of the </w:t>
      </w:r>
      <w:r w:rsidRPr="003965EA">
        <w:t>Building Act</w:t>
      </w:r>
      <w:r w:rsidRPr="002F6765">
        <w:t>.</w:t>
      </w:r>
    </w:p>
    <w:p w14:paraId="5126E8AA" w14:textId="77777777" w:rsidR="009C2188" w:rsidRPr="002F6765" w:rsidRDefault="009C2188" w:rsidP="009C2188">
      <w:pPr>
        <w:pStyle w:val="Heading3"/>
      </w:pPr>
      <w:bookmarkStart w:id="262" w:name="_Ref149136829"/>
      <w:r w:rsidRPr="003C30CC">
        <w:t>Competitive</w:t>
      </w:r>
      <w:r w:rsidRPr="002F6765">
        <w:t xml:space="preserve"> neutrality policy</w:t>
      </w:r>
      <w:bookmarkEnd w:id="262"/>
    </w:p>
    <w:p w14:paraId="5CB89CA5" w14:textId="77777777" w:rsidR="009C2188" w:rsidRPr="007211D6" w:rsidRDefault="009C2188" w:rsidP="007211D6">
      <w:pPr>
        <w:pStyle w:val="BodyText"/>
      </w:pPr>
      <w:r w:rsidRPr="007211D6">
        <w:t>IBAC is compliant with the National Competition Policy, including the requirements of the Department of Treasury and Finance’s Competitive Neutrality Policy.</w:t>
      </w:r>
    </w:p>
    <w:p w14:paraId="315E4C72" w14:textId="721B685B" w:rsidR="009C2188" w:rsidRPr="009A2818" w:rsidRDefault="003C77DC" w:rsidP="009A2818">
      <w:pPr>
        <w:pStyle w:val="Heading3"/>
      </w:pPr>
      <w:bookmarkStart w:id="263" w:name="_Ref149136842"/>
      <w:bookmarkStart w:id="264" w:name="_Hlk119271909"/>
      <w:r w:rsidRPr="009A2818">
        <w:t>Public Interest Disclosures Act</w:t>
      </w:r>
      <w:bookmarkEnd w:id="263"/>
    </w:p>
    <w:bookmarkEnd w:id="264"/>
    <w:p w14:paraId="1CF7015C" w14:textId="77777777" w:rsidR="000E5428" w:rsidRPr="007211D6" w:rsidRDefault="000E5428" w:rsidP="007211D6">
      <w:pPr>
        <w:pStyle w:val="BodyText"/>
      </w:pPr>
      <w:r w:rsidRPr="007211D6">
        <w:t>The PID Act provides a framework to protect people who make disclosures of improper conduct and detrimental action by public officers and public bodies. The PID Act also establishes a system for the matters disclosed to be investigated and regulates how certain information can be used.</w:t>
      </w:r>
    </w:p>
    <w:p w14:paraId="4AFBE7D5" w14:textId="083F6336" w:rsidR="000E5428" w:rsidRPr="007211D6" w:rsidRDefault="000E5428" w:rsidP="007211D6">
      <w:pPr>
        <w:pStyle w:val="BodyText"/>
      </w:pPr>
      <w:r w:rsidRPr="007211D6">
        <w:t>IBAC is responsible for assessing most PIDs to determine whether they meet the requirements for a public interest disclosure or a public interest complaint under the PID Act. IBAC also stewards the P</w:t>
      </w:r>
      <w:r w:rsidR="00454AE5" w:rsidRPr="007211D6">
        <w:t xml:space="preserve">ublic </w:t>
      </w:r>
      <w:r w:rsidRPr="007211D6">
        <w:t>I</w:t>
      </w:r>
      <w:r w:rsidR="00454AE5" w:rsidRPr="007211D6">
        <w:t xml:space="preserve">nterest </w:t>
      </w:r>
      <w:r w:rsidRPr="007211D6">
        <w:t>D</w:t>
      </w:r>
      <w:r w:rsidR="00454AE5" w:rsidRPr="007211D6">
        <w:t>isclosure</w:t>
      </w:r>
      <w:r w:rsidR="00C44223" w:rsidRPr="007211D6">
        <w:t>s</w:t>
      </w:r>
      <w:r w:rsidRPr="007211D6">
        <w:t xml:space="preserve"> scheme in the State of Victoria</w:t>
      </w:r>
      <w:r>
        <w:t xml:space="preserve"> and publishes guidelines and procedures relating to the scheme. Among other things, IBAC </w:t>
      </w:r>
      <w:r w:rsidRPr="007211D6">
        <w:t>is responsible for</w:t>
      </w:r>
      <w:r>
        <w:t>:</w:t>
      </w:r>
    </w:p>
    <w:p w14:paraId="3CF9C62C" w14:textId="77777777" w:rsidR="000E5428" w:rsidRDefault="000E5428" w:rsidP="000E5428">
      <w:pPr>
        <w:pStyle w:val="ListBullet"/>
      </w:pPr>
      <w:r>
        <w:t>educating the broader public sector on the operation of the scheme</w:t>
      </w:r>
    </w:p>
    <w:p w14:paraId="5534601F" w14:textId="77777777" w:rsidR="000E5428" w:rsidRDefault="000E5428" w:rsidP="000E5428">
      <w:pPr>
        <w:pStyle w:val="ListBullet"/>
      </w:pPr>
      <w:r>
        <w:t>promoting the purposes of the PID Act</w:t>
      </w:r>
    </w:p>
    <w:p w14:paraId="555872CE" w14:textId="4523E4EB" w:rsidR="000E5428" w:rsidRPr="002F6765" w:rsidRDefault="000E5428" w:rsidP="000E5428">
      <w:pPr>
        <w:pStyle w:val="ListBullet"/>
      </w:pPr>
      <w:r>
        <w:t>reviewing the P</w:t>
      </w:r>
      <w:r w:rsidR="005D7338">
        <w:t xml:space="preserve">ublic </w:t>
      </w:r>
      <w:r>
        <w:t>I</w:t>
      </w:r>
      <w:r w:rsidR="005D7338">
        <w:t xml:space="preserve">nterest </w:t>
      </w:r>
      <w:r>
        <w:t>D</w:t>
      </w:r>
      <w:r w:rsidR="005D7338">
        <w:t>isclosures</w:t>
      </w:r>
      <w:r>
        <w:t xml:space="preserve"> procedures established by public sector bodies.</w:t>
      </w:r>
    </w:p>
    <w:p w14:paraId="3D39381B" w14:textId="7088371E" w:rsidR="000E5428" w:rsidRPr="003C30CC" w:rsidRDefault="000E5428" w:rsidP="007211D6">
      <w:pPr>
        <w:pStyle w:val="BodyText"/>
      </w:pPr>
      <w:r w:rsidRPr="003C30CC">
        <w:t>Information about reporting disclosures of improper conduct or detrimental action to IBAC</w:t>
      </w:r>
      <w:r w:rsidRPr="00BE49C8">
        <w:t>, including the guidelines issued and procedures established by IBAC in relation to the public interest disclosure scheme</w:t>
      </w:r>
      <w:r>
        <w:t xml:space="preserve">, </w:t>
      </w:r>
      <w:r w:rsidR="005D7338">
        <w:t>is available on the IBAC website (</w:t>
      </w:r>
      <w:r w:rsidRPr="003C30CC">
        <w:t>www.ibac.vic.gov.au</w:t>
      </w:r>
      <w:r w:rsidR="005D7338">
        <w:t>)</w:t>
      </w:r>
      <w:r w:rsidRPr="003C30CC">
        <w:t>.</w:t>
      </w:r>
    </w:p>
    <w:p w14:paraId="572A3388" w14:textId="77777777" w:rsidR="000E5428" w:rsidRPr="007211D6" w:rsidRDefault="000E5428" w:rsidP="007211D6">
      <w:pPr>
        <w:pStyle w:val="BodyText"/>
      </w:pPr>
      <w:r w:rsidRPr="007211D6">
        <w:t>Disclosures of improper conduct or detrimental action by IBAC or any of our employees may be made to:</w:t>
      </w:r>
    </w:p>
    <w:p w14:paraId="0907CC70" w14:textId="77777777" w:rsidR="000E5428" w:rsidRPr="003C30CC" w:rsidRDefault="000E5428" w:rsidP="000E5428">
      <w:pPr>
        <w:pStyle w:val="BodyTextindent"/>
      </w:pPr>
      <w:r w:rsidRPr="003C30CC">
        <w:t>Victorian Inspectorate</w:t>
      </w:r>
      <w:r w:rsidRPr="003C30CC">
        <w:br/>
        <w:t xml:space="preserve">PO Box 617, Collins Street West, Melbourne VIC 8007 </w:t>
      </w:r>
      <w:r w:rsidRPr="003C30CC">
        <w:br/>
        <w:t>Phone (03) 8614 3225</w:t>
      </w:r>
      <w:r w:rsidRPr="003C30CC">
        <w:br/>
        <w:t xml:space="preserve">info@vicinspectorate.vic.gov.au </w:t>
      </w:r>
      <w:r w:rsidRPr="003C30CC">
        <w:br/>
        <w:t>www.vicinspectorate.vic.gov.au</w:t>
      </w:r>
    </w:p>
    <w:p w14:paraId="0B3AAAF9" w14:textId="77777777" w:rsidR="000E5428" w:rsidRPr="003C30CC" w:rsidRDefault="000E5428" w:rsidP="000E5428">
      <w:pPr>
        <w:pStyle w:val="BodyText"/>
      </w:pPr>
      <w:r w:rsidRPr="003C30CC">
        <w:t>Information about assessable disclosures made to the Victorian Inspectorate can be found on its website and in the Victorian Inspectorate annual report.</w:t>
      </w:r>
    </w:p>
    <w:p w14:paraId="64BDD478" w14:textId="2079431B" w:rsidR="000E5428" w:rsidRPr="003C30CC" w:rsidRDefault="00BD4F47" w:rsidP="000E5428">
      <w:pPr>
        <w:pStyle w:val="BodyText"/>
      </w:pPr>
      <w:r>
        <w:fldChar w:fldCharType="begin"/>
      </w:r>
      <w:r>
        <w:instrText xml:space="preserve"> REF _Ref77171695 \h </w:instrText>
      </w:r>
      <w:r>
        <w:fldChar w:fldCharType="separate"/>
      </w:r>
      <w:r w:rsidR="00761B2E" w:rsidRPr="002F6765">
        <w:t xml:space="preserve">Table </w:t>
      </w:r>
      <w:r w:rsidR="00761B2E">
        <w:rPr>
          <w:noProof/>
        </w:rPr>
        <w:t>31</w:t>
      </w:r>
      <w:r>
        <w:fldChar w:fldCharType="end"/>
      </w:r>
      <w:r w:rsidR="000E5428">
        <w:fldChar w:fldCharType="begin"/>
      </w:r>
      <w:r w:rsidR="000E5428">
        <w:instrText xml:space="preserve"> REF _Ref77171695 \h  \* MERGEFORMAT </w:instrText>
      </w:r>
      <w:r w:rsidR="00F31239">
        <w:fldChar w:fldCharType="separate"/>
      </w:r>
      <w:r w:rsidR="000E5428">
        <w:fldChar w:fldCharType="end"/>
      </w:r>
      <w:r w:rsidR="000E5428">
        <w:t xml:space="preserve"> sets out the data that IBAC is required to report under section 67 of the PID Act.</w:t>
      </w:r>
    </w:p>
    <w:p w14:paraId="73A3A750" w14:textId="33BCDDC1" w:rsidR="000E5428" w:rsidRDefault="000E5428" w:rsidP="00834775">
      <w:pPr>
        <w:pStyle w:val="Caption"/>
      </w:pPr>
      <w:bookmarkStart w:id="265" w:name="_Ref77171695"/>
      <w:bookmarkStart w:id="266" w:name="_Ref149167907"/>
      <w:r w:rsidRPr="002F6765">
        <w:t xml:space="preserve">Table </w:t>
      </w:r>
      <w:r w:rsidRPr="002F6765">
        <w:fldChar w:fldCharType="begin"/>
      </w:r>
      <w:r w:rsidRPr="002F6765">
        <w:instrText xml:space="preserve"> SEQ Table \* ARABIC </w:instrText>
      </w:r>
      <w:r w:rsidRPr="002F6765">
        <w:fldChar w:fldCharType="separate"/>
      </w:r>
      <w:r w:rsidR="0038627A">
        <w:rPr>
          <w:noProof/>
        </w:rPr>
        <w:t>31</w:t>
      </w:r>
      <w:r w:rsidRPr="002F6765">
        <w:fldChar w:fldCharType="end"/>
      </w:r>
      <w:bookmarkEnd w:id="265"/>
      <w:r w:rsidRPr="002F6765">
        <w:t>: IBAC</w:t>
      </w:r>
      <w:r>
        <w:t>’s</w:t>
      </w:r>
      <w:r w:rsidRPr="002F6765">
        <w:t xml:space="preserve"> </w:t>
      </w:r>
      <w:r w:rsidRPr="003C30CC">
        <w:t>reporting</w:t>
      </w:r>
      <w:r w:rsidRPr="002F6765">
        <w:t xml:space="preserve"> requirements</w:t>
      </w:r>
      <w:r w:rsidRPr="006507DA">
        <w:t xml:space="preserve"> </w:t>
      </w:r>
      <w:r>
        <w:t>under the PID</w:t>
      </w:r>
      <w:r w:rsidRPr="002F6765">
        <w:t xml:space="preserve"> Act</w:t>
      </w:r>
      <w:bookmarkEnd w:id="266"/>
    </w:p>
    <w:tbl>
      <w:tblPr>
        <w:tblStyle w:val="CustomTablestandard"/>
        <w:tblW w:w="0" w:type="auto"/>
        <w:tblLook w:val="04A0" w:firstRow="1" w:lastRow="0" w:firstColumn="1" w:lastColumn="0" w:noHBand="0" w:noVBand="1"/>
      </w:tblPr>
      <w:tblGrid>
        <w:gridCol w:w="4513"/>
        <w:gridCol w:w="4514"/>
      </w:tblGrid>
      <w:tr w:rsidR="000E5428" w:rsidRPr="00DA3345" w14:paraId="1E9EFE55" w14:textId="77777777">
        <w:trPr>
          <w:cnfStyle w:val="100000000000" w:firstRow="1" w:lastRow="0" w:firstColumn="0" w:lastColumn="0" w:oddVBand="0" w:evenVBand="0" w:oddHBand="0" w:evenHBand="0" w:firstRowFirstColumn="0" w:firstRowLastColumn="0" w:lastRowFirstColumn="0" w:lastRowLastColumn="0"/>
          <w:tblHeader/>
        </w:trPr>
        <w:tc>
          <w:tcPr>
            <w:tcW w:w="4513" w:type="dxa"/>
            <w:tcBorders>
              <w:left w:val="nil"/>
            </w:tcBorders>
            <w:hideMark/>
          </w:tcPr>
          <w:p w14:paraId="5D29458D" w14:textId="77777777" w:rsidR="000E5428" w:rsidRPr="00DA3345" w:rsidRDefault="000E5428" w:rsidP="00DB5E79">
            <w:pPr>
              <w:pStyle w:val="TableHeading1"/>
            </w:pPr>
            <w:r w:rsidRPr="00DA3345">
              <w:t>Reporting requirement</w:t>
            </w:r>
          </w:p>
        </w:tc>
        <w:tc>
          <w:tcPr>
            <w:tcW w:w="4514" w:type="dxa"/>
            <w:tcBorders>
              <w:right w:val="nil"/>
            </w:tcBorders>
            <w:hideMark/>
          </w:tcPr>
          <w:p w14:paraId="135E2ADC" w14:textId="72BA0C30" w:rsidR="000E5428" w:rsidRPr="00DA3345" w:rsidRDefault="000E5428" w:rsidP="00DB5E79">
            <w:pPr>
              <w:pStyle w:val="TableHeading1"/>
            </w:pPr>
            <w:r w:rsidRPr="00DA3345">
              <w:t xml:space="preserve">Data for </w:t>
            </w:r>
            <w:r w:rsidR="000A1691">
              <w:t>2022/23</w:t>
            </w:r>
          </w:p>
        </w:tc>
      </w:tr>
      <w:tr w:rsidR="000E5428" w:rsidRPr="00DA3345" w14:paraId="75305C6A" w14:textId="77777777">
        <w:tc>
          <w:tcPr>
            <w:tcW w:w="4513" w:type="dxa"/>
            <w:tcBorders>
              <w:top w:val="single" w:sz="4" w:space="0" w:color="auto"/>
              <w:left w:val="nil"/>
              <w:bottom w:val="single" w:sz="4" w:space="0" w:color="auto"/>
              <w:right w:val="nil"/>
            </w:tcBorders>
            <w:hideMark/>
          </w:tcPr>
          <w:p w14:paraId="548FD67F" w14:textId="77777777" w:rsidR="000E5428" w:rsidRPr="00DA3345" w:rsidRDefault="000E5428" w:rsidP="00DB5E79">
            <w:pPr>
              <w:pStyle w:val="TableBodyText"/>
              <w:rPr>
                <w:color w:val="FF0000"/>
              </w:rPr>
            </w:pPr>
            <w:r w:rsidRPr="00DA3345">
              <w:t>Number and types of assessable disclosures made directly to IBAC</w:t>
            </w:r>
          </w:p>
        </w:tc>
        <w:tc>
          <w:tcPr>
            <w:tcW w:w="4514" w:type="dxa"/>
            <w:tcBorders>
              <w:top w:val="single" w:sz="4" w:space="0" w:color="auto"/>
              <w:left w:val="nil"/>
              <w:bottom w:val="single" w:sz="4" w:space="0" w:color="auto"/>
              <w:right w:val="nil"/>
            </w:tcBorders>
            <w:hideMark/>
          </w:tcPr>
          <w:p w14:paraId="2D24BB40" w14:textId="67D9D1AF" w:rsidR="000E5428" w:rsidRPr="00FE03E2" w:rsidRDefault="000E5428" w:rsidP="00FD67FA">
            <w:pPr>
              <w:pStyle w:val="TableBodyText"/>
            </w:pPr>
            <w:r w:rsidRPr="00FE03E2">
              <w:t>56 made under Pt 2</w:t>
            </w:r>
            <w:r w:rsidR="003F510F">
              <w:t>,</w:t>
            </w:r>
            <w:r w:rsidRPr="00FE03E2">
              <w:t xml:space="preserve"> Div 2 of the PID Act</w:t>
            </w:r>
          </w:p>
        </w:tc>
      </w:tr>
      <w:tr w:rsidR="000E5428" w:rsidRPr="00DA3345" w14:paraId="233A2A4B" w14:textId="77777777">
        <w:tc>
          <w:tcPr>
            <w:tcW w:w="4513" w:type="dxa"/>
            <w:tcBorders>
              <w:top w:val="single" w:sz="4" w:space="0" w:color="auto"/>
              <w:left w:val="nil"/>
              <w:bottom w:val="single" w:sz="4" w:space="0" w:color="auto"/>
              <w:right w:val="nil"/>
            </w:tcBorders>
            <w:hideMark/>
          </w:tcPr>
          <w:p w14:paraId="5B564A5D" w14:textId="77777777" w:rsidR="000E5428" w:rsidRPr="00DA3345" w:rsidRDefault="000E5428" w:rsidP="00DB5E79">
            <w:pPr>
              <w:pStyle w:val="TableBodyText"/>
              <w:rPr>
                <w:color w:val="FF0000"/>
              </w:rPr>
            </w:pPr>
            <w:r w:rsidRPr="00DA3345">
              <w:t>Number and types of disclosures notified to IBAC under sections 21 and 22</w:t>
            </w:r>
          </w:p>
        </w:tc>
        <w:tc>
          <w:tcPr>
            <w:tcW w:w="4514" w:type="dxa"/>
            <w:tcBorders>
              <w:top w:val="single" w:sz="4" w:space="0" w:color="auto"/>
              <w:left w:val="nil"/>
              <w:bottom w:val="single" w:sz="4" w:space="0" w:color="auto"/>
              <w:right w:val="nil"/>
            </w:tcBorders>
            <w:hideMark/>
          </w:tcPr>
          <w:p w14:paraId="108D99FD" w14:textId="72BE9C32" w:rsidR="000E5428" w:rsidRPr="00FE03E2" w:rsidRDefault="000E5428" w:rsidP="00FD67FA">
            <w:pPr>
              <w:pStyle w:val="TableBodyText"/>
            </w:pPr>
            <w:r w:rsidRPr="00FE03E2">
              <w:t>Section 21:</w:t>
            </w:r>
            <w:r w:rsidR="00821ED0">
              <w:t xml:space="preserve"> </w:t>
            </w:r>
            <w:r w:rsidRPr="00FE03E2">
              <w:t>254 disclosures</w:t>
            </w:r>
            <w:r w:rsidR="00821ED0">
              <w:br/>
            </w:r>
            <w:r w:rsidRPr="00FE03E2">
              <w:t>(Victoria Police: 37; public sector: 217)</w:t>
            </w:r>
          </w:p>
          <w:p w14:paraId="30115016" w14:textId="01919005" w:rsidR="000E5428" w:rsidRPr="00821ED0" w:rsidRDefault="000E5428" w:rsidP="00FD67FA">
            <w:pPr>
              <w:pStyle w:val="TableBodyText"/>
            </w:pPr>
            <w:r w:rsidRPr="00FE03E2">
              <w:t>Section 22:</w:t>
            </w:r>
            <w:r w:rsidR="00821ED0">
              <w:t xml:space="preserve"> </w:t>
            </w:r>
            <w:r w:rsidRPr="00FE03E2">
              <w:t xml:space="preserve">145 disclosures </w:t>
            </w:r>
          </w:p>
        </w:tc>
      </w:tr>
      <w:tr w:rsidR="000E5428" w:rsidRPr="00DA3345" w14:paraId="6DF99630" w14:textId="77777777">
        <w:tc>
          <w:tcPr>
            <w:tcW w:w="4513" w:type="dxa"/>
            <w:tcBorders>
              <w:top w:val="single" w:sz="4" w:space="0" w:color="auto"/>
              <w:left w:val="nil"/>
              <w:bottom w:val="single" w:sz="4" w:space="0" w:color="auto"/>
              <w:right w:val="nil"/>
            </w:tcBorders>
            <w:hideMark/>
          </w:tcPr>
          <w:p w14:paraId="097551F8" w14:textId="77777777" w:rsidR="000E5428" w:rsidRPr="00DA3345" w:rsidRDefault="000E5428" w:rsidP="00DB5E79">
            <w:pPr>
              <w:pStyle w:val="TableBodyText"/>
              <w:rPr>
                <w:color w:val="FF0000"/>
              </w:rPr>
            </w:pPr>
            <w:r w:rsidRPr="00DA3345">
              <w:t>Number and types of allegation assessments made by IBAC under section 26 to determine whether a disclosure is a public interest complaint</w:t>
            </w:r>
          </w:p>
        </w:tc>
        <w:tc>
          <w:tcPr>
            <w:tcW w:w="4514" w:type="dxa"/>
            <w:tcBorders>
              <w:top w:val="single" w:sz="4" w:space="0" w:color="auto"/>
              <w:left w:val="nil"/>
              <w:bottom w:val="single" w:sz="4" w:space="0" w:color="auto"/>
              <w:right w:val="nil"/>
            </w:tcBorders>
            <w:hideMark/>
          </w:tcPr>
          <w:p w14:paraId="5F057188" w14:textId="32A9259F" w:rsidR="000E5428" w:rsidRPr="00FE03E2" w:rsidRDefault="000E5428" w:rsidP="00FD67FA">
            <w:pPr>
              <w:pStyle w:val="TableBodyText"/>
            </w:pPr>
            <w:r w:rsidRPr="00FE03E2">
              <w:t>Public interest complaints:</w:t>
            </w:r>
            <w:r w:rsidR="00074953" w:rsidRPr="00FE03E2">
              <w:t xml:space="preserve"> 743</w:t>
            </w:r>
            <w:r w:rsidR="00074953" w:rsidRPr="00FE03E2">
              <w:br/>
            </w:r>
            <w:r w:rsidRPr="00FE03E2">
              <w:t>(Victoria Police: 376; public sector: 367)</w:t>
            </w:r>
          </w:p>
          <w:p w14:paraId="580FB758" w14:textId="31C71E52" w:rsidR="000E5428" w:rsidRPr="00DA3345" w:rsidRDefault="000E5428" w:rsidP="00FD67FA">
            <w:pPr>
              <w:pStyle w:val="TableBodyText"/>
            </w:pPr>
            <w:r w:rsidRPr="00FE03E2">
              <w:t>Non-public interest complaints:</w:t>
            </w:r>
            <w:r w:rsidR="00074953" w:rsidRPr="00FE03E2">
              <w:t xml:space="preserve"> 5,774</w:t>
            </w:r>
            <w:r w:rsidR="00074953" w:rsidRPr="00FE03E2">
              <w:br/>
            </w:r>
            <w:r w:rsidRPr="00FE03E2">
              <w:t>(Victoria Police: 3</w:t>
            </w:r>
            <w:r w:rsidR="000504D2">
              <w:t>,</w:t>
            </w:r>
            <w:r w:rsidRPr="00FE03E2">
              <w:t>337; public sector: 2</w:t>
            </w:r>
            <w:r w:rsidR="002D35AB" w:rsidRPr="00FE03E2">
              <w:t>,</w:t>
            </w:r>
            <w:r w:rsidRPr="00FE03E2">
              <w:t>437)</w:t>
            </w:r>
          </w:p>
        </w:tc>
      </w:tr>
      <w:tr w:rsidR="000E5428" w:rsidRPr="00DA3345" w14:paraId="1399FA6E" w14:textId="77777777">
        <w:tc>
          <w:tcPr>
            <w:tcW w:w="4513" w:type="dxa"/>
            <w:tcBorders>
              <w:top w:val="single" w:sz="4" w:space="0" w:color="auto"/>
              <w:left w:val="nil"/>
              <w:bottom w:val="nil"/>
              <w:right w:val="nil"/>
            </w:tcBorders>
            <w:hideMark/>
          </w:tcPr>
          <w:p w14:paraId="1B03ACDF" w14:textId="77777777" w:rsidR="000E5428" w:rsidRPr="00DA3345" w:rsidRDefault="000E5428" w:rsidP="00DB5E79">
            <w:pPr>
              <w:pStyle w:val="TableBodyText"/>
            </w:pPr>
            <w:r w:rsidRPr="00DA3345">
              <w:t>Number and type of public interest complaints that, under the IBAC Act, have been:</w:t>
            </w:r>
          </w:p>
        </w:tc>
        <w:tc>
          <w:tcPr>
            <w:tcW w:w="4514" w:type="dxa"/>
            <w:tcBorders>
              <w:top w:val="single" w:sz="4" w:space="0" w:color="auto"/>
              <w:left w:val="nil"/>
              <w:bottom w:val="nil"/>
              <w:right w:val="nil"/>
            </w:tcBorders>
          </w:tcPr>
          <w:p w14:paraId="770B9D2F" w14:textId="77777777" w:rsidR="000E5428" w:rsidRPr="00DA3345" w:rsidRDefault="000E5428" w:rsidP="00DB5E79">
            <w:pPr>
              <w:pStyle w:val="TableBodyText"/>
              <w:rPr>
                <w:color w:val="FF0000"/>
              </w:rPr>
            </w:pPr>
          </w:p>
        </w:tc>
      </w:tr>
      <w:tr w:rsidR="000E5428" w:rsidRPr="00DA3345" w14:paraId="151143B5" w14:textId="77777777">
        <w:tc>
          <w:tcPr>
            <w:tcW w:w="4513" w:type="dxa"/>
            <w:tcBorders>
              <w:top w:val="nil"/>
              <w:left w:val="nil"/>
              <w:bottom w:val="nil"/>
              <w:right w:val="nil"/>
            </w:tcBorders>
            <w:hideMark/>
          </w:tcPr>
          <w:p w14:paraId="1529063C" w14:textId="77777777" w:rsidR="000E5428" w:rsidRPr="00DA3345" w:rsidRDefault="000E5428" w:rsidP="009F53FF">
            <w:pPr>
              <w:pStyle w:val="TableListBullet"/>
            </w:pPr>
            <w:r w:rsidRPr="00DA3345">
              <w:t>investigated by IBAC</w:t>
            </w:r>
          </w:p>
        </w:tc>
        <w:tc>
          <w:tcPr>
            <w:tcW w:w="4514" w:type="dxa"/>
            <w:tcBorders>
              <w:top w:val="nil"/>
              <w:left w:val="nil"/>
              <w:bottom w:val="nil"/>
              <w:right w:val="nil"/>
            </w:tcBorders>
            <w:hideMark/>
          </w:tcPr>
          <w:p w14:paraId="0D40D6D1" w14:textId="1AFB8816" w:rsidR="000E5428" w:rsidRPr="00FE03E2" w:rsidRDefault="000E5428" w:rsidP="00FD67FA">
            <w:pPr>
              <w:pStyle w:val="TableBodyText"/>
            </w:pPr>
            <w:r w:rsidRPr="00FE03E2">
              <w:t>29 investigated</w:t>
            </w:r>
            <w:r w:rsidR="00074953" w:rsidRPr="00FE03E2">
              <w:t xml:space="preserve"> </w:t>
            </w:r>
            <w:r w:rsidRPr="00FE03E2">
              <w:t>(Victoria Police: 9; public sector: 20)</w:t>
            </w:r>
          </w:p>
          <w:p w14:paraId="749862C0" w14:textId="39F40D25" w:rsidR="000E5428" w:rsidRPr="00FE03E2" w:rsidRDefault="000E5428" w:rsidP="00FD67FA">
            <w:pPr>
              <w:pStyle w:val="TableBodyText"/>
            </w:pPr>
            <w:r w:rsidRPr="00FE03E2">
              <w:t>1 preliminary inquir</w:t>
            </w:r>
            <w:r w:rsidR="00074953" w:rsidRPr="00FE03E2">
              <w:t xml:space="preserve">y </w:t>
            </w:r>
            <w:r w:rsidRPr="00FE03E2">
              <w:t>(Victoria Police: 0; public sector: 1)</w:t>
            </w:r>
          </w:p>
        </w:tc>
      </w:tr>
      <w:tr w:rsidR="000E5428" w:rsidRPr="00DA3345" w14:paraId="6D5A4731" w14:textId="77777777">
        <w:tc>
          <w:tcPr>
            <w:tcW w:w="4513" w:type="dxa"/>
            <w:tcBorders>
              <w:top w:val="nil"/>
              <w:left w:val="nil"/>
              <w:bottom w:val="nil"/>
              <w:right w:val="nil"/>
            </w:tcBorders>
            <w:hideMark/>
          </w:tcPr>
          <w:p w14:paraId="525F3638" w14:textId="77777777" w:rsidR="000E5428" w:rsidRPr="00DA3345" w:rsidRDefault="000E5428" w:rsidP="009F53FF">
            <w:pPr>
              <w:pStyle w:val="TableListBullet"/>
            </w:pPr>
            <w:r w:rsidRPr="00DA3345">
              <w:t>referred by IBAC to another investigating entity</w:t>
            </w:r>
          </w:p>
        </w:tc>
        <w:tc>
          <w:tcPr>
            <w:tcW w:w="4514" w:type="dxa"/>
            <w:tcBorders>
              <w:top w:val="nil"/>
              <w:left w:val="nil"/>
              <w:bottom w:val="nil"/>
              <w:right w:val="nil"/>
            </w:tcBorders>
            <w:hideMark/>
          </w:tcPr>
          <w:p w14:paraId="59C172B4" w14:textId="1D89A5B0" w:rsidR="000E5428" w:rsidRPr="00FE03E2" w:rsidRDefault="000E5428" w:rsidP="00FD67FA">
            <w:pPr>
              <w:pStyle w:val="TableBodyText"/>
            </w:pPr>
            <w:r w:rsidRPr="00FE03E2">
              <w:t>667 referrals</w:t>
            </w:r>
            <w:r w:rsidR="00074953" w:rsidRPr="00FE03E2">
              <w:t xml:space="preserve"> </w:t>
            </w:r>
            <w:r w:rsidRPr="00FE03E2">
              <w:t>(Victoria Police: 350; public sector: 317)</w:t>
            </w:r>
          </w:p>
        </w:tc>
      </w:tr>
      <w:tr w:rsidR="000E5428" w:rsidRPr="00DA3345" w14:paraId="625956FB" w14:textId="77777777">
        <w:tc>
          <w:tcPr>
            <w:tcW w:w="4513" w:type="dxa"/>
            <w:tcBorders>
              <w:top w:val="nil"/>
              <w:left w:val="nil"/>
              <w:bottom w:val="single" w:sz="4" w:space="0" w:color="auto"/>
              <w:right w:val="nil"/>
            </w:tcBorders>
            <w:hideMark/>
          </w:tcPr>
          <w:p w14:paraId="3B6A20E8" w14:textId="77777777" w:rsidR="000E5428" w:rsidRPr="00DA3345" w:rsidRDefault="000E5428" w:rsidP="009F53FF">
            <w:pPr>
              <w:pStyle w:val="TableListBullet"/>
            </w:pPr>
            <w:r w:rsidRPr="00DA3345">
              <w:t>dismissed by IBAC</w:t>
            </w:r>
          </w:p>
        </w:tc>
        <w:tc>
          <w:tcPr>
            <w:tcW w:w="4514" w:type="dxa"/>
            <w:tcBorders>
              <w:top w:val="nil"/>
              <w:left w:val="nil"/>
              <w:bottom w:val="single" w:sz="4" w:space="0" w:color="auto"/>
              <w:right w:val="nil"/>
            </w:tcBorders>
            <w:hideMark/>
          </w:tcPr>
          <w:p w14:paraId="6B101097" w14:textId="72472195" w:rsidR="000E5428" w:rsidRPr="00FE03E2" w:rsidRDefault="000E5428" w:rsidP="00FD67FA">
            <w:pPr>
              <w:pStyle w:val="TableBodyText"/>
            </w:pPr>
            <w:r w:rsidRPr="00FE03E2">
              <w:t>45 dismissals</w:t>
            </w:r>
            <w:r w:rsidR="00074953" w:rsidRPr="00FE03E2">
              <w:t xml:space="preserve"> </w:t>
            </w:r>
            <w:r w:rsidRPr="00FE03E2">
              <w:t>(Victoria Police: 17; public sector: 28)</w:t>
            </w:r>
          </w:p>
        </w:tc>
      </w:tr>
      <w:tr w:rsidR="000E5428" w:rsidRPr="00DA3345" w14:paraId="78268C38" w14:textId="77777777">
        <w:tc>
          <w:tcPr>
            <w:tcW w:w="4513" w:type="dxa"/>
            <w:tcBorders>
              <w:top w:val="single" w:sz="4" w:space="0" w:color="auto"/>
              <w:left w:val="nil"/>
              <w:bottom w:val="single" w:sz="4" w:space="0" w:color="auto"/>
              <w:right w:val="nil"/>
            </w:tcBorders>
            <w:hideMark/>
          </w:tcPr>
          <w:p w14:paraId="186ACB34" w14:textId="77777777" w:rsidR="000E5428" w:rsidRPr="00DA3345" w:rsidRDefault="000E5428" w:rsidP="00DB5E79">
            <w:pPr>
              <w:pStyle w:val="TableBodyText"/>
              <w:rPr>
                <w:color w:val="FF0000"/>
              </w:rPr>
            </w:pPr>
            <w:r w:rsidRPr="00DA3345">
              <w:t>Any recommendations made by IBAC under section 61 during the financial year</w:t>
            </w:r>
          </w:p>
        </w:tc>
        <w:tc>
          <w:tcPr>
            <w:tcW w:w="4514" w:type="dxa"/>
            <w:tcBorders>
              <w:top w:val="single" w:sz="4" w:space="0" w:color="auto"/>
              <w:left w:val="nil"/>
              <w:bottom w:val="single" w:sz="4" w:space="0" w:color="auto"/>
              <w:right w:val="nil"/>
            </w:tcBorders>
            <w:hideMark/>
          </w:tcPr>
          <w:p w14:paraId="54025292" w14:textId="77777777" w:rsidR="000E5428" w:rsidRPr="00FE03E2" w:rsidRDefault="000E5428" w:rsidP="00DB5E79">
            <w:pPr>
              <w:pStyle w:val="TableBodyText"/>
              <w:rPr>
                <w:color w:val="FF0000"/>
              </w:rPr>
            </w:pPr>
            <w:r w:rsidRPr="00FE03E2">
              <w:t>0</w:t>
            </w:r>
          </w:p>
        </w:tc>
      </w:tr>
      <w:tr w:rsidR="000E5428" w:rsidRPr="00DA3345" w14:paraId="1B674FF1" w14:textId="77777777">
        <w:tc>
          <w:tcPr>
            <w:tcW w:w="4513" w:type="dxa"/>
            <w:tcBorders>
              <w:top w:val="single" w:sz="4" w:space="0" w:color="auto"/>
              <w:left w:val="nil"/>
              <w:bottom w:val="single" w:sz="4" w:space="0" w:color="auto"/>
              <w:right w:val="nil"/>
            </w:tcBorders>
            <w:hideMark/>
          </w:tcPr>
          <w:p w14:paraId="79DE30BC" w14:textId="77777777" w:rsidR="000E5428" w:rsidRPr="00DA3345" w:rsidRDefault="000E5428" w:rsidP="00DB5E79">
            <w:pPr>
              <w:pStyle w:val="TableBodyText"/>
              <w:rPr>
                <w:color w:val="FF0000"/>
              </w:rPr>
            </w:pPr>
            <w:r w:rsidRPr="00DA3345">
              <w:t>For each of those recommendations, the action taken by the entity in relation to the recommendation</w:t>
            </w:r>
          </w:p>
        </w:tc>
        <w:tc>
          <w:tcPr>
            <w:tcW w:w="4514" w:type="dxa"/>
            <w:tcBorders>
              <w:top w:val="single" w:sz="4" w:space="0" w:color="auto"/>
              <w:left w:val="nil"/>
              <w:bottom w:val="single" w:sz="4" w:space="0" w:color="auto"/>
              <w:right w:val="nil"/>
            </w:tcBorders>
            <w:hideMark/>
          </w:tcPr>
          <w:p w14:paraId="5C0087D1" w14:textId="77777777" w:rsidR="000E5428" w:rsidRPr="00FE03E2" w:rsidRDefault="000E5428" w:rsidP="00DB5E79">
            <w:pPr>
              <w:pStyle w:val="TableBodyText"/>
              <w:rPr>
                <w:color w:val="FF0000"/>
              </w:rPr>
            </w:pPr>
            <w:r w:rsidRPr="00FE03E2">
              <w:t>0</w:t>
            </w:r>
          </w:p>
        </w:tc>
      </w:tr>
      <w:tr w:rsidR="000E5428" w:rsidRPr="00DA3345" w14:paraId="29AFB18F" w14:textId="77777777">
        <w:tc>
          <w:tcPr>
            <w:tcW w:w="4513" w:type="dxa"/>
            <w:tcBorders>
              <w:top w:val="single" w:sz="4" w:space="0" w:color="auto"/>
              <w:left w:val="nil"/>
              <w:bottom w:val="single" w:sz="4" w:space="0" w:color="auto"/>
              <w:right w:val="nil"/>
            </w:tcBorders>
            <w:hideMark/>
          </w:tcPr>
          <w:p w14:paraId="6572A36B" w14:textId="77777777" w:rsidR="000E5428" w:rsidRPr="00DA3345" w:rsidRDefault="000E5428" w:rsidP="00DB5E79">
            <w:pPr>
              <w:pStyle w:val="TableBodyText"/>
            </w:pPr>
            <w:r w:rsidRPr="00DA3345">
              <w:t>Number of applications for an injunction made by IBAC under section 50 during the financial year</w:t>
            </w:r>
          </w:p>
        </w:tc>
        <w:tc>
          <w:tcPr>
            <w:tcW w:w="4514" w:type="dxa"/>
            <w:tcBorders>
              <w:top w:val="single" w:sz="4" w:space="0" w:color="auto"/>
              <w:left w:val="nil"/>
              <w:bottom w:val="single" w:sz="4" w:space="0" w:color="auto"/>
              <w:right w:val="nil"/>
            </w:tcBorders>
            <w:hideMark/>
          </w:tcPr>
          <w:p w14:paraId="79F43C06" w14:textId="77777777" w:rsidR="000E5428" w:rsidRPr="00FE03E2" w:rsidRDefault="00F31239" w:rsidP="00DB5E79">
            <w:pPr>
              <w:pStyle w:val="TableBodyText"/>
              <w:rPr>
                <w:color w:val="FF0000"/>
              </w:rPr>
            </w:pPr>
            <w:sdt>
              <w:sdtPr>
                <w:rPr>
                  <w:highlight w:val="green"/>
                </w:rPr>
                <w:id w:val="-1731531309"/>
                <w:placeholder>
                  <w:docPart w:val="43567CC77F524514BB5945DEEC32761B"/>
                </w:placeholder>
                <w:temporary/>
              </w:sdtPr>
              <w:sdtEndPr/>
              <w:sdtContent>
                <w:r w:rsidR="000E5428" w:rsidRPr="00FE03E2">
                  <w:t>0</w:t>
                </w:r>
              </w:sdtContent>
            </w:sdt>
          </w:p>
        </w:tc>
      </w:tr>
    </w:tbl>
    <w:p w14:paraId="06BD5AD9" w14:textId="0C25575D" w:rsidR="009C2188" w:rsidRPr="000504D2" w:rsidRDefault="009C2188" w:rsidP="000504D2">
      <w:pPr>
        <w:pStyle w:val="Heading3"/>
      </w:pPr>
      <w:bookmarkStart w:id="267" w:name="_Ref149136857"/>
      <w:r w:rsidRPr="000504D2">
        <w:t>Carers Recognition Act</w:t>
      </w:r>
      <w:bookmarkEnd w:id="267"/>
    </w:p>
    <w:p w14:paraId="2952E1EB" w14:textId="77777777" w:rsidR="009C2188" w:rsidRPr="002F6765" w:rsidRDefault="009C2188" w:rsidP="009C2188">
      <w:pPr>
        <w:pStyle w:val="BodyText"/>
      </w:pPr>
      <w:r w:rsidRPr="002F6765">
        <w:t>IBAC operates a hybrid working model and continues to offer a range of work and flexible leave options to help our staff balance the demands of work with personal and carer commitments.</w:t>
      </w:r>
    </w:p>
    <w:p w14:paraId="6BB1B8DA" w14:textId="69E1180B" w:rsidR="009C2188" w:rsidRPr="000504D2" w:rsidRDefault="009C2188" w:rsidP="000504D2">
      <w:pPr>
        <w:pStyle w:val="Heading2"/>
      </w:pPr>
      <w:bookmarkStart w:id="268" w:name="_Ref149165249"/>
      <w:bookmarkStart w:id="269" w:name="_Hlk114147225"/>
      <w:r w:rsidRPr="000504D2">
        <w:t>Disability Act</w:t>
      </w:r>
      <w:bookmarkEnd w:id="268"/>
    </w:p>
    <w:p w14:paraId="1C0D8426" w14:textId="77777777" w:rsidR="009C2188" w:rsidRPr="00EF1205" w:rsidRDefault="009C2188" w:rsidP="00EF1205">
      <w:pPr>
        <w:pStyle w:val="BodyText"/>
      </w:pPr>
      <w:r w:rsidRPr="00EF1205">
        <w:t xml:space="preserve">IBAC has made progress in implementing the IBAC 2021–23 Disability Action Plan, with all roles now advertised on the JobAccess website to attract more people with disability to work at IBAC. </w:t>
      </w:r>
    </w:p>
    <w:bookmarkEnd w:id="269"/>
    <w:p w14:paraId="7B5164CC" w14:textId="6ED25162" w:rsidR="006B5A73" w:rsidRPr="00600D6F" w:rsidRDefault="006B5A73" w:rsidP="00600D6F">
      <w:pPr>
        <w:pStyle w:val="Heading3"/>
      </w:pPr>
      <w:r w:rsidRPr="00600D6F">
        <w:t>IBAC Act section 165</w:t>
      </w:r>
    </w:p>
    <w:p w14:paraId="50870324" w14:textId="77777777" w:rsidR="007E15E5" w:rsidRDefault="007E15E5" w:rsidP="00BA68D3">
      <w:pPr>
        <w:pStyle w:val="BodyText"/>
      </w:pPr>
      <w:r w:rsidRPr="1EFBF1D2">
        <w:t>Section 165(1)(b) of the IBAC Act requires IBAC to include in this report any recommendations for changes to any Act or law in force in Victoria, or for specified administrative actions to be taken which IBAC considers necessary as a result of the performance of its duties and functions.</w:t>
      </w:r>
    </w:p>
    <w:p w14:paraId="7DAB8BD6" w14:textId="77777777" w:rsidR="007E15E5" w:rsidRDefault="007E15E5" w:rsidP="00BA68D3">
      <w:pPr>
        <w:pStyle w:val="BodyText"/>
      </w:pPr>
      <w:r w:rsidRPr="00BA68D3">
        <w:t>In</w:t>
      </w:r>
      <w:r w:rsidRPr="1EFBF1D2">
        <w:t xml:space="preserve"> our investigations and special reports, we periodically make recommendations for specified administrative actions. Copies of our investigations and special reports can be found in the publications and resources section of the IBAC website.</w:t>
      </w:r>
    </w:p>
    <w:p w14:paraId="3FB27FAB" w14:textId="1E4966D9" w:rsidR="007E15E5" w:rsidRDefault="007E15E5" w:rsidP="003965EA">
      <w:pPr>
        <w:pStyle w:val="BodyText"/>
      </w:pPr>
      <w:r w:rsidRPr="1EFBF1D2">
        <w:t xml:space="preserve">During </w:t>
      </w:r>
      <w:r w:rsidR="000A1691">
        <w:t>2022/23</w:t>
      </w:r>
      <w:r w:rsidRPr="1EFBF1D2">
        <w:t xml:space="preserve">, IBAC made </w:t>
      </w:r>
      <w:r w:rsidRPr="00FE03E2">
        <w:t>16</w:t>
      </w:r>
      <w:r w:rsidRPr="1EFBF1D2">
        <w:t xml:space="preserve"> recommendations for changes to Acts or laws in force in Victoria. These recommendations are listed in </w:t>
      </w:r>
      <w:r w:rsidR="00233067">
        <w:fldChar w:fldCharType="begin"/>
      </w:r>
      <w:r w:rsidR="00233067">
        <w:instrText xml:space="preserve"> REF _Ref140750668 \h </w:instrText>
      </w:r>
      <w:r w:rsidR="00233067">
        <w:fldChar w:fldCharType="separate"/>
      </w:r>
      <w:r w:rsidR="0038627A">
        <w:t xml:space="preserve">Table </w:t>
      </w:r>
      <w:r w:rsidR="0038627A">
        <w:rPr>
          <w:noProof/>
        </w:rPr>
        <w:t>32</w:t>
      </w:r>
      <w:r w:rsidR="00233067">
        <w:fldChar w:fldCharType="end"/>
      </w:r>
      <w:r w:rsidRPr="1EFBF1D2">
        <w:t>.</w:t>
      </w:r>
    </w:p>
    <w:p w14:paraId="2A9AE465" w14:textId="567BC847" w:rsidR="00BD4F47" w:rsidRDefault="00BD4F47" w:rsidP="00834775">
      <w:pPr>
        <w:pStyle w:val="Caption"/>
      </w:pPr>
      <w:bookmarkStart w:id="270" w:name="_Ref140750668"/>
      <w:bookmarkStart w:id="271" w:name="_Ref149166755"/>
      <w:r>
        <w:t xml:space="preserve">Table </w:t>
      </w:r>
      <w:r>
        <w:fldChar w:fldCharType="begin"/>
      </w:r>
      <w:r>
        <w:instrText xml:space="preserve"> SEQ Table \* ARABIC </w:instrText>
      </w:r>
      <w:r>
        <w:fldChar w:fldCharType="separate"/>
      </w:r>
      <w:r w:rsidR="008E7EFA">
        <w:rPr>
          <w:noProof/>
        </w:rPr>
        <w:t>32</w:t>
      </w:r>
      <w:r>
        <w:fldChar w:fldCharType="end"/>
      </w:r>
      <w:bookmarkEnd w:id="270"/>
      <w:r>
        <w:t xml:space="preserve">: </w:t>
      </w:r>
      <w:r w:rsidRPr="001D549C">
        <w:t>IBAC’s reporting requirements under the IBAC Act, section 165</w:t>
      </w:r>
      <w:bookmarkEnd w:id="271"/>
    </w:p>
    <w:tbl>
      <w:tblPr>
        <w:tblStyle w:val="TableGrid"/>
        <w:tblW w:w="0" w:type="auto"/>
        <w:tblLayout w:type="fixed"/>
        <w:tblLook w:val="04A0" w:firstRow="1" w:lastRow="0" w:firstColumn="1" w:lastColumn="0" w:noHBand="0" w:noVBand="1"/>
      </w:tblPr>
      <w:tblGrid>
        <w:gridCol w:w="2399"/>
        <w:gridCol w:w="6616"/>
      </w:tblGrid>
      <w:tr w:rsidR="007E15E5" w14:paraId="4FBBA927" w14:textId="77777777">
        <w:trPr>
          <w:cnfStyle w:val="100000000000" w:firstRow="1" w:lastRow="0" w:firstColumn="0" w:lastColumn="0" w:oddVBand="0" w:evenVBand="0" w:oddHBand="0" w:evenHBand="0" w:firstRowFirstColumn="0" w:firstRowLastColumn="0" w:lastRowFirstColumn="0" w:lastRowLastColumn="0"/>
          <w:trHeight w:val="300"/>
        </w:trPr>
        <w:tc>
          <w:tcPr>
            <w:tcW w:w="2399" w:type="dxa"/>
            <w:tcBorders>
              <w:top w:val="single" w:sz="8" w:space="0" w:color="FFFFFF" w:themeColor="background1"/>
              <w:left w:val="nil"/>
              <w:bottom w:val="single" w:sz="8" w:space="0" w:color="FFFFFF" w:themeColor="background1"/>
              <w:right w:val="nil"/>
            </w:tcBorders>
            <w:shd w:val="clear" w:color="auto" w:fill="E5DFEC" w:themeFill="accent4" w:themeFillTint="33"/>
            <w:tcMar>
              <w:left w:w="108" w:type="dxa"/>
              <w:right w:w="108" w:type="dxa"/>
            </w:tcMar>
            <w:vAlign w:val="bottom"/>
          </w:tcPr>
          <w:p w14:paraId="3DD8A727" w14:textId="77777777" w:rsidR="007E15E5" w:rsidRDefault="007E15E5" w:rsidP="004F6693">
            <w:pPr>
              <w:pStyle w:val="TableHeading1"/>
            </w:pPr>
            <w:r w:rsidRPr="1EFBF1D2">
              <w:rPr>
                <w:rFonts w:eastAsia="Calibri"/>
              </w:rPr>
              <w:t>Report</w:t>
            </w:r>
          </w:p>
        </w:tc>
        <w:tc>
          <w:tcPr>
            <w:tcW w:w="6616" w:type="dxa"/>
            <w:tcBorders>
              <w:top w:val="single" w:sz="8" w:space="0" w:color="FFFFFF" w:themeColor="background1"/>
              <w:left w:val="nil"/>
              <w:bottom w:val="single" w:sz="8" w:space="0" w:color="FFFFFF" w:themeColor="background1"/>
              <w:right w:val="nil"/>
            </w:tcBorders>
            <w:shd w:val="clear" w:color="auto" w:fill="E5DFEC" w:themeFill="accent4" w:themeFillTint="33"/>
            <w:tcMar>
              <w:left w:w="108" w:type="dxa"/>
              <w:right w:w="108" w:type="dxa"/>
            </w:tcMar>
            <w:vAlign w:val="bottom"/>
          </w:tcPr>
          <w:p w14:paraId="3B914974" w14:textId="77777777" w:rsidR="007E15E5" w:rsidRDefault="007E15E5" w:rsidP="004F6693">
            <w:pPr>
              <w:pStyle w:val="TableHeading1"/>
            </w:pPr>
            <w:r w:rsidRPr="1EFBF1D2">
              <w:rPr>
                <w:rFonts w:eastAsia="Calibri"/>
              </w:rPr>
              <w:t>Recommendation</w:t>
            </w:r>
          </w:p>
        </w:tc>
      </w:tr>
      <w:tr w:rsidR="007E15E5" w14:paraId="31D21510" w14:textId="77777777">
        <w:trPr>
          <w:trHeight w:val="300"/>
        </w:trPr>
        <w:tc>
          <w:tcPr>
            <w:tcW w:w="2399" w:type="dxa"/>
            <w:tcBorders>
              <w:top w:val="single" w:sz="8" w:space="0" w:color="FFFFFF" w:themeColor="background1"/>
              <w:left w:val="nil"/>
              <w:bottom w:val="single" w:sz="8" w:space="0" w:color="auto"/>
              <w:right w:val="nil"/>
            </w:tcBorders>
            <w:tcMar>
              <w:left w:w="108" w:type="dxa"/>
              <w:right w:w="108" w:type="dxa"/>
            </w:tcMar>
          </w:tcPr>
          <w:p w14:paraId="6D5517FB" w14:textId="0E9845EB" w:rsidR="007E15E5" w:rsidRDefault="007E15E5" w:rsidP="004F6693">
            <w:pPr>
              <w:pStyle w:val="TableBodyText"/>
            </w:pPr>
            <w:r w:rsidRPr="1EFBF1D2">
              <w:rPr>
                <w:rFonts w:eastAsia="Calibri"/>
              </w:rPr>
              <w:t xml:space="preserve">Special Report – Operation </w:t>
            </w:r>
            <w:r w:rsidR="00233067" w:rsidRPr="1EFBF1D2">
              <w:rPr>
                <w:rFonts w:eastAsia="Calibri"/>
              </w:rPr>
              <w:t>W</w:t>
            </w:r>
            <w:r w:rsidR="00233067">
              <w:rPr>
                <w:rFonts w:eastAsia="Calibri"/>
              </w:rPr>
              <w:t>atts</w:t>
            </w:r>
          </w:p>
        </w:tc>
        <w:tc>
          <w:tcPr>
            <w:tcW w:w="6616" w:type="dxa"/>
            <w:tcBorders>
              <w:top w:val="single" w:sz="8" w:space="0" w:color="FFFFFF" w:themeColor="background1"/>
              <w:left w:val="nil"/>
              <w:bottom w:val="single" w:sz="8" w:space="0" w:color="auto"/>
              <w:right w:val="nil"/>
            </w:tcBorders>
            <w:tcMar>
              <w:left w:w="108" w:type="dxa"/>
              <w:right w:w="108" w:type="dxa"/>
            </w:tcMar>
          </w:tcPr>
          <w:p w14:paraId="7485D7B7" w14:textId="77777777" w:rsidR="007E15E5" w:rsidRDefault="007E15E5" w:rsidP="004F6693">
            <w:pPr>
              <w:pStyle w:val="TableBodyText"/>
            </w:pPr>
            <w:r w:rsidRPr="1EFBF1D2">
              <w:rPr>
                <w:rFonts w:eastAsia="Calibri"/>
              </w:rPr>
              <w:t>Recommendation 1</w:t>
            </w:r>
          </w:p>
          <w:p w14:paraId="4DB17819" w14:textId="77777777" w:rsidR="007E15E5" w:rsidRDefault="007E15E5" w:rsidP="004F6693">
            <w:pPr>
              <w:pStyle w:val="TableBodyText"/>
            </w:pPr>
            <w:r w:rsidRPr="1EFBF1D2">
              <w:rPr>
                <w:rFonts w:eastAsia="Calibri"/>
              </w:rPr>
              <w:t>IBAC and the Ombudsman recommend that:</w:t>
            </w:r>
          </w:p>
          <w:p w14:paraId="2C593139" w14:textId="3D3C8783" w:rsidR="007E15E5" w:rsidRPr="00233067" w:rsidRDefault="007E15E5" w:rsidP="00A07B34">
            <w:pPr>
              <w:pStyle w:val="TableListNumber"/>
              <w:numPr>
                <w:ilvl w:val="0"/>
                <w:numId w:val="56"/>
              </w:numPr>
              <w:rPr>
                <w:rFonts w:eastAsia="Calibri"/>
              </w:rPr>
            </w:pPr>
            <w:r w:rsidRPr="00233067">
              <w:rPr>
                <w:rFonts w:eastAsia="Calibri"/>
              </w:rPr>
              <w:t xml:space="preserve">the government and the </w:t>
            </w:r>
            <w:r w:rsidR="001B2F12">
              <w:rPr>
                <w:rFonts w:eastAsia="Calibri"/>
              </w:rPr>
              <w:t>P</w:t>
            </w:r>
            <w:r w:rsidRPr="00233067">
              <w:rPr>
                <w:rFonts w:eastAsia="Calibri"/>
              </w:rPr>
              <w:t>arliament work together to establish a Parliamentary Ethics Committee that:</w:t>
            </w:r>
          </w:p>
          <w:p w14:paraId="74C21EE3" w14:textId="739CC7D4" w:rsidR="007E15E5" w:rsidRDefault="007E15E5" w:rsidP="00A07B34">
            <w:pPr>
              <w:pStyle w:val="TableListNumber2"/>
              <w:rPr>
                <w:rFonts w:eastAsia="Calibri"/>
              </w:rPr>
            </w:pPr>
            <w:r w:rsidRPr="1EFBF1D2">
              <w:rPr>
                <w:rFonts w:eastAsia="Calibri"/>
              </w:rPr>
              <w:t xml:space="preserve">monitors the effectiveness of the Statement of Values and Code of Conduct in the </w:t>
            </w:r>
            <w:r w:rsidRPr="007F6849">
              <w:rPr>
                <w:rStyle w:val="Characteritalic"/>
                <w:rFonts w:eastAsia="Calibri"/>
              </w:rPr>
              <w:t>Members of Parliament (Standards) Act 1978</w:t>
            </w:r>
            <w:r w:rsidRPr="1EFBF1D2">
              <w:rPr>
                <w:rFonts w:eastAsia="Calibri"/>
              </w:rPr>
              <w:t xml:space="preserve"> and other ethical obligations imposed on MPs</w:t>
            </w:r>
          </w:p>
          <w:p w14:paraId="5627D9BB" w14:textId="758EC990" w:rsidR="007E15E5" w:rsidRDefault="007E15E5" w:rsidP="00A07B34">
            <w:pPr>
              <w:pStyle w:val="TableListNumber2"/>
              <w:rPr>
                <w:rFonts w:eastAsia="Calibri"/>
              </w:rPr>
            </w:pPr>
            <w:r w:rsidRPr="1EFBF1D2">
              <w:rPr>
                <w:rFonts w:eastAsia="Calibri"/>
              </w:rPr>
              <w:t xml:space="preserve">promotes and provides training and information about the Statement of Values and Code of Conduct, in the </w:t>
            </w:r>
            <w:r w:rsidR="00331815">
              <w:rPr>
                <w:rFonts w:eastAsia="Calibri"/>
              </w:rPr>
              <w:t>P</w:t>
            </w:r>
            <w:r w:rsidRPr="1EFBF1D2">
              <w:rPr>
                <w:rFonts w:eastAsia="Calibri"/>
              </w:rPr>
              <w:t>arliament and in the general community</w:t>
            </w:r>
          </w:p>
          <w:p w14:paraId="51D8D118" w14:textId="1D272232" w:rsidR="007E15E5" w:rsidRDefault="007E15E5" w:rsidP="00A07B34">
            <w:pPr>
              <w:pStyle w:val="TableListNumber2"/>
              <w:rPr>
                <w:rFonts w:eastAsia="Calibri"/>
              </w:rPr>
            </w:pPr>
            <w:r w:rsidRPr="1EFBF1D2">
              <w:rPr>
                <w:rFonts w:eastAsia="Calibri"/>
              </w:rPr>
              <w:t>prepares guidance materials on the Statement of Values and Code of Conduct</w:t>
            </w:r>
          </w:p>
          <w:p w14:paraId="05DA70B8" w14:textId="01578D84" w:rsidR="007E15E5" w:rsidRDefault="007E15E5" w:rsidP="00A07B34">
            <w:pPr>
              <w:pStyle w:val="TableListNumber2"/>
              <w:rPr>
                <w:rFonts w:eastAsia="Calibri"/>
              </w:rPr>
            </w:pPr>
            <w:r w:rsidRPr="1EFBF1D2">
              <w:rPr>
                <w:rFonts w:eastAsia="Calibri"/>
              </w:rPr>
              <w:t>works with the Parliamentary Integrity Commissioner in carrying out its functions and receiving reports about ethical standards</w:t>
            </w:r>
          </w:p>
          <w:p w14:paraId="28230502" w14:textId="16DCC105" w:rsidR="007E15E5" w:rsidRDefault="007E15E5" w:rsidP="00A07B34">
            <w:pPr>
              <w:pStyle w:val="TableListNumber2"/>
              <w:rPr>
                <w:rFonts w:eastAsia="Calibri"/>
              </w:rPr>
            </w:pPr>
            <w:r w:rsidRPr="1EFBF1D2">
              <w:rPr>
                <w:rFonts w:eastAsia="Calibri"/>
              </w:rPr>
              <w:t>reviews the Statement of Values and Code of Conduct at least once every four years.</w:t>
            </w:r>
          </w:p>
          <w:p w14:paraId="6283E01C" w14:textId="2DE59BE9" w:rsidR="007E15E5" w:rsidRDefault="007E15E5" w:rsidP="00A07B34">
            <w:pPr>
              <w:pStyle w:val="TableListNumber"/>
              <w:rPr>
                <w:rFonts w:eastAsia="Calibri"/>
              </w:rPr>
            </w:pPr>
            <w:r w:rsidRPr="1EFBF1D2">
              <w:rPr>
                <w:rFonts w:eastAsia="Calibri"/>
              </w:rPr>
              <w:t xml:space="preserve">the Parliamentary Ethics Committee should be a Joint House Committee composed of equal numbers of members from the Legislative Assembly and Legislative Council and be established by amendment to the </w:t>
            </w:r>
            <w:r w:rsidRPr="009E2805">
              <w:rPr>
                <w:rStyle w:val="Characteritalic"/>
                <w:rFonts w:eastAsia="Calibri"/>
              </w:rPr>
              <w:t>Parliamentary Committees Act 2003</w:t>
            </w:r>
            <w:r w:rsidRPr="1EFBF1D2">
              <w:rPr>
                <w:rFonts w:eastAsia="Calibri"/>
              </w:rPr>
              <w:t>. Consideration should be given to including some members from each of the parliamentary privileges committees.</w:t>
            </w:r>
          </w:p>
          <w:p w14:paraId="78398FD3" w14:textId="15B85A06" w:rsidR="007E15E5" w:rsidRDefault="007E15E5" w:rsidP="00A07B34">
            <w:pPr>
              <w:pStyle w:val="TableListNumber"/>
              <w:rPr>
                <w:rFonts w:eastAsia="Calibri"/>
              </w:rPr>
            </w:pPr>
            <w:r w:rsidRPr="1EFBF1D2">
              <w:rPr>
                <w:rFonts w:eastAsia="Calibri"/>
              </w:rPr>
              <w:t xml:space="preserve">the government and </w:t>
            </w:r>
            <w:r w:rsidR="00331815">
              <w:rPr>
                <w:rFonts w:eastAsia="Calibri"/>
              </w:rPr>
              <w:t>Parliament</w:t>
            </w:r>
            <w:r w:rsidRPr="1EFBF1D2">
              <w:rPr>
                <w:rFonts w:eastAsia="Calibri"/>
              </w:rPr>
              <w:t xml:space="preserve"> should consider for inclusion in the Parliamentary Ethics Committee’s role and composition:</w:t>
            </w:r>
          </w:p>
          <w:p w14:paraId="534F82F1" w14:textId="3FEA8FF6" w:rsidR="007E15E5" w:rsidRDefault="007E15E5" w:rsidP="00A07B34">
            <w:pPr>
              <w:pStyle w:val="TableListNumber2"/>
              <w:rPr>
                <w:rFonts w:eastAsia="Calibri"/>
              </w:rPr>
            </w:pPr>
            <w:r w:rsidRPr="1EFBF1D2">
              <w:rPr>
                <w:rFonts w:eastAsia="Calibri"/>
              </w:rPr>
              <w:t>a requirement to consult the public when undertaking reviews</w:t>
            </w:r>
          </w:p>
          <w:p w14:paraId="2C5F49F8" w14:textId="24A1B2AD" w:rsidR="007E15E5" w:rsidRDefault="007E15E5" w:rsidP="00A07B34">
            <w:pPr>
              <w:pStyle w:val="TableListNumber2"/>
              <w:rPr>
                <w:rFonts w:eastAsia="Calibri"/>
              </w:rPr>
            </w:pPr>
            <w:r w:rsidRPr="1EFBF1D2">
              <w:rPr>
                <w:rFonts w:eastAsia="Calibri"/>
              </w:rPr>
              <w:t>a power to appoint members of the public to assist it with its work, or specify a fixed number of members of the public to be Committee members</w:t>
            </w:r>
          </w:p>
          <w:p w14:paraId="5EA57094" w14:textId="6A50564F" w:rsidR="007E15E5" w:rsidRDefault="007E15E5" w:rsidP="00A07B34">
            <w:pPr>
              <w:pStyle w:val="TableListNumber2"/>
              <w:rPr>
                <w:rFonts w:eastAsia="Calibri"/>
              </w:rPr>
            </w:pPr>
            <w:r w:rsidRPr="1EFBF1D2">
              <w:rPr>
                <w:rFonts w:eastAsia="Calibri"/>
              </w:rPr>
              <w:t>appointment of a non-government member as the chair of the Committee</w:t>
            </w:r>
          </w:p>
          <w:p w14:paraId="0BDCD488" w14:textId="270C0F22" w:rsidR="007E15E5" w:rsidRDefault="007E15E5" w:rsidP="00A07B34">
            <w:pPr>
              <w:pStyle w:val="TableListNumber2"/>
              <w:rPr>
                <w:rFonts w:eastAsia="Calibri"/>
              </w:rPr>
            </w:pPr>
            <w:r w:rsidRPr="1EFBF1D2">
              <w:rPr>
                <w:rFonts w:eastAsia="Calibri"/>
              </w:rPr>
              <w:t>a power for the Committee to undertake related integrity roles as may be requested, such as in relation to codes of conduct for ministers, ministerial advisors and electorate officers, or a parliamentary bullying and harassment protocol.</w:t>
            </w:r>
          </w:p>
        </w:tc>
      </w:tr>
      <w:tr w:rsidR="007E15E5" w14:paraId="1277D1BA"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637ECE5E" w14:textId="14AD5D8D" w:rsidR="007E15E5" w:rsidRDefault="007E15E5" w:rsidP="004F6693">
            <w:pPr>
              <w:pStyle w:val="TableBodyText"/>
            </w:pPr>
            <w:r w:rsidRPr="1EFBF1D2">
              <w:rPr>
                <w:rFonts w:eastAsia="Calibri"/>
              </w:rPr>
              <w:t xml:space="preserve">Special Report – Operation </w:t>
            </w:r>
            <w:r w:rsidR="00233067" w:rsidRPr="1EFBF1D2">
              <w:rPr>
                <w:rFonts w:eastAsia="Calibri"/>
              </w:rPr>
              <w:t>W</w:t>
            </w:r>
            <w:r w:rsidR="00233067">
              <w:rPr>
                <w:rFonts w:eastAsia="Calibri"/>
              </w:rPr>
              <w:t>atts</w:t>
            </w:r>
          </w:p>
        </w:tc>
        <w:tc>
          <w:tcPr>
            <w:tcW w:w="6616" w:type="dxa"/>
            <w:tcBorders>
              <w:top w:val="single" w:sz="8" w:space="0" w:color="auto"/>
              <w:left w:val="nil"/>
              <w:bottom w:val="single" w:sz="8" w:space="0" w:color="auto"/>
              <w:right w:val="nil"/>
            </w:tcBorders>
            <w:tcMar>
              <w:left w:w="108" w:type="dxa"/>
              <w:right w:w="108" w:type="dxa"/>
            </w:tcMar>
          </w:tcPr>
          <w:p w14:paraId="12BFD7E6" w14:textId="77777777" w:rsidR="007E15E5" w:rsidRDefault="007E15E5" w:rsidP="004F6693">
            <w:pPr>
              <w:pStyle w:val="TableBodyText"/>
            </w:pPr>
            <w:r w:rsidRPr="1EFBF1D2">
              <w:rPr>
                <w:rFonts w:eastAsia="Calibri"/>
              </w:rPr>
              <w:t>Recommendation 2</w:t>
            </w:r>
          </w:p>
          <w:p w14:paraId="64CA4DAC" w14:textId="77777777" w:rsidR="007E15E5" w:rsidRDefault="007E15E5" w:rsidP="004F6693">
            <w:pPr>
              <w:pStyle w:val="TableBodyText"/>
            </w:pPr>
            <w:r w:rsidRPr="1EFBF1D2">
              <w:rPr>
                <w:rFonts w:eastAsia="Calibri"/>
              </w:rPr>
              <w:t>IBAC and the Ombudsman recommend that:</w:t>
            </w:r>
          </w:p>
          <w:p w14:paraId="4012A563" w14:textId="5AB3D868" w:rsidR="007E15E5" w:rsidRPr="00233067" w:rsidRDefault="007E15E5" w:rsidP="00A07B34">
            <w:pPr>
              <w:pStyle w:val="TableListNumber"/>
              <w:numPr>
                <w:ilvl w:val="0"/>
                <w:numId w:val="57"/>
              </w:numPr>
              <w:rPr>
                <w:rFonts w:eastAsia="Calibri"/>
              </w:rPr>
            </w:pPr>
            <w:r w:rsidRPr="00233067">
              <w:rPr>
                <w:rFonts w:eastAsia="Calibri"/>
              </w:rPr>
              <w:t xml:space="preserve">the government and the </w:t>
            </w:r>
            <w:r w:rsidR="00331815">
              <w:rPr>
                <w:rFonts w:eastAsia="Calibri"/>
              </w:rPr>
              <w:t>Parliament</w:t>
            </w:r>
            <w:r w:rsidRPr="00233067">
              <w:rPr>
                <w:rFonts w:eastAsia="Calibri"/>
              </w:rPr>
              <w:t xml:space="preserve"> work together to establish a Parliamentary Integrity Commissioner as an independent officer of the </w:t>
            </w:r>
            <w:r w:rsidR="00331815">
              <w:rPr>
                <w:rFonts w:eastAsia="Calibri"/>
              </w:rPr>
              <w:t>Parliament</w:t>
            </w:r>
            <w:r w:rsidRPr="00233067">
              <w:rPr>
                <w:rFonts w:eastAsia="Calibri"/>
              </w:rPr>
              <w:t xml:space="preserve"> who would:</w:t>
            </w:r>
          </w:p>
          <w:p w14:paraId="265FA201" w14:textId="1A2EFC80" w:rsidR="007E15E5" w:rsidRDefault="007E15E5" w:rsidP="00A07B34">
            <w:pPr>
              <w:pStyle w:val="TableListNumber2"/>
              <w:rPr>
                <w:rFonts w:eastAsia="Calibri"/>
              </w:rPr>
            </w:pPr>
            <w:r w:rsidRPr="1EFBF1D2">
              <w:rPr>
                <w:rFonts w:eastAsia="Calibri"/>
              </w:rPr>
              <w:t>receive and investigate complaints about possible non-criminal breaches of the Members of Parliament Code of Conduct in the Members of Parliament (Standards) Act 1978 and other standards and rules relevant to parliamentary integrity</w:t>
            </w:r>
          </w:p>
          <w:p w14:paraId="3DD6CE70" w14:textId="179988E1" w:rsidR="007E15E5" w:rsidRDefault="007E15E5" w:rsidP="00A07B34">
            <w:pPr>
              <w:pStyle w:val="TableListNumber2"/>
              <w:rPr>
                <w:rFonts w:eastAsia="Calibri"/>
              </w:rPr>
            </w:pPr>
            <w:r w:rsidRPr="1EFBF1D2">
              <w:rPr>
                <w:rFonts w:eastAsia="Calibri"/>
              </w:rPr>
              <w:t>submit reports on investigations to the privileges committee of the relevant House for consideration and action where required, including recommendations on appropriate sanctions for a serious breach of the Members of Parliament Code of Conduct or other integrity rule or standard</w:t>
            </w:r>
          </w:p>
          <w:p w14:paraId="74BA82DD" w14:textId="45C644B9" w:rsidR="007E15E5" w:rsidRDefault="007E15E5" w:rsidP="00A07B34">
            <w:pPr>
              <w:pStyle w:val="TableListNumber2"/>
              <w:rPr>
                <w:rFonts w:eastAsia="Calibri"/>
              </w:rPr>
            </w:pPr>
            <w:r w:rsidRPr="1EFBF1D2">
              <w:rPr>
                <w:rFonts w:eastAsia="Calibri"/>
              </w:rPr>
              <w:t xml:space="preserve">monitor the effectiveness of the Statement of Values and Code of Conduct in the Members of Parliament (Standards) Act 1978 and other ethical obligations imposed on members of </w:t>
            </w:r>
            <w:r w:rsidR="00331815">
              <w:rPr>
                <w:rFonts w:eastAsia="Calibri"/>
              </w:rPr>
              <w:t>Parliament</w:t>
            </w:r>
          </w:p>
          <w:p w14:paraId="323B52DE" w14:textId="60C53723" w:rsidR="007E15E5" w:rsidRDefault="007E15E5" w:rsidP="00A07B34">
            <w:pPr>
              <w:pStyle w:val="TableListNumber2"/>
              <w:rPr>
                <w:rFonts w:eastAsia="Calibri"/>
              </w:rPr>
            </w:pPr>
            <w:r w:rsidRPr="1EFBF1D2">
              <w:rPr>
                <w:rFonts w:eastAsia="Calibri"/>
              </w:rPr>
              <w:t xml:space="preserve">promote and provide training and information about the Statement of Values and Code of Conduct, in the </w:t>
            </w:r>
            <w:r w:rsidR="00331815">
              <w:rPr>
                <w:rFonts w:eastAsia="Calibri"/>
              </w:rPr>
              <w:t>Parliament</w:t>
            </w:r>
            <w:r w:rsidRPr="1EFBF1D2">
              <w:rPr>
                <w:rFonts w:eastAsia="Calibri"/>
              </w:rPr>
              <w:t xml:space="preserve"> and the general community, in collaboration with the Parliamentary Ethics Committee</w:t>
            </w:r>
          </w:p>
          <w:p w14:paraId="28E6EEC8" w14:textId="272A2A47" w:rsidR="007E15E5" w:rsidRDefault="007E15E5" w:rsidP="00A07B34">
            <w:pPr>
              <w:pStyle w:val="TableListNumber2"/>
              <w:rPr>
                <w:rFonts w:eastAsia="Calibri"/>
              </w:rPr>
            </w:pPr>
            <w:r w:rsidRPr="1EFBF1D2">
              <w:rPr>
                <w:rFonts w:eastAsia="Calibri"/>
              </w:rPr>
              <w:t>help the Parliamentary Ethics Committee prepare guidance materials on the Statement of Values and Code of Conduct and review the Statement of Values and Code of Conduct at least once every four years</w:t>
            </w:r>
          </w:p>
          <w:p w14:paraId="3E634A38" w14:textId="2E2CEBFF" w:rsidR="007E15E5" w:rsidRDefault="007E15E5" w:rsidP="00A07B34">
            <w:pPr>
              <w:pStyle w:val="TableListNumber2"/>
              <w:rPr>
                <w:rFonts w:eastAsia="Calibri"/>
              </w:rPr>
            </w:pPr>
            <w:r w:rsidRPr="1EFBF1D2">
              <w:rPr>
                <w:rFonts w:eastAsia="Calibri"/>
              </w:rPr>
              <w:t xml:space="preserve"> undertake other integrity-related functions allocated to them by the government or </w:t>
            </w:r>
            <w:r w:rsidR="00331815">
              <w:rPr>
                <w:rFonts w:eastAsia="Calibri"/>
              </w:rPr>
              <w:t>Parliament</w:t>
            </w:r>
            <w:r w:rsidRPr="1EFBF1D2">
              <w:rPr>
                <w:rFonts w:eastAsia="Calibri"/>
              </w:rPr>
              <w:t>.</w:t>
            </w:r>
          </w:p>
          <w:p w14:paraId="02231ED7" w14:textId="18255D1D" w:rsidR="007E15E5" w:rsidRDefault="007E15E5" w:rsidP="00A07B34">
            <w:pPr>
              <w:pStyle w:val="TableListNumber"/>
              <w:rPr>
                <w:rFonts w:eastAsia="Calibri"/>
              </w:rPr>
            </w:pPr>
            <w:r w:rsidRPr="1EFBF1D2">
              <w:rPr>
                <w:rFonts w:eastAsia="Calibri"/>
              </w:rPr>
              <w:t>the Parliamentary Integrity Commissioner be established by legislation and be appointed by or upon the recommendation of a cross-party parliamentary panel with members from both Houses selected for that purpose</w:t>
            </w:r>
          </w:p>
          <w:p w14:paraId="1862BF14" w14:textId="6C71D84E" w:rsidR="007E15E5" w:rsidRDefault="007E15E5" w:rsidP="00A07B34">
            <w:pPr>
              <w:pStyle w:val="TableListNumber"/>
              <w:rPr>
                <w:rFonts w:eastAsia="Calibri"/>
              </w:rPr>
            </w:pPr>
            <w:r w:rsidRPr="1EFBF1D2">
              <w:rPr>
                <w:rFonts w:eastAsia="Calibri"/>
              </w:rPr>
              <w:t>the term of appointment be for more than four years and that there be narrowly defined criteria for dismissal upon a recommendation from the proposed Parliamentary Ethics Committee</w:t>
            </w:r>
          </w:p>
          <w:p w14:paraId="1F4912C0" w14:textId="66842012" w:rsidR="007E15E5" w:rsidRDefault="007E15E5" w:rsidP="00A07B34">
            <w:pPr>
              <w:pStyle w:val="TableListNumber"/>
              <w:rPr>
                <w:rFonts w:eastAsia="Calibri"/>
              </w:rPr>
            </w:pPr>
            <w:r w:rsidRPr="1EFBF1D2">
              <w:rPr>
                <w:rFonts w:eastAsia="Calibri"/>
              </w:rPr>
              <w:t>the processes and sanctions available to the Parliamentary Integrity Commissioner be fair, efficient and proportionate to the nature of the alleged breach</w:t>
            </w:r>
          </w:p>
          <w:p w14:paraId="516107DF" w14:textId="46ED1A37" w:rsidR="007E15E5" w:rsidRDefault="007E15E5" w:rsidP="00A07B34">
            <w:pPr>
              <w:pStyle w:val="TableListNumber"/>
              <w:rPr>
                <w:rFonts w:eastAsia="Calibri"/>
              </w:rPr>
            </w:pPr>
            <w:r w:rsidRPr="1EFBF1D2">
              <w:rPr>
                <w:rFonts w:eastAsia="Calibri"/>
              </w:rPr>
              <w:t xml:space="preserve">the Parliamentary Integrity Commissioner have the powers and resources necessary to carry out their functions, including a power to apply sanctions by consent where a member of </w:t>
            </w:r>
            <w:r w:rsidR="00331815">
              <w:rPr>
                <w:rFonts w:eastAsia="Calibri"/>
              </w:rPr>
              <w:t>Parliament</w:t>
            </w:r>
            <w:r w:rsidRPr="1EFBF1D2">
              <w:rPr>
                <w:rFonts w:eastAsia="Calibri"/>
              </w:rPr>
              <w:t xml:space="preserve"> acknowledges a breach of a minor nature, such as requiring an apology or a binding undertaking.</w:t>
            </w:r>
          </w:p>
        </w:tc>
      </w:tr>
      <w:tr w:rsidR="007E15E5" w14:paraId="66BABDE6"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19B58CA3" w14:textId="296D4553" w:rsidR="007E15E5" w:rsidRDefault="007E15E5" w:rsidP="004F6693">
            <w:pPr>
              <w:pStyle w:val="TableBodyText"/>
            </w:pPr>
            <w:r w:rsidRPr="1EFBF1D2">
              <w:rPr>
                <w:rFonts w:eastAsia="Calibri"/>
              </w:rPr>
              <w:t xml:space="preserve">Special Report – Operation </w:t>
            </w:r>
            <w:r w:rsidR="00233067" w:rsidRPr="1EFBF1D2">
              <w:rPr>
                <w:rFonts w:eastAsia="Calibri"/>
              </w:rPr>
              <w:t>W</w:t>
            </w:r>
            <w:r w:rsidR="00233067">
              <w:rPr>
                <w:rFonts w:eastAsia="Calibri"/>
              </w:rPr>
              <w:t>atts</w:t>
            </w:r>
          </w:p>
        </w:tc>
        <w:tc>
          <w:tcPr>
            <w:tcW w:w="6616" w:type="dxa"/>
            <w:tcBorders>
              <w:top w:val="single" w:sz="8" w:space="0" w:color="auto"/>
              <w:left w:val="nil"/>
              <w:bottom w:val="single" w:sz="8" w:space="0" w:color="auto"/>
              <w:right w:val="nil"/>
            </w:tcBorders>
            <w:tcMar>
              <w:left w:w="108" w:type="dxa"/>
              <w:right w:w="108" w:type="dxa"/>
            </w:tcMar>
          </w:tcPr>
          <w:p w14:paraId="64E1084D" w14:textId="77777777" w:rsidR="007E15E5" w:rsidRDefault="007E15E5" w:rsidP="004F6693">
            <w:pPr>
              <w:pStyle w:val="TableBodyText"/>
            </w:pPr>
            <w:r w:rsidRPr="1EFBF1D2">
              <w:rPr>
                <w:rFonts w:eastAsia="Calibri"/>
              </w:rPr>
              <w:t>Recommendation 5</w:t>
            </w:r>
          </w:p>
          <w:p w14:paraId="28086FEE" w14:textId="77777777" w:rsidR="007E15E5" w:rsidRDefault="007E15E5" w:rsidP="004F6693">
            <w:pPr>
              <w:pStyle w:val="TableBodyText"/>
            </w:pPr>
            <w:r w:rsidRPr="1EFBF1D2">
              <w:rPr>
                <w:rFonts w:eastAsia="Calibri"/>
              </w:rPr>
              <w:t>IBAC and the Ombudsman recommend that whichever party or parties form government after the November 2022 state election commit to introducing and commencing the legislation to establish the Parliamentary Ethics Committee and Parliamentary Integrity Commissioner as recommended in this report, by June 2024.</w:t>
            </w:r>
          </w:p>
        </w:tc>
      </w:tr>
      <w:tr w:rsidR="007E15E5" w14:paraId="2CA0DD79"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2514027D" w14:textId="60094350" w:rsidR="007E15E5" w:rsidRDefault="007E15E5" w:rsidP="004F6693">
            <w:pPr>
              <w:pStyle w:val="TableBodyText"/>
            </w:pPr>
            <w:r w:rsidRPr="1EFBF1D2">
              <w:rPr>
                <w:rFonts w:eastAsia="Calibri"/>
              </w:rPr>
              <w:t xml:space="preserve">Special Report – Operation </w:t>
            </w:r>
            <w:r w:rsidR="00233067" w:rsidRPr="1EFBF1D2">
              <w:rPr>
                <w:rFonts w:eastAsia="Calibri"/>
              </w:rPr>
              <w:t>W</w:t>
            </w:r>
            <w:r w:rsidR="00233067">
              <w:rPr>
                <w:rFonts w:eastAsia="Calibri"/>
              </w:rPr>
              <w:t>atts</w:t>
            </w:r>
          </w:p>
        </w:tc>
        <w:tc>
          <w:tcPr>
            <w:tcW w:w="6616" w:type="dxa"/>
            <w:tcBorders>
              <w:top w:val="single" w:sz="8" w:space="0" w:color="auto"/>
              <w:left w:val="nil"/>
              <w:bottom w:val="single" w:sz="8" w:space="0" w:color="auto"/>
              <w:right w:val="nil"/>
            </w:tcBorders>
            <w:tcMar>
              <w:left w:w="108" w:type="dxa"/>
              <w:right w:w="108" w:type="dxa"/>
            </w:tcMar>
          </w:tcPr>
          <w:p w14:paraId="0BB03866" w14:textId="77777777" w:rsidR="007E15E5" w:rsidRDefault="007E15E5" w:rsidP="004F6693">
            <w:pPr>
              <w:pStyle w:val="TableBodyText"/>
            </w:pPr>
            <w:r w:rsidRPr="1EFBF1D2">
              <w:rPr>
                <w:rFonts w:eastAsia="Calibri"/>
              </w:rPr>
              <w:t>Recommendation 7</w:t>
            </w:r>
          </w:p>
          <w:p w14:paraId="0270635F" w14:textId="77777777" w:rsidR="007E15E5" w:rsidRDefault="007E15E5" w:rsidP="004F6693">
            <w:pPr>
              <w:pStyle w:val="TableBodyText"/>
            </w:pPr>
            <w:r w:rsidRPr="1EFBF1D2">
              <w:rPr>
                <w:rFonts w:eastAsia="Calibri"/>
              </w:rPr>
              <w:t xml:space="preserve">IBAC and the Ombudsman recommend that the definition of prohibited party-specific activities in section 30 of the </w:t>
            </w:r>
            <w:r w:rsidRPr="009D3814">
              <w:rPr>
                <w:rStyle w:val="Characteritalic"/>
                <w:rFonts w:eastAsia="Calibri"/>
              </w:rPr>
              <w:t>Parliamentary Administration Act</w:t>
            </w:r>
            <w:r w:rsidRPr="1EFBF1D2">
              <w:rPr>
                <w:rFonts w:eastAsia="Calibri"/>
              </w:rPr>
              <w:t xml:space="preserve"> 2005 be amended to include activities undertaken for the predominant purpose of helping the administration, organisation or management of a political party, including the recruitment and maintenance of party members.</w:t>
            </w:r>
          </w:p>
        </w:tc>
      </w:tr>
      <w:tr w:rsidR="007E15E5" w14:paraId="3B36453A"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325D3A03" w14:textId="5E683CD0" w:rsidR="007E15E5" w:rsidRDefault="007E15E5" w:rsidP="004F6693">
            <w:pPr>
              <w:pStyle w:val="TableBodyText"/>
            </w:pPr>
            <w:r w:rsidRPr="1EFBF1D2">
              <w:rPr>
                <w:rFonts w:eastAsia="Calibri"/>
              </w:rPr>
              <w:t xml:space="preserve">Special Report – Operation </w:t>
            </w:r>
            <w:r w:rsidR="00233067" w:rsidRPr="1EFBF1D2">
              <w:rPr>
                <w:rFonts w:eastAsia="Calibri"/>
              </w:rPr>
              <w:t>W</w:t>
            </w:r>
            <w:r w:rsidR="00233067">
              <w:rPr>
                <w:rFonts w:eastAsia="Calibri"/>
              </w:rPr>
              <w:t>atts</w:t>
            </w:r>
          </w:p>
        </w:tc>
        <w:tc>
          <w:tcPr>
            <w:tcW w:w="6616" w:type="dxa"/>
            <w:tcBorders>
              <w:top w:val="single" w:sz="8" w:space="0" w:color="auto"/>
              <w:left w:val="nil"/>
              <w:bottom w:val="single" w:sz="8" w:space="0" w:color="auto"/>
              <w:right w:val="nil"/>
            </w:tcBorders>
            <w:tcMar>
              <w:left w:w="108" w:type="dxa"/>
              <w:right w:w="108" w:type="dxa"/>
            </w:tcMar>
          </w:tcPr>
          <w:p w14:paraId="3D874168" w14:textId="77777777" w:rsidR="007E15E5" w:rsidRDefault="007E15E5" w:rsidP="004F6693">
            <w:pPr>
              <w:pStyle w:val="TableBodyText"/>
            </w:pPr>
            <w:r w:rsidRPr="1EFBF1D2">
              <w:rPr>
                <w:rFonts w:eastAsia="Calibri"/>
              </w:rPr>
              <w:t>Recommendation 8</w:t>
            </w:r>
          </w:p>
          <w:p w14:paraId="08E51517" w14:textId="77777777" w:rsidR="007E15E5" w:rsidRDefault="007E15E5" w:rsidP="004F6693">
            <w:pPr>
              <w:pStyle w:val="TableBodyText"/>
            </w:pPr>
            <w:r w:rsidRPr="1EFBF1D2">
              <w:rPr>
                <w:rFonts w:eastAsia="Calibri"/>
              </w:rPr>
              <w:t>IBAC and the Ombudsman recommend that:</w:t>
            </w:r>
          </w:p>
          <w:p w14:paraId="5766D2D2" w14:textId="4F5125E3" w:rsidR="007E15E5" w:rsidRPr="00EE0623" w:rsidRDefault="007E15E5" w:rsidP="00A07B34">
            <w:pPr>
              <w:pStyle w:val="TableListNumber"/>
              <w:numPr>
                <w:ilvl w:val="0"/>
                <w:numId w:val="58"/>
              </w:numPr>
              <w:rPr>
                <w:rFonts w:eastAsia="Calibri"/>
              </w:rPr>
            </w:pPr>
            <w:r w:rsidRPr="00EE0623">
              <w:rPr>
                <w:rFonts w:eastAsia="Calibri"/>
              </w:rPr>
              <w:t xml:space="preserve">an offence be created that provides that a member of </w:t>
            </w:r>
            <w:r w:rsidR="00331815">
              <w:rPr>
                <w:rFonts w:eastAsia="Calibri"/>
              </w:rPr>
              <w:t>Parliament</w:t>
            </w:r>
            <w:r w:rsidRPr="00EE0623">
              <w:rPr>
                <w:rFonts w:eastAsia="Calibri"/>
              </w:rPr>
              <w:t xml:space="preserve"> who directs or allows a person to undertake party-specific activities while that person is employed to help the member of </w:t>
            </w:r>
            <w:r w:rsidR="00331815">
              <w:rPr>
                <w:rFonts w:eastAsia="Calibri"/>
              </w:rPr>
              <w:t>Parliament</w:t>
            </w:r>
            <w:r w:rsidRPr="00EE0623">
              <w:rPr>
                <w:rFonts w:eastAsia="Calibri"/>
              </w:rPr>
              <w:t xml:space="preserve"> discharge their public duties is guilty of an offence.</w:t>
            </w:r>
          </w:p>
          <w:p w14:paraId="1EB2965C" w14:textId="5A99727C" w:rsidR="007E15E5" w:rsidRDefault="007E15E5" w:rsidP="00A07B34">
            <w:pPr>
              <w:pStyle w:val="TableListNumber"/>
              <w:rPr>
                <w:rFonts w:eastAsia="Calibri"/>
              </w:rPr>
            </w:pPr>
            <w:r w:rsidRPr="1EFBF1D2">
              <w:rPr>
                <w:rFonts w:eastAsia="Calibri"/>
              </w:rPr>
              <w:t>the government in formulating the offence and the penalty should take account of:</w:t>
            </w:r>
          </w:p>
          <w:p w14:paraId="443F199E" w14:textId="6B4AA001" w:rsidR="007E15E5" w:rsidRDefault="007E15E5" w:rsidP="00A07B34">
            <w:pPr>
              <w:pStyle w:val="TableListNumber2"/>
              <w:rPr>
                <w:rFonts w:eastAsia="Calibri"/>
              </w:rPr>
            </w:pPr>
            <w:r w:rsidRPr="1EFBF1D2">
              <w:rPr>
                <w:rFonts w:eastAsia="Calibri"/>
              </w:rPr>
              <w:t xml:space="preserve">the degree of a member of </w:t>
            </w:r>
            <w:r w:rsidR="00BC4049">
              <w:rPr>
                <w:rFonts w:eastAsia="Calibri"/>
              </w:rPr>
              <w:t>Parliament</w:t>
            </w:r>
            <w:r w:rsidRPr="1EFBF1D2">
              <w:rPr>
                <w:rFonts w:eastAsia="Calibri"/>
              </w:rPr>
              <w:t>’s intent or recklessness in directing or allowing the employee to undertake such activities</w:t>
            </w:r>
          </w:p>
          <w:p w14:paraId="43C6A634" w14:textId="037BC917" w:rsidR="007E15E5" w:rsidRDefault="007E15E5" w:rsidP="00A07B34">
            <w:pPr>
              <w:pStyle w:val="TableListNumber2"/>
              <w:rPr>
                <w:rFonts w:eastAsia="Calibri"/>
              </w:rPr>
            </w:pPr>
            <w:r w:rsidRPr="1EFBF1D2">
              <w:rPr>
                <w:rFonts w:eastAsia="Calibri"/>
              </w:rPr>
              <w:t xml:space="preserve">activities where it is difficult to separate the party-political aspect of the work from the normal duties of an electorate officer’s role, such as attendance at a community-organised event with the member of </w:t>
            </w:r>
            <w:r w:rsidR="00BC4049">
              <w:rPr>
                <w:rFonts w:eastAsia="Calibri"/>
              </w:rPr>
              <w:t>Parliament</w:t>
            </w:r>
          </w:p>
          <w:p w14:paraId="36E2F0A2" w14:textId="67041A3D" w:rsidR="007E15E5" w:rsidRDefault="007E15E5" w:rsidP="00A07B34">
            <w:pPr>
              <w:pStyle w:val="TableListNumber2"/>
              <w:rPr>
                <w:rFonts w:eastAsia="Calibri"/>
              </w:rPr>
            </w:pPr>
            <w:r w:rsidRPr="1EFBF1D2">
              <w:rPr>
                <w:rFonts w:eastAsia="Calibri"/>
              </w:rPr>
              <w:t>unavoidable and reasonable communication with a party’s head office or local branch on minor or incidental matters.</w:t>
            </w:r>
          </w:p>
        </w:tc>
      </w:tr>
      <w:tr w:rsidR="007E15E5" w14:paraId="62A2AEBE"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2C0A9BC3" w14:textId="236F928B" w:rsidR="007E15E5" w:rsidRDefault="007E15E5" w:rsidP="004F6693">
            <w:pPr>
              <w:pStyle w:val="TableBodyText"/>
            </w:pPr>
            <w:r w:rsidRPr="1EFBF1D2">
              <w:rPr>
                <w:rFonts w:eastAsia="Calibri"/>
              </w:rPr>
              <w:t xml:space="preserve">Special Report – Operation </w:t>
            </w:r>
            <w:r w:rsidR="00EE0623" w:rsidRPr="1EFBF1D2">
              <w:rPr>
                <w:rFonts w:eastAsia="Calibri"/>
              </w:rPr>
              <w:t>W</w:t>
            </w:r>
            <w:r w:rsidR="00EE0623">
              <w:rPr>
                <w:rFonts w:eastAsia="Calibri"/>
              </w:rPr>
              <w:t>atts</w:t>
            </w:r>
          </w:p>
        </w:tc>
        <w:tc>
          <w:tcPr>
            <w:tcW w:w="6616" w:type="dxa"/>
            <w:tcBorders>
              <w:top w:val="single" w:sz="8" w:space="0" w:color="auto"/>
              <w:left w:val="nil"/>
              <w:bottom w:val="single" w:sz="8" w:space="0" w:color="auto"/>
              <w:right w:val="nil"/>
            </w:tcBorders>
            <w:tcMar>
              <w:left w:w="108" w:type="dxa"/>
              <w:right w:w="108" w:type="dxa"/>
            </w:tcMar>
          </w:tcPr>
          <w:p w14:paraId="2E064B94" w14:textId="77777777" w:rsidR="007E15E5" w:rsidRDefault="007E15E5" w:rsidP="004F6693">
            <w:pPr>
              <w:pStyle w:val="TableBodyText"/>
            </w:pPr>
            <w:r w:rsidRPr="1EFBF1D2">
              <w:rPr>
                <w:rFonts w:eastAsia="Calibri"/>
              </w:rPr>
              <w:t>Recommendation 15</w:t>
            </w:r>
          </w:p>
          <w:p w14:paraId="428E2809" w14:textId="77777777" w:rsidR="007E15E5" w:rsidRDefault="007E15E5" w:rsidP="004F6693">
            <w:pPr>
              <w:pStyle w:val="TableBodyText"/>
            </w:pPr>
            <w:r w:rsidRPr="1EFBF1D2">
              <w:rPr>
                <w:rFonts w:eastAsia="Calibri"/>
              </w:rPr>
              <w:t>IBAC and the Ombudsman recommend that section 17 of the Public Interest Disclosures Act 2012 be reviewed to establish an alternative course for a person who has reasonable grounds for not wishing to lodge a complaint with a presiding officer.</w:t>
            </w:r>
          </w:p>
        </w:tc>
      </w:tr>
      <w:tr w:rsidR="007E15E5" w14:paraId="44346A38"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1616A82F" w14:textId="0A55A60E" w:rsidR="007E15E5" w:rsidRDefault="007E15E5" w:rsidP="004F6693">
            <w:pPr>
              <w:pStyle w:val="TableBodyText"/>
            </w:pPr>
            <w:r w:rsidRPr="1EFBF1D2">
              <w:rPr>
                <w:rFonts w:eastAsia="Calibri"/>
              </w:rPr>
              <w:t xml:space="preserve">Special Report – Operation </w:t>
            </w:r>
            <w:r w:rsidR="00EE0623" w:rsidRPr="1EFBF1D2">
              <w:rPr>
                <w:rFonts w:eastAsia="Calibri"/>
              </w:rPr>
              <w:t>W</w:t>
            </w:r>
            <w:r w:rsidR="00EE0623">
              <w:rPr>
                <w:rFonts w:eastAsia="Calibri"/>
              </w:rPr>
              <w:t>atts</w:t>
            </w:r>
          </w:p>
        </w:tc>
        <w:tc>
          <w:tcPr>
            <w:tcW w:w="6616" w:type="dxa"/>
            <w:tcBorders>
              <w:top w:val="single" w:sz="8" w:space="0" w:color="auto"/>
              <w:left w:val="nil"/>
              <w:bottom w:val="single" w:sz="8" w:space="0" w:color="auto"/>
              <w:right w:val="nil"/>
            </w:tcBorders>
            <w:tcMar>
              <w:left w:w="108" w:type="dxa"/>
              <w:right w:w="108" w:type="dxa"/>
            </w:tcMar>
          </w:tcPr>
          <w:p w14:paraId="7E3EE1E5" w14:textId="77777777" w:rsidR="007E15E5" w:rsidRDefault="007E15E5" w:rsidP="004F6693">
            <w:pPr>
              <w:pStyle w:val="TableBodyText"/>
            </w:pPr>
            <w:r w:rsidRPr="1EFBF1D2">
              <w:rPr>
                <w:rFonts w:eastAsia="Calibri"/>
              </w:rPr>
              <w:t>Recommendation 18</w:t>
            </w:r>
          </w:p>
          <w:p w14:paraId="4D6D11B1" w14:textId="77777777" w:rsidR="007E15E5" w:rsidRDefault="007E15E5" w:rsidP="004F6693">
            <w:pPr>
              <w:pStyle w:val="TableBodyText"/>
            </w:pPr>
            <w:r w:rsidRPr="1EFBF1D2">
              <w:rPr>
                <w:rFonts w:eastAsia="Calibri"/>
              </w:rPr>
              <w:t>IBAC and the Ombudsman recommend that:</w:t>
            </w:r>
          </w:p>
          <w:p w14:paraId="6C4C84BF" w14:textId="12D02C79" w:rsidR="007E15E5" w:rsidRPr="00EE0623" w:rsidRDefault="007E15E5" w:rsidP="00A07B34">
            <w:pPr>
              <w:pStyle w:val="TableListNumber"/>
              <w:numPr>
                <w:ilvl w:val="0"/>
                <w:numId w:val="59"/>
              </w:numPr>
              <w:rPr>
                <w:rFonts w:eastAsia="Calibri"/>
              </w:rPr>
            </w:pPr>
            <w:r w:rsidRPr="00EE0623">
              <w:rPr>
                <w:rFonts w:eastAsia="Calibri"/>
              </w:rPr>
              <w:t>an offence be created that provides that a minister who directs or allows a person to undertake party-specific activities while that person is employed to assist the minister in discharging their public duties is guilty of an offence</w:t>
            </w:r>
          </w:p>
          <w:p w14:paraId="4E8D7E3C" w14:textId="5746D913" w:rsidR="007E15E5" w:rsidRDefault="007E15E5" w:rsidP="00A07B34">
            <w:pPr>
              <w:pStyle w:val="TableListNumber"/>
              <w:rPr>
                <w:rFonts w:eastAsia="Calibri"/>
              </w:rPr>
            </w:pPr>
            <w:r w:rsidRPr="1EFBF1D2">
              <w:rPr>
                <w:rFonts w:eastAsia="Calibri"/>
              </w:rPr>
              <w:t>the government, in formulating the offence and the penalty, should take account of:</w:t>
            </w:r>
          </w:p>
          <w:p w14:paraId="25309E89" w14:textId="540293CE" w:rsidR="007E15E5" w:rsidRDefault="007E15E5" w:rsidP="00A07B34">
            <w:pPr>
              <w:pStyle w:val="TableListNumber2"/>
              <w:rPr>
                <w:rFonts w:eastAsia="Calibri"/>
              </w:rPr>
            </w:pPr>
            <w:r w:rsidRPr="1EFBF1D2">
              <w:rPr>
                <w:rFonts w:eastAsia="Calibri"/>
              </w:rPr>
              <w:t>the degree of a minister’s intent or recklessness in directing or allowing the employee to undertake such activities</w:t>
            </w:r>
          </w:p>
          <w:p w14:paraId="553EC655" w14:textId="4D8DD3F2" w:rsidR="007E15E5" w:rsidRDefault="007E15E5" w:rsidP="00A07B34">
            <w:pPr>
              <w:pStyle w:val="TableListNumber2"/>
              <w:rPr>
                <w:rFonts w:eastAsia="Calibri"/>
              </w:rPr>
            </w:pPr>
            <w:r w:rsidRPr="1EFBF1D2">
              <w:rPr>
                <w:rFonts w:eastAsia="Calibri"/>
              </w:rPr>
              <w:t xml:space="preserve">activities where it is difficult to separate the party-political aspect of the work from the normal duties of a ministerial staff member’s role, such as briefing other members of </w:t>
            </w:r>
            <w:r w:rsidR="00BC4049">
              <w:rPr>
                <w:rFonts w:eastAsia="Calibri"/>
              </w:rPr>
              <w:t>Parliament</w:t>
            </w:r>
            <w:r w:rsidRPr="1EFBF1D2">
              <w:rPr>
                <w:rFonts w:eastAsia="Calibri"/>
              </w:rPr>
              <w:t xml:space="preserve"> and party members on matters relevant to the minister’s portfolio</w:t>
            </w:r>
          </w:p>
          <w:p w14:paraId="644B9F8A" w14:textId="0112FF74" w:rsidR="007E15E5" w:rsidRDefault="007E15E5" w:rsidP="00A07B34">
            <w:pPr>
              <w:pStyle w:val="TableListNumber2"/>
              <w:rPr>
                <w:rFonts w:eastAsia="Calibri"/>
              </w:rPr>
            </w:pPr>
            <w:r w:rsidRPr="1EFBF1D2">
              <w:rPr>
                <w:rFonts w:eastAsia="Calibri"/>
              </w:rPr>
              <w:t>unavoidable and reasonable communication with a party’s head office or other organisational unit on minor or incidental matters.</w:t>
            </w:r>
          </w:p>
        </w:tc>
      </w:tr>
      <w:tr w:rsidR="007E15E5" w14:paraId="5CA5C121"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29DBAE34" w14:textId="77777777" w:rsidR="007E15E5" w:rsidRDefault="007E15E5" w:rsidP="004F6693">
            <w:pPr>
              <w:pStyle w:val="TableBodyText"/>
            </w:pPr>
            <w:r w:rsidRPr="1EFBF1D2">
              <w:rPr>
                <w:rFonts w:eastAsia="Calibri"/>
              </w:rPr>
              <w:t>Special Report – Corruption Risks Associated with Donations and Lobbying</w:t>
            </w:r>
          </w:p>
        </w:tc>
        <w:tc>
          <w:tcPr>
            <w:tcW w:w="6616" w:type="dxa"/>
            <w:tcBorders>
              <w:top w:val="single" w:sz="8" w:space="0" w:color="auto"/>
              <w:left w:val="nil"/>
              <w:bottom w:val="single" w:sz="8" w:space="0" w:color="auto"/>
              <w:right w:val="nil"/>
            </w:tcBorders>
            <w:tcMar>
              <w:left w:w="108" w:type="dxa"/>
              <w:right w:w="108" w:type="dxa"/>
            </w:tcMar>
          </w:tcPr>
          <w:p w14:paraId="6BB6BBC8" w14:textId="77777777" w:rsidR="007E15E5" w:rsidRDefault="007E15E5" w:rsidP="004F6693">
            <w:pPr>
              <w:pStyle w:val="TableBodyText"/>
            </w:pPr>
            <w:r w:rsidRPr="1EFBF1D2">
              <w:rPr>
                <w:rFonts w:eastAsia="Calibri"/>
              </w:rPr>
              <w:t>Recommendation 1</w:t>
            </w:r>
          </w:p>
          <w:p w14:paraId="5C4EDF04" w14:textId="77777777" w:rsidR="007E15E5" w:rsidRDefault="007E15E5" w:rsidP="004F6693">
            <w:pPr>
              <w:pStyle w:val="TableBodyText"/>
            </w:pPr>
            <w:r w:rsidRPr="1EFBF1D2">
              <w:rPr>
                <w:rFonts w:eastAsia="Calibri"/>
              </w:rPr>
              <w:t>IBAC recommends that the government review the existing regulatory regime for political donations to improve transparency and accountability at both the state and local levels of government through legislative reforms that:</w:t>
            </w:r>
          </w:p>
          <w:p w14:paraId="58CE83EE" w14:textId="77777777" w:rsidR="007E15E5" w:rsidRPr="00EE0623" w:rsidRDefault="007E15E5" w:rsidP="00A07B34">
            <w:pPr>
              <w:pStyle w:val="TableListNumber"/>
              <w:numPr>
                <w:ilvl w:val="0"/>
                <w:numId w:val="60"/>
              </w:numPr>
              <w:rPr>
                <w:rFonts w:eastAsia="Calibri"/>
              </w:rPr>
            </w:pPr>
            <w:r w:rsidRPr="00EE0623">
              <w:rPr>
                <w:rFonts w:eastAsia="Calibri"/>
              </w:rPr>
              <w:t>a. promote consistent donation regulations at the local and state levels of government so that:</w:t>
            </w:r>
          </w:p>
          <w:p w14:paraId="05A81562" w14:textId="50DEC2F5" w:rsidR="007E15E5" w:rsidRDefault="007E15E5" w:rsidP="00A07B34">
            <w:pPr>
              <w:pStyle w:val="TableListNumber2"/>
              <w:rPr>
                <w:rFonts w:eastAsia="Calibri"/>
              </w:rPr>
            </w:pPr>
            <w:r w:rsidRPr="1EFBF1D2">
              <w:rPr>
                <w:rFonts w:eastAsia="Calibri"/>
              </w:rPr>
              <w:t>the specified donation declaration threshold is only indexed once at the beginning of each state and local election cycle</w:t>
            </w:r>
          </w:p>
          <w:p w14:paraId="1C4914DD" w14:textId="0CEA1C39" w:rsidR="007E15E5" w:rsidRDefault="007E15E5" w:rsidP="00A07B34">
            <w:pPr>
              <w:pStyle w:val="TableListNumber2"/>
              <w:rPr>
                <w:rFonts w:eastAsia="Calibri"/>
              </w:rPr>
            </w:pPr>
            <w:r w:rsidRPr="1EFBF1D2">
              <w:rPr>
                <w:rFonts w:eastAsia="Calibri"/>
              </w:rPr>
              <w:t>donors and candidates at the local government level are required to declare donations over $500 to a central authority, namely the Victorian Electoral Commission</w:t>
            </w:r>
          </w:p>
          <w:p w14:paraId="3AB227F8" w14:textId="79F3C24B" w:rsidR="007E15E5" w:rsidRDefault="007E15E5" w:rsidP="00A07B34">
            <w:pPr>
              <w:pStyle w:val="TableListNumber2"/>
              <w:rPr>
                <w:rFonts w:eastAsia="Calibri"/>
              </w:rPr>
            </w:pPr>
            <w:r w:rsidRPr="1EFBF1D2">
              <w:rPr>
                <w:rFonts w:eastAsia="Calibri"/>
              </w:rPr>
              <w:t>the $4000 general cap applies to donations made by a donor at the local government level</w:t>
            </w:r>
          </w:p>
          <w:p w14:paraId="5FB42C15" w14:textId="17719EBA" w:rsidR="007E15E5" w:rsidRDefault="007E15E5" w:rsidP="00A07B34">
            <w:pPr>
              <w:pStyle w:val="TableListNumber"/>
              <w:rPr>
                <w:rFonts w:eastAsia="Calibri"/>
              </w:rPr>
            </w:pPr>
            <w:r w:rsidRPr="1EFBF1D2">
              <w:rPr>
                <w:rFonts w:eastAsia="Calibri"/>
              </w:rPr>
              <w:t>deter donors from attempting to split donations, and detect schemes designed to circumvent the general cap at the state and local level, using measures that include, but are not limited to, requiring that:</w:t>
            </w:r>
          </w:p>
          <w:p w14:paraId="1E0C1D6A" w14:textId="7CE2F333" w:rsidR="007E15E5" w:rsidRDefault="007E15E5" w:rsidP="00A07B34">
            <w:pPr>
              <w:pStyle w:val="TableListNumber2"/>
            </w:pPr>
            <w:r w:rsidRPr="1EFBF1D2">
              <w:rPr>
                <w:rFonts w:eastAsia="Calibri"/>
              </w:rPr>
              <w:t>donor entities declare:</w:t>
            </w:r>
          </w:p>
          <w:p w14:paraId="51D121AE" w14:textId="705642CF" w:rsidR="007E15E5" w:rsidRDefault="007E15E5" w:rsidP="00A07B34">
            <w:pPr>
              <w:pStyle w:val="TableListBullet2"/>
              <w:numPr>
                <w:ilvl w:val="2"/>
                <w:numId w:val="12"/>
              </w:numPr>
            </w:pPr>
            <w:r w:rsidRPr="1EFBF1D2">
              <w:rPr>
                <w:rFonts w:eastAsia="Calibri"/>
              </w:rPr>
              <w:t>the entity’s Australian Business Number</w:t>
            </w:r>
          </w:p>
          <w:p w14:paraId="5F05F690" w14:textId="6867AFD2" w:rsidR="007E15E5" w:rsidRDefault="007E15E5" w:rsidP="00A07B34">
            <w:pPr>
              <w:pStyle w:val="TableListBullet2"/>
              <w:numPr>
                <w:ilvl w:val="2"/>
                <w:numId w:val="12"/>
              </w:numPr>
            </w:pPr>
            <w:r w:rsidRPr="1EFBF1D2">
              <w:rPr>
                <w:rFonts w:eastAsia="Calibri"/>
              </w:rPr>
              <w:t>the entity’s registered address</w:t>
            </w:r>
          </w:p>
          <w:p w14:paraId="02D0D0CD" w14:textId="6CD10904" w:rsidR="007E15E5" w:rsidRDefault="007E15E5" w:rsidP="00A07B34">
            <w:pPr>
              <w:pStyle w:val="TableListBullet2"/>
              <w:numPr>
                <w:ilvl w:val="2"/>
                <w:numId w:val="12"/>
              </w:numPr>
            </w:pPr>
            <w:r w:rsidRPr="1EFBF1D2">
              <w:rPr>
                <w:rFonts w:eastAsia="Calibri"/>
              </w:rPr>
              <w:t>the names and addresses of executive committee members</w:t>
            </w:r>
          </w:p>
          <w:p w14:paraId="1FE6FDD3" w14:textId="2A53D6B7" w:rsidR="007E15E5" w:rsidRDefault="007E15E5" w:rsidP="00A07B34">
            <w:pPr>
              <w:pStyle w:val="TableListBullet2"/>
              <w:numPr>
                <w:ilvl w:val="2"/>
                <w:numId w:val="12"/>
              </w:numPr>
            </w:pPr>
            <w:r w:rsidRPr="1EFBF1D2">
              <w:rPr>
                <w:rFonts w:eastAsia="Calibri"/>
              </w:rPr>
              <w:t>whether any donations have been made by other associated or related entities</w:t>
            </w:r>
          </w:p>
          <w:p w14:paraId="7BA447B7" w14:textId="6D60F27C" w:rsidR="007E15E5" w:rsidRDefault="007E15E5" w:rsidP="00A07B34">
            <w:pPr>
              <w:pStyle w:val="TableListNumber2"/>
              <w:rPr>
                <w:rFonts w:eastAsia="Calibri"/>
              </w:rPr>
            </w:pPr>
            <w:r w:rsidRPr="1EFBF1D2">
              <w:rPr>
                <w:rFonts w:eastAsia="Calibri"/>
              </w:rPr>
              <w:t>individual donors declare if the funds or resources being donated have been provided to the donor by a third-party for the purpose of making a donation (with reference to the Queensland provisions)</w:t>
            </w:r>
          </w:p>
          <w:p w14:paraId="686033EF" w14:textId="3B436E3E" w:rsidR="007E15E5" w:rsidRDefault="007E15E5" w:rsidP="00A07B34">
            <w:pPr>
              <w:pStyle w:val="TableListNumber"/>
              <w:rPr>
                <w:rFonts w:eastAsia="Calibri"/>
              </w:rPr>
            </w:pPr>
            <w:r w:rsidRPr="1EFBF1D2">
              <w:rPr>
                <w:rFonts w:eastAsia="Calibri"/>
              </w:rPr>
              <w:t>ensure that campaign donations and expenditure are reported in a manner that provides sufficient information to monitor compliance with donation caps at the state and local level, including, but not limited to, requiring that:</w:t>
            </w:r>
          </w:p>
          <w:p w14:paraId="4DB54CC9" w14:textId="24E90948" w:rsidR="007E15E5" w:rsidRDefault="007E15E5" w:rsidP="00A07B34">
            <w:pPr>
              <w:pStyle w:val="TableListNumber2"/>
              <w:rPr>
                <w:rFonts w:eastAsia="Calibri"/>
              </w:rPr>
            </w:pPr>
            <w:r w:rsidRPr="1EFBF1D2">
              <w:rPr>
                <w:rFonts w:eastAsia="Calibri"/>
              </w:rPr>
              <w:t>all candidates register details of their dedicated campaign bank accounts with the Victorian Electoral Commission, and/or submit relevant statements for those accounts to the Victorian Electoral Commission as part of their annual returns (with reference to the Queensland provisions)</w:t>
            </w:r>
          </w:p>
          <w:p w14:paraId="3F4FA99D" w14:textId="1B15D0F2" w:rsidR="007E15E5" w:rsidRDefault="007E15E5" w:rsidP="00A07B34">
            <w:pPr>
              <w:pStyle w:val="TableListNumber2"/>
              <w:rPr>
                <w:rFonts w:eastAsia="Calibri"/>
              </w:rPr>
            </w:pPr>
            <w:r w:rsidRPr="1EFBF1D2">
              <w:rPr>
                <w:rFonts w:eastAsia="Calibri"/>
              </w:rPr>
              <w:t>all candidates submit a statement of campaign expenditure after an election, to be accompanied by an audit certificate, consistent with the expenditure declaration requirements for parties</w:t>
            </w:r>
          </w:p>
          <w:p w14:paraId="6E2AC9C5" w14:textId="2EFD99D3" w:rsidR="007E15E5" w:rsidRDefault="007E15E5" w:rsidP="00A07B34">
            <w:pPr>
              <w:pStyle w:val="TableListNumber"/>
              <w:rPr>
                <w:rFonts w:eastAsia="Calibri"/>
              </w:rPr>
            </w:pPr>
            <w:r w:rsidRPr="1EFBF1D2">
              <w:rPr>
                <w:rFonts w:eastAsia="Calibri"/>
              </w:rPr>
              <w:t>deter donors and candidates from attempting to use third-party campaigners to circumvent the declaration requirements and donation cap at the state and local level, using measures that include, but are not limited to:</w:t>
            </w:r>
          </w:p>
          <w:p w14:paraId="7A8B6D52" w14:textId="5202F92F" w:rsidR="007E15E5" w:rsidRDefault="007E15E5" w:rsidP="00A07B34">
            <w:pPr>
              <w:pStyle w:val="TableListNumber2"/>
              <w:rPr>
                <w:rFonts w:eastAsia="Calibri"/>
              </w:rPr>
            </w:pPr>
            <w:r w:rsidRPr="1EFBF1D2">
              <w:rPr>
                <w:rFonts w:eastAsia="Calibri"/>
              </w:rPr>
              <w:t>requiring the registration of third-party campaigners</w:t>
            </w:r>
          </w:p>
          <w:p w14:paraId="51EDCC36" w14:textId="571E6F7E" w:rsidR="007E15E5" w:rsidRDefault="007E15E5" w:rsidP="00A07B34">
            <w:pPr>
              <w:pStyle w:val="TableListNumber2"/>
              <w:rPr>
                <w:rFonts w:eastAsia="Calibri"/>
              </w:rPr>
            </w:pPr>
            <w:r w:rsidRPr="1EFBF1D2">
              <w:rPr>
                <w:rFonts w:eastAsia="Calibri"/>
              </w:rPr>
              <w:t>requiring publication of the register of third-party campaigners</w:t>
            </w:r>
          </w:p>
          <w:p w14:paraId="2AC02356" w14:textId="45A8126F" w:rsidR="007E15E5" w:rsidRDefault="007E15E5" w:rsidP="00A07B34">
            <w:pPr>
              <w:pStyle w:val="TableListNumber2"/>
              <w:rPr>
                <w:rFonts w:eastAsia="Calibri"/>
              </w:rPr>
            </w:pPr>
            <w:r w:rsidRPr="1EFBF1D2">
              <w:rPr>
                <w:rFonts w:eastAsia="Calibri"/>
              </w:rPr>
              <w:t>limiting the number of third-party campaigners to whom a person can donate to three, to mitigate the risk of the general donation cap being circumvented (with reference to the NSW approach)</w:t>
            </w:r>
          </w:p>
          <w:p w14:paraId="28186D6A" w14:textId="5BD8081C" w:rsidR="007E15E5" w:rsidRDefault="007E15E5" w:rsidP="00A07B34">
            <w:pPr>
              <w:pStyle w:val="TableListNumber"/>
              <w:rPr>
                <w:rFonts w:eastAsia="Calibri"/>
              </w:rPr>
            </w:pPr>
            <w:r w:rsidRPr="1EFBF1D2">
              <w:rPr>
                <w:rFonts w:eastAsia="Calibri"/>
              </w:rPr>
              <w:t>provide a disclosure scheme that more closely resembles ‘real-time’ reporting for state and local donors and candidates (with reference to the Queensland approach)</w:t>
            </w:r>
          </w:p>
          <w:p w14:paraId="4C2A46CF" w14:textId="0D7B2703" w:rsidR="007E15E5" w:rsidRDefault="007E15E5" w:rsidP="00A07B34">
            <w:pPr>
              <w:pStyle w:val="TableListNumber"/>
              <w:rPr>
                <w:rFonts w:eastAsia="Calibri"/>
              </w:rPr>
            </w:pPr>
            <w:r w:rsidRPr="1EFBF1D2">
              <w:rPr>
                <w:rFonts w:eastAsia="Calibri"/>
              </w:rPr>
              <w:t>ensure appropriate measures are in place to facilitate effective monitoring at the state and local level, including, but not limited to, requiring that:</w:t>
            </w:r>
          </w:p>
          <w:p w14:paraId="0CEB6219" w14:textId="48944FB1" w:rsidR="007E15E5" w:rsidRDefault="007E15E5" w:rsidP="00A07B34">
            <w:pPr>
              <w:pStyle w:val="TableListNumber2"/>
              <w:rPr>
                <w:rFonts w:eastAsia="Calibri"/>
              </w:rPr>
            </w:pPr>
            <w:r w:rsidRPr="1EFBF1D2">
              <w:rPr>
                <w:rFonts w:eastAsia="Calibri"/>
              </w:rPr>
              <w:t>local government candidates make a declaration within an appropriate period:</w:t>
            </w:r>
          </w:p>
          <w:p w14:paraId="3D1F05F7" w14:textId="7CC21C94" w:rsidR="007E15E5" w:rsidRDefault="007E15E5" w:rsidP="00A07B34">
            <w:pPr>
              <w:pStyle w:val="TableListNumber2"/>
              <w:numPr>
                <w:ilvl w:val="2"/>
                <w:numId w:val="13"/>
              </w:numPr>
            </w:pPr>
            <w:r w:rsidRPr="1EFBF1D2">
              <w:rPr>
                <w:rFonts w:eastAsia="Calibri"/>
              </w:rPr>
              <w:t>after nomination in relation to donations received prior to nomination</w:t>
            </w:r>
          </w:p>
          <w:p w14:paraId="6A34A700" w14:textId="3DCF4D75" w:rsidR="007E15E5" w:rsidRDefault="007E15E5" w:rsidP="00A07B34">
            <w:pPr>
              <w:pStyle w:val="TableListNumber2"/>
              <w:numPr>
                <w:ilvl w:val="2"/>
                <w:numId w:val="13"/>
              </w:numPr>
            </w:pPr>
            <w:r w:rsidRPr="1EFBF1D2">
              <w:rPr>
                <w:rFonts w:eastAsia="Calibri"/>
              </w:rPr>
              <w:t>after an election if no donations are received by a candidate</w:t>
            </w:r>
          </w:p>
          <w:p w14:paraId="00F795C7" w14:textId="54DB465D" w:rsidR="007E15E5" w:rsidRDefault="007E15E5" w:rsidP="00A07B34">
            <w:pPr>
              <w:pStyle w:val="TableListNumber2"/>
              <w:rPr>
                <w:rFonts w:eastAsia="Calibri"/>
              </w:rPr>
            </w:pPr>
            <w:r w:rsidRPr="1EFBF1D2">
              <w:rPr>
                <w:rFonts w:eastAsia="Calibri"/>
              </w:rPr>
              <w:t>donors to local government candidates make a declaration that indicates:</w:t>
            </w:r>
          </w:p>
          <w:p w14:paraId="3539A08D" w14:textId="7B2734D9" w:rsidR="007E15E5" w:rsidRDefault="007E15E5" w:rsidP="00A07B34">
            <w:pPr>
              <w:pStyle w:val="TableListNumber2"/>
              <w:numPr>
                <w:ilvl w:val="2"/>
                <w:numId w:val="13"/>
              </w:numPr>
            </w:pPr>
            <w:r w:rsidRPr="1EFBF1D2">
              <w:rPr>
                <w:rFonts w:eastAsia="Calibri"/>
              </w:rPr>
              <w:t>the industry they work in if the donor is an individual, or the type of business the corporation carries on if the donor is a company</w:t>
            </w:r>
          </w:p>
          <w:p w14:paraId="7ED10FF8" w14:textId="2A236B95" w:rsidR="007E15E5" w:rsidRDefault="007E15E5" w:rsidP="00A07B34">
            <w:pPr>
              <w:pStyle w:val="TableListNumber2"/>
              <w:numPr>
                <w:ilvl w:val="2"/>
                <w:numId w:val="13"/>
              </w:numPr>
            </w:pPr>
            <w:r w:rsidRPr="1EFBF1D2">
              <w:rPr>
                <w:rFonts w:eastAsia="Calibri"/>
              </w:rPr>
              <w:t>any interest they have in a local government matter that is greater than that of other persons in the local government area, as well as the nature of their interest (with reference to the Queensland approach)</w:t>
            </w:r>
          </w:p>
          <w:p w14:paraId="355EA521" w14:textId="2BE30B9F" w:rsidR="007E15E5" w:rsidRDefault="007E15E5" w:rsidP="00A07B34">
            <w:pPr>
              <w:pStyle w:val="TableListNumber"/>
              <w:rPr>
                <w:rFonts w:eastAsia="Calibri"/>
              </w:rPr>
            </w:pPr>
            <w:r w:rsidRPr="1EFBF1D2">
              <w:rPr>
                <w:rFonts w:eastAsia="Calibri"/>
              </w:rPr>
              <w:t>deter donors and candidates from attempting to use ‘fundraising’ events to circumvent the declaration requirements and donation cap at the state and local level, using measures that include, but are not limited to:</w:t>
            </w:r>
          </w:p>
          <w:p w14:paraId="0AF1A0CF" w14:textId="40419A18" w:rsidR="007E15E5" w:rsidRDefault="007E15E5" w:rsidP="00A07B34">
            <w:pPr>
              <w:pStyle w:val="TableListNumber2"/>
              <w:rPr>
                <w:rFonts w:eastAsia="Calibri"/>
              </w:rPr>
            </w:pPr>
            <w:r w:rsidRPr="1EFBF1D2">
              <w:rPr>
                <w:rFonts w:eastAsia="Calibri"/>
              </w:rPr>
              <w:t>capping the amount that can be charged to enter a relevant event</w:t>
            </w:r>
          </w:p>
          <w:p w14:paraId="72B2D30D" w14:textId="2FC16190" w:rsidR="007E15E5" w:rsidRDefault="007E15E5" w:rsidP="00A07B34">
            <w:pPr>
              <w:pStyle w:val="TableListNumber2"/>
              <w:rPr>
                <w:rFonts w:eastAsia="Calibri"/>
              </w:rPr>
            </w:pPr>
            <w:r w:rsidRPr="1EFBF1D2">
              <w:rPr>
                <w:rFonts w:eastAsia="Calibri"/>
              </w:rPr>
              <w:t>expressly stating that the entry fee to attend a fundraising event constitutes a political donation (with reference to the NSW approach)</w:t>
            </w:r>
          </w:p>
          <w:p w14:paraId="5157A038" w14:textId="28C898CC" w:rsidR="007E15E5" w:rsidRDefault="007E15E5" w:rsidP="00A07B34">
            <w:pPr>
              <w:pStyle w:val="TableListNumber2"/>
              <w:rPr>
                <w:rFonts w:eastAsia="Calibri"/>
              </w:rPr>
            </w:pPr>
            <w:r w:rsidRPr="1EFBF1D2">
              <w:rPr>
                <w:rFonts w:eastAsia="Calibri"/>
              </w:rPr>
              <w:t>requiring that registered parties:</w:t>
            </w:r>
          </w:p>
          <w:p w14:paraId="29AA5FFC" w14:textId="329A8887" w:rsidR="007E15E5" w:rsidRDefault="007E15E5" w:rsidP="00A07B34">
            <w:pPr>
              <w:pStyle w:val="TableListNumber2"/>
              <w:numPr>
                <w:ilvl w:val="2"/>
                <w:numId w:val="13"/>
              </w:numPr>
            </w:pPr>
            <w:r w:rsidRPr="1EFBF1D2">
              <w:rPr>
                <w:rFonts w:eastAsia="Calibri"/>
              </w:rPr>
              <w:t>publish information about the fundraising event in real time, including details of:</w:t>
            </w:r>
          </w:p>
          <w:p w14:paraId="0830FFA5" w14:textId="6D746248" w:rsidR="007E15E5" w:rsidRDefault="007E15E5" w:rsidP="00A07B34">
            <w:pPr>
              <w:pStyle w:val="TableListNumber2"/>
              <w:numPr>
                <w:ilvl w:val="3"/>
                <w:numId w:val="13"/>
              </w:numPr>
            </w:pPr>
            <w:r w:rsidRPr="1EFBF1D2">
              <w:rPr>
                <w:rFonts w:eastAsia="Calibri"/>
              </w:rPr>
              <w:t>the candidates and/or party for whom funds are being raised</w:t>
            </w:r>
          </w:p>
          <w:p w14:paraId="5ACC2027" w14:textId="5496A3D7" w:rsidR="007E15E5" w:rsidRDefault="007E15E5" w:rsidP="00A07B34">
            <w:pPr>
              <w:pStyle w:val="TableListNumber2"/>
              <w:numPr>
                <w:ilvl w:val="3"/>
                <w:numId w:val="13"/>
              </w:numPr>
            </w:pPr>
            <w:r w:rsidRPr="1EFBF1D2">
              <w:rPr>
                <w:rFonts w:eastAsia="Calibri"/>
              </w:rPr>
              <w:t xml:space="preserve">ministers, members of </w:t>
            </w:r>
            <w:r w:rsidR="00BC4049">
              <w:rPr>
                <w:rFonts w:eastAsia="Calibri"/>
              </w:rPr>
              <w:t>Parliament</w:t>
            </w:r>
            <w:r w:rsidRPr="1EFBF1D2">
              <w:rPr>
                <w:rFonts w:eastAsia="Calibri"/>
              </w:rPr>
              <w:t xml:space="preserve"> or their staff who are promoted as attending the event</w:t>
            </w:r>
          </w:p>
          <w:p w14:paraId="63FA4F62" w14:textId="71769D35" w:rsidR="007E15E5" w:rsidRDefault="007E15E5" w:rsidP="00A07B34">
            <w:pPr>
              <w:pStyle w:val="TableListNumber2"/>
              <w:numPr>
                <w:ilvl w:val="3"/>
                <w:numId w:val="13"/>
              </w:numPr>
            </w:pPr>
            <w:r w:rsidRPr="1EFBF1D2">
              <w:rPr>
                <w:rFonts w:eastAsia="Calibri"/>
              </w:rPr>
              <w:t>funds raised as a result of the event</w:t>
            </w:r>
          </w:p>
          <w:p w14:paraId="14C44CEE" w14:textId="6E79E3E6" w:rsidR="007E15E5" w:rsidRDefault="007E15E5" w:rsidP="00A07B34">
            <w:pPr>
              <w:pStyle w:val="TableListNumber2"/>
              <w:numPr>
                <w:ilvl w:val="2"/>
                <w:numId w:val="13"/>
              </w:numPr>
            </w:pPr>
            <w:r w:rsidRPr="1EFBF1D2">
              <w:rPr>
                <w:rFonts w:eastAsia="Calibri"/>
              </w:rPr>
              <w:t>submit an audited return to the Victorian Electoral Commission for each event that includes details of:</w:t>
            </w:r>
          </w:p>
          <w:p w14:paraId="49C7F045" w14:textId="5528F340" w:rsidR="007E15E5" w:rsidRDefault="007E15E5" w:rsidP="00A07B34">
            <w:pPr>
              <w:pStyle w:val="TableListNumber2"/>
              <w:numPr>
                <w:ilvl w:val="3"/>
                <w:numId w:val="13"/>
              </w:numPr>
            </w:pPr>
            <w:r w:rsidRPr="1EFBF1D2">
              <w:rPr>
                <w:rFonts w:eastAsia="Calibri"/>
              </w:rPr>
              <w:t>expenses incurred in relation to the event</w:t>
            </w:r>
          </w:p>
          <w:p w14:paraId="16596E8C" w14:textId="1F08D277" w:rsidR="007E15E5" w:rsidRDefault="007E15E5" w:rsidP="00A07B34">
            <w:pPr>
              <w:pStyle w:val="TableListNumber2"/>
              <w:numPr>
                <w:ilvl w:val="3"/>
                <w:numId w:val="13"/>
              </w:numPr>
            </w:pPr>
            <w:r w:rsidRPr="1EFBF1D2">
              <w:rPr>
                <w:rFonts w:eastAsia="Calibri"/>
              </w:rPr>
              <w:t>items donated to raise funds though raffles and the like, their market value and who donated those items</w:t>
            </w:r>
          </w:p>
          <w:p w14:paraId="7FF29E6A" w14:textId="307EEE82" w:rsidR="007E15E5" w:rsidRDefault="007E15E5" w:rsidP="00A07B34">
            <w:pPr>
              <w:pStyle w:val="TableListNumber2"/>
              <w:numPr>
                <w:ilvl w:val="3"/>
                <w:numId w:val="13"/>
              </w:numPr>
            </w:pPr>
            <w:r w:rsidRPr="1EFBF1D2">
              <w:rPr>
                <w:rFonts w:eastAsia="Calibri"/>
              </w:rPr>
              <w:t>tickets purchased, including details of each individual who purchased a ticket and how many tickets were purchased</w:t>
            </w:r>
          </w:p>
          <w:p w14:paraId="19B43322" w14:textId="1090AB73" w:rsidR="007E15E5" w:rsidRDefault="007E15E5" w:rsidP="00A07B34">
            <w:pPr>
              <w:pStyle w:val="TableListNumber2"/>
              <w:numPr>
                <w:ilvl w:val="3"/>
                <w:numId w:val="13"/>
              </w:numPr>
            </w:pPr>
            <w:r w:rsidRPr="1EFBF1D2">
              <w:rPr>
                <w:rFonts w:eastAsia="Calibri"/>
              </w:rPr>
              <w:t>funds raised as a result of the event</w:t>
            </w:r>
          </w:p>
          <w:p w14:paraId="311A651C" w14:textId="190E136D" w:rsidR="007E15E5" w:rsidRDefault="007E15E5" w:rsidP="00A07B34">
            <w:pPr>
              <w:pStyle w:val="TableListNumber2"/>
              <w:rPr>
                <w:rFonts w:eastAsia="Calibri"/>
              </w:rPr>
            </w:pPr>
            <w:r w:rsidRPr="1EFBF1D2">
              <w:rPr>
                <w:rFonts w:eastAsia="Calibri"/>
              </w:rPr>
              <w:t>requiring that all payments and expenses relating to a fundraising event be transacted through a dedicated campaign account that has been registered with the Victorian Electoral Commission.</w:t>
            </w:r>
          </w:p>
        </w:tc>
      </w:tr>
      <w:tr w:rsidR="007E15E5" w14:paraId="229C84A3"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5DEF06A6" w14:textId="77777777" w:rsidR="007E15E5" w:rsidRDefault="007E15E5" w:rsidP="004F6693">
            <w:pPr>
              <w:pStyle w:val="TableBodyText"/>
            </w:pPr>
            <w:r w:rsidRPr="1EFBF1D2">
              <w:rPr>
                <w:rFonts w:eastAsia="Calibri"/>
              </w:rPr>
              <w:t>Special Report – Corruption Risks Associated with Donations and Lobbying</w:t>
            </w:r>
          </w:p>
        </w:tc>
        <w:tc>
          <w:tcPr>
            <w:tcW w:w="6616" w:type="dxa"/>
            <w:tcBorders>
              <w:top w:val="single" w:sz="8" w:space="0" w:color="auto"/>
              <w:left w:val="nil"/>
              <w:bottom w:val="single" w:sz="8" w:space="0" w:color="auto"/>
              <w:right w:val="nil"/>
            </w:tcBorders>
            <w:tcMar>
              <w:left w:w="108" w:type="dxa"/>
              <w:right w:w="108" w:type="dxa"/>
            </w:tcMar>
          </w:tcPr>
          <w:p w14:paraId="35DEEB37" w14:textId="77777777" w:rsidR="007E15E5" w:rsidRDefault="007E15E5" w:rsidP="004F6693">
            <w:pPr>
              <w:pStyle w:val="TableBodyText"/>
            </w:pPr>
            <w:r w:rsidRPr="1EFBF1D2">
              <w:rPr>
                <w:rFonts w:eastAsia="Calibri"/>
              </w:rPr>
              <w:t>Recommendation 3</w:t>
            </w:r>
          </w:p>
          <w:p w14:paraId="43F27FD0" w14:textId="77777777" w:rsidR="007E15E5" w:rsidRDefault="007E15E5" w:rsidP="004F6693">
            <w:pPr>
              <w:pStyle w:val="TableBodyText"/>
            </w:pPr>
            <w:r w:rsidRPr="1EFBF1D2">
              <w:rPr>
                <w:rFonts w:eastAsia="Calibri"/>
              </w:rPr>
              <w:t>IBAC recommends that the government introduce legislation to regulate lobbying at both the state and local levels of government in a manner that:</w:t>
            </w:r>
          </w:p>
          <w:p w14:paraId="6EA1B00E" w14:textId="4C0BFC5C" w:rsidR="005131D4" w:rsidRPr="009E04DD" w:rsidRDefault="007E15E5" w:rsidP="00A07B34">
            <w:pPr>
              <w:pStyle w:val="TableListNumber"/>
              <w:numPr>
                <w:ilvl w:val="0"/>
                <w:numId w:val="62"/>
              </w:numPr>
              <w:rPr>
                <w:rFonts w:eastAsia="Calibri"/>
              </w:rPr>
            </w:pPr>
            <w:r w:rsidRPr="009E04DD">
              <w:rPr>
                <w:rFonts w:eastAsia="Calibri"/>
              </w:rPr>
              <w:t>increases the transparency and accountability of lobbying activities in a way that includes, but is not limited to, the issues set out below</w:t>
            </w:r>
          </w:p>
          <w:p w14:paraId="37039FB1" w14:textId="0684253B" w:rsidR="009E04DD" w:rsidRPr="00A07B34" w:rsidRDefault="007E15E5" w:rsidP="009E04DD">
            <w:pPr>
              <w:pStyle w:val="TableListNumber"/>
            </w:pPr>
            <w:r w:rsidRPr="009E04DD">
              <w:rPr>
                <w:rFonts w:eastAsia="Calibri"/>
              </w:rPr>
              <w:t>defines the following in legislation:</w:t>
            </w:r>
          </w:p>
          <w:p w14:paraId="1679ACF0" w14:textId="2CC0FCBE" w:rsidR="009E04DD" w:rsidRPr="00A07B34" w:rsidRDefault="007E15E5" w:rsidP="009E04DD">
            <w:pPr>
              <w:pStyle w:val="TableListNumber2"/>
            </w:pPr>
            <w:r w:rsidRPr="009E04DD">
              <w:rPr>
                <w:rFonts w:eastAsia="Calibri"/>
              </w:rPr>
              <w:t>‘lobbying activity’ in a way that captures any contact with government representatives (with reference to the Scottish approach) that is made in relation to:</w:t>
            </w:r>
          </w:p>
          <w:p w14:paraId="5BBF1652" w14:textId="36548464" w:rsidR="009E04DD" w:rsidRPr="00A07B34" w:rsidRDefault="007E15E5" w:rsidP="009E04DD">
            <w:pPr>
              <w:pStyle w:val="TableListNumber2"/>
              <w:numPr>
                <w:ilvl w:val="2"/>
                <w:numId w:val="13"/>
              </w:numPr>
            </w:pPr>
            <w:r w:rsidRPr="009E04DD">
              <w:rPr>
                <w:rFonts w:eastAsia="Calibri"/>
              </w:rPr>
              <w:t>government or parliamentary functions</w:t>
            </w:r>
          </w:p>
          <w:p w14:paraId="4EBC9F8C" w14:textId="2EB761B6" w:rsidR="009E04DD" w:rsidRPr="00A07B34" w:rsidRDefault="007E15E5" w:rsidP="009E04DD">
            <w:pPr>
              <w:pStyle w:val="TableListNumber2"/>
              <w:numPr>
                <w:ilvl w:val="2"/>
                <w:numId w:val="13"/>
              </w:numPr>
            </w:pPr>
            <w:r w:rsidRPr="009E04DD">
              <w:rPr>
                <w:rFonts w:eastAsia="Calibri"/>
              </w:rPr>
              <w:t>decision-making at the local government level</w:t>
            </w:r>
          </w:p>
          <w:p w14:paraId="6D13F716" w14:textId="5AC0AE27" w:rsidR="009E04DD" w:rsidRPr="00A07B34" w:rsidRDefault="007E15E5" w:rsidP="009E04DD">
            <w:pPr>
              <w:pStyle w:val="TableListNumber2"/>
            </w:pPr>
            <w:r w:rsidRPr="009E04DD">
              <w:rPr>
                <w:rFonts w:eastAsia="Calibri"/>
              </w:rPr>
              <w:t>‘lobbyist’ in a way that focuses on the activity being undertaken, not persons in the business of lobbying</w:t>
            </w:r>
          </w:p>
          <w:p w14:paraId="79241476" w14:textId="4F8721D3" w:rsidR="00BD414F" w:rsidRPr="00A07B34" w:rsidRDefault="007E15E5" w:rsidP="009E04DD">
            <w:pPr>
              <w:pStyle w:val="TableListNumber2"/>
            </w:pPr>
            <w:r w:rsidRPr="009E04DD">
              <w:rPr>
                <w:rFonts w:eastAsia="Calibri"/>
              </w:rPr>
              <w:t xml:space="preserve">‘government representative’ in a way that encompasses all public officers who may be subject to lobbying activity, including members of </w:t>
            </w:r>
            <w:r w:rsidR="00BC4049">
              <w:rPr>
                <w:rFonts w:eastAsia="Calibri"/>
              </w:rPr>
              <w:t>Parliament</w:t>
            </w:r>
            <w:r w:rsidRPr="009E04DD">
              <w:rPr>
                <w:rFonts w:eastAsia="Calibri"/>
              </w:rPr>
              <w:t>, electorate officers, councillors and council officers</w:t>
            </w:r>
          </w:p>
          <w:p w14:paraId="14504D80" w14:textId="75D30436" w:rsidR="00BD414F" w:rsidRPr="00A07B34" w:rsidRDefault="007E15E5" w:rsidP="00BD414F">
            <w:pPr>
              <w:pStyle w:val="TableListNumber"/>
            </w:pPr>
            <w:r w:rsidRPr="009E04DD">
              <w:rPr>
                <w:rFonts w:eastAsia="Calibri"/>
              </w:rPr>
              <w:t xml:space="preserve">ensures members of </w:t>
            </w:r>
            <w:r w:rsidR="00BC4049">
              <w:rPr>
                <w:rFonts w:eastAsia="Calibri"/>
              </w:rPr>
              <w:t>Parliament</w:t>
            </w:r>
            <w:r w:rsidRPr="009E04DD">
              <w:rPr>
                <w:rFonts w:eastAsia="Calibri"/>
              </w:rPr>
              <w:t xml:space="preserve"> who initiate meetings with a minister or their adviser:</w:t>
            </w:r>
          </w:p>
          <w:p w14:paraId="0B4CCA82" w14:textId="01101C6A" w:rsidR="00BD414F" w:rsidRPr="00A07B34" w:rsidRDefault="007E15E5" w:rsidP="00BD414F">
            <w:pPr>
              <w:pStyle w:val="TableListNumber2"/>
            </w:pPr>
            <w:r w:rsidRPr="009E04DD">
              <w:rPr>
                <w:rFonts w:eastAsia="Calibri"/>
              </w:rPr>
              <w:t>disclose to the responsible minister’s office:</w:t>
            </w:r>
          </w:p>
          <w:p w14:paraId="122A6514" w14:textId="25B3809C" w:rsidR="00BD414F" w:rsidRPr="00A07B34" w:rsidRDefault="007E15E5" w:rsidP="00BD414F">
            <w:pPr>
              <w:pStyle w:val="TableListNumber2"/>
              <w:numPr>
                <w:ilvl w:val="2"/>
                <w:numId w:val="61"/>
              </w:numPr>
            </w:pPr>
            <w:r w:rsidRPr="009E04DD">
              <w:rPr>
                <w:rFonts w:eastAsia="Calibri"/>
              </w:rPr>
              <w:t xml:space="preserve">whether the member of </w:t>
            </w:r>
            <w:r w:rsidR="00BC4049">
              <w:rPr>
                <w:rFonts w:eastAsia="Calibri"/>
              </w:rPr>
              <w:t>Parliament</w:t>
            </w:r>
            <w:r w:rsidRPr="009E04DD">
              <w:rPr>
                <w:rFonts w:eastAsia="Calibri"/>
              </w:rPr>
              <w:t xml:space="preserve"> has a private interest in the matter about which representations are being made (noting that a private interest in this context should be defined to include donations or other benefits provided by a person or entity who asked the member of </w:t>
            </w:r>
            <w:r w:rsidR="00BC4049">
              <w:rPr>
                <w:rFonts w:eastAsia="Calibri"/>
              </w:rPr>
              <w:t>Parliament</w:t>
            </w:r>
            <w:r w:rsidRPr="009E04DD">
              <w:rPr>
                <w:rFonts w:eastAsia="Calibri"/>
              </w:rPr>
              <w:t xml:space="preserve"> to make representations to the minister)</w:t>
            </w:r>
          </w:p>
          <w:p w14:paraId="3FDE63F0" w14:textId="7F4449C4" w:rsidR="00BD414F" w:rsidRPr="00A07B34" w:rsidRDefault="007E15E5" w:rsidP="000C4E96">
            <w:pPr>
              <w:pStyle w:val="TableListNumber2"/>
              <w:numPr>
                <w:ilvl w:val="2"/>
                <w:numId w:val="61"/>
              </w:numPr>
            </w:pPr>
            <w:r w:rsidRPr="009E04DD">
              <w:rPr>
                <w:rFonts w:eastAsia="Calibri"/>
              </w:rPr>
              <w:t xml:space="preserve">the nature of that interest (if the member of </w:t>
            </w:r>
            <w:r w:rsidR="00BC4049">
              <w:rPr>
                <w:rFonts w:eastAsia="Calibri"/>
              </w:rPr>
              <w:t>Parliament</w:t>
            </w:r>
            <w:r w:rsidRPr="009E04DD">
              <w:rPr>
                <w:rFonts w:eastAsia="Calibri"/>
              </w:rPr>
              <w:t xml:space="preserve"> has a private interest)</w:t>
            </w:r>
          </w:p>
          <w:p w14:paraId="432EB321" w14:textId="4EEE4181" w:rsidR="00BD414F" w:rsidRPr="00A07B34" w:rsidRDefault="007E15E5" w:rsidP="000C4E96">
            <w:pPr>
              <w:pStyle w:val="TableListNumber2"/>
              <w:numPr>
                <w:ilvl w:val="2"/>
                <w:numId w:val="61"/>
              </w:numPr>
            </w:pPr>
            <w:r w:rsidRPr="009E04DD">
              <w:rPr>
                <w:rFonts w:eastAsia="Calibri"/>
              </w:rPr>
              <w:t xml:space="preserve">the names of any persons or entities who have made representations to the member of </w:t>
            </w:r>
            <w:r w:rsidR="00BC4049">
              <w:rPr>
                <w:rFonts w:eastAsia="Calibri"/>
              </w:rPr>
              <w:t>Parliament</w:t>
            </w:r>
            <w:r w:rsidRPr="009E04DD">
              <w:rPr>
                <w:rFonts w:eastAsia="Calibri"/>
              </w:rPr>
              <w:t xml:space="preserve"> requesting that they lobby the minister or their adviser (regardless of whether the member of </w:t>
            </w:r>
            <w:r w:rsidR="00BC4049">
              <w:rPr>
                <w:rFonts w:eastAsia="Calibri"/>
              </w:rPr>
              <w:t>Parliament</w:t>
            </w:r>
            <w:r w:rsidRPr="009E04DD">
              <w:rPr>
                <w:rFonts w:eastAsia="Calibri"/>
              </w:rPr>
              <w:t xml:space="preserve"> has a private interest in the matter)</w:t>
            </w:r>
          </w:p>
          <w:p w14:paraId="1ABF968E" w14:textId="6819B841" w:rsidR="00BD414F" w:rsidRPr="00A07B34" w:rsidRDefault="007E15E5" w:rsidP="00A07B34">
            <w:pPr>
              <w:pStyle w:val="TableListNumber2"/>
            </w:pPr>
            <w:r w:rsidRPr="009E04DD">
              <w:rPr>
                <w:rFonts w:eastAsia="Calibri"/>
              </w:rPr>
              <w:t>maintain records of those disclosures in a form that is auditable, and can be made available to appropriate entities, including the lobbying regulator</w:t>
            </w:r>
          </w:p>
          <w:p w14:paraId="4A73DA67" w14:textId="4E19E310" w:rsidR="00BD414F" w:rsidRPr="00A07B34" w:rsidRDefault="007E15E5" w:rsidP="00BD414F">
            <w:pPr>
              <w:pStyle w:val="TableListNumber"/>
            </w:pPr>
            <w:r w:rsidRPr="009E04DD">
              <w:rPr>
                <w:rFonts w:eastAsia="Calibri"/>
              </w:rPr>
              <w:t>requires that lobbyists document their contacts with government representatives, and that this information is published via an easily accessible and searchable register that includes, but is not limited to:</w:t>
            </w:r>
          </w:p>
          <w:p w14:paraId="16B8B7CE" w14:textId="7E391EBE" w:rsidR="00BD414F" w:rsidRPr="00A07B34" w:rsidRDefault="007E15E5" w:rsidP="00BD414F">
            <w:pPr>
              <w:pStyle w:val="TableListNumber2"/>
            </w:pPr>
            <w:r w:rsidRPr="009E04DD">
              <w:rPr>
                <w:rFonts w:eastAsia="Calibri"/>
              </w:rPr>
              <w:t>the name and role of the government representative who has been lobbied</w:t>
            </w:r>
          </w:p>
          <w:p w14:paraId="60FFDAA4" w14:textId="48EFE7AF" w:rsidR="00BD414F" w:rsidRPr="00A07B34" w:rsidRDefault="007E15E5" w:rsidP="00BD414F">
            <w:pPr>
              <w:pStyle w:val="TableListNumber2"/>
            </w:pPr>
            <w:r w:rsidRPr="009E04DD">
              <w:rPr>
                <w:rFonts w:eastAsia="Calibri"/>
              </w:rPr>
              <w:t>the subject of the lobbying and its purpose</w:t>
            </w:r>
          </w:p>
          <w:p w14:paraId="4A276FFF" w14:textId="7DBD948F" w:rsidR="00BD414F" w:rsidRPr="00A07B34" w:rsidRDefault="007E15E5" w:rsidP="00BD414F">
            <w:pPr>
              <w:pStyle w:val="TableListNumber2"/>
            </w:pPr>
            <w:r w:rsidRPr="009E04DD">
              <w:rPr>
                <w:rFonts w:eastAsia="Calibri"/>
              </w:rPr>
              <w:t>the intended outcome of the lobbying communication</w:t>
            </w:r>
          </w:p>
          <w:p w14:paraId="50E70383" w14:textId="2E761A62" w:rsidR="000C4E96" w:rsidRPr="00A07B34" w:rsidRDefault="007E15E5" w:rsidP="000C4E96">
            <w:pPr>
              <w:pStyle w:val="TableListNumber"/>
            </w:pPr>
            <w:r w:rsidRPr="009E04DD">
              <w:rPr>
                <w:rFonts w:eastAsia="Calibri"/>
              </w:rPr>
              <w:t>mandates the publication of extracts or summaries of ministerial diaries and ministerial staff diaries on a monthly basis, capturing any form of meeting or event (such as attendance at fundraisers), including, but not limited to details of:</w:t>
            </w:r>
          </w:p>
          <w:p w14:paraId="4FD359BD" w14:textId="19C04DFD" w:rsidR="000C4E96" w:rsidRPr="00A07B34" w:rsidRDefault="007E15E5" w:rsidP="000C4E96">
            <w:pPr>
              <w:pStyle w:val="TableListNumber2"/>
            </w:pPr>
            <w:r w:rsidRPr="009E04DD">
              <w:rPr>
                <w:rFonts w:eastAsia="Calibri"/>
              </w:rPr>
              <w:t>the date of the meeting or event</w:t>
            </w:r>
          </w:p>
          <w:p w14:paraId="70653176" w14:textId="3025309C" w:rsidR="000C4E96" w:rsidRPr="00A07B34" w:rsidRDefault="007E15E5" w:rsidP="000C4E96">
            <w:pPr>
              <w:pStyle w:val="TableListNumber2"/>
            </w:pPr>
            <w:r w:rsidRPr="009E04DD">
              <w:rPr>
                <w:rFonts w:eastAsia="Calibri"/>
              </w:rPr>
              <w:t>who attended</w:t>
            </w:r>
          </w:p>
          <w:p w14:paraId="6DC8CBE8" w14:textId="1DC69C04" w:rsidR="000C4E96" w:rsidRPr="00A07B34" w:rsidRDefault="007E15E5" w:rsidP="000C4E96">
            <w:pPr>
              <w:pStyle w:val="TableListNumber2"/>
            </w:pPr>
            <w:r w:rsidRPr="009E04DD">
              <w:rPr>
                <w:rFonts w:eastAsia="Calibri"/>
              </w:rPr>
              <w:t>what interests they represented</w:t>
            </w:r>
          </w:p>
          <w:p w14:paraId="750A406B" w14:textId="4F371AE3" w:rsidR="000C4E96" w:rsidRPr="00A07B34" w:rsidRDefault="007E15E5" w:rsidP="000C4E96">
            <w:pPr>
              <w:pStyle w:val="TableListNumber2"/>
            </w:pPr>
            <w:r w:rsidRPr="009E04DD">
              <w:rPr>
                <w:rFonts w:eastAsia="Calibri"/>
              </w:rPr>
              <w:t>the issues that were discussed at the meeting or event</w:t>
            </w:r>
          </w:p>
          <w:p w14:paraId="6735D74B" w14:textId="356BFED0" w:rsidR="000C4E96" w:rsidRPr="00A07B34" w:rsidRDefault="007E15E5" w:rsidP="000C4E96">
            <w:pPr>
              <w:pStyle w:val="TableListNumber"/>
            </w:pPr>
            <w:r w:rsidRPr="009E04DD">
              <w:rPr>
                <w:rFonts w:eastAsia="Calibri"/>
              </w:rPr>
              <w:t>ensures that interactions between a lobbyist and a minister or their staff are transparent, including, but not limited to measures that require:</w:t>
            </w:r>
          </w:p>
          <w:p w14:paraId="2C085F37" w14:textId="2EFDB90D" w:rsidR="000C4E96" w:rsidRPr="00A07B34" w:rsidRDefault="007E15E5" w:rsidP="000C4E96">
            <w:pPr>
              <w:pStyle w:val="TableListNumber2"/>
            </w:pPr>
            <w:r w:rsidRPr="009E04DD">
              <w:rPr>
                <w:rFonts w:eastAsia="Calibri"/>
              </w:rPr>
              <w:t>the creation and maintenance of records in relation to requests to meet, any associated approvals, and formal meetings between a minister or their staff and any person lobbying the minister or their staff (with reference to the approaches taken in Queensland, Scotland and Ireland)</w:t>
            </w:r>
          </w:p>
          <w:p w14:paraId="0FC7185E" w14:textId="5DFAB57A" w:rsidR="000C4E96" w:rsidRPr="00A07B34" w:rsidRDefault="007E15E5" w:rsidP="000C4E96">
            <w:pPr>
              <w:pStyle w:val="TableListNumber2"/>
            </w:pPr>
            <w:r w:rsidRPr="009E04DD">
              <w:rPr>
                <w:rFonts w:eastAsia="Calibri"/>
              </w:rPr>
              <w:t>the inclusion in ministerial diaries and ministerial staff diaries of details of contacts with people undertaking lobbying activity to support the monitoring and compliance activities of the lobbying regulator (with reference to the NSW and Queensland approaches)</w:t>
            </w:r>
          </w:p>
          <w:p w14:paraId="1FC82C1A" w14:textId="02E9F66C" w:rsidR="000C4E96" w:rsidRPr="00A07B34" w:rsidRDefault="007E15E5" w:rsidP="000C4E96">
            <w:pPr>
              <w:pStyle w:val="TableListNumber2"/>
            </w:pPr>
            <w:r w:rsidRPr="009E04DD">
              <w:rPr>
                <w:rFonts w:eastAsia="Calibri"/>
              </w:rPr>
              <w:t>the publication of a uniform Ministerial Staff Code of Conduct required under legislation, which obliges ministerial staff to comply with lobbying regulations</w:t>
            </w:r>
          </w:p>
          <w:p w14:paraId="58E74A90" w14:textId="4B23A792" w:rsidR="000C4E96" w:rsidRPr="00A07B34" w:rsidRDefault="007E15E5" w:rsidP="000C4E96">
            <w:pPr>
              <w:pStyle w:val="TableListNumber2"/>
            </w:pPr>
            <w:r w:rsidRPr="009E04DD">
              <w:rPr>
                <w:rFonts w:eastAsia="Calibri"/>
              </w:rPr>
              <w:t>training for ministerial advisers to raise awareness of risks associated with lobbyists</w:t>
            </w:r>
          </w:p>
          <w:p w14:paraId="168839EC" w14:textId="06EDEEB8" w:rsidR="000C4E96" w:rsidRPr="00A07B34" w:rsidRDefault="007E15E5" w:rsidP="000C4E96">
            <w:pPr>
              <w:pStyle w:val="TableListNumber"/>
            </w:pPr>
            <w:r w:rsidRPr="009E04DD">
              <w:rPr>
                <w:rFonts w:eastAsia="Calibri"/>
              </w:rPr>
              <w:t>ensures that interactions between lobbyists and electorate officers are transparent, including, but not limited to measures that require:</w:t>
            </w:r>
          </w:p>
          <w:p w14:paraId="57FD8B09" w14:textId="1DCCD12A" w:rsidR="000C4E96" w:rsidRPr="00A07B34" w:rsidRDefault="007E15E5" w:rsidP="000C4E96">
            <w:pPr>
              <w:pStyle w:val="TableListNumber2"/>
            </w:pPr>
            <w:r w:rsidRPr="009E04DD">
              <w:rPr>
                <w:rFonts w:eastAsia="Calibri"/>
              </w:rPr>
              <w:t>electorate officers to maintain records (outlining prescribed details) of contact with those undertaking lobbying activity, noting that those records must be auditable to support the monitoring and compliance activities of the lobbying regulator</w:t>
            </w:r>
          </w:p>
          <w:p w14:paraId="5D6E3D02" w14:textId="4E2559DD" w:rsidR="000C4E96" w:rsidRPr="00A07B34" w:rsidRDefault="007E15E5" w:rsidP="000C4E96">
            <w:pPr>
              <w:pStyle w:val="TableListNumber2"/>
            </w:pPr>
            <w:r w:rsidRPr="009E04DD">
              <w:rPr>
                <w:rFonts w:eastAsia="Calibri"/>
              </w:rPr>
              <w:t>the Electorate Officers Code of Conduct to specify that electorate officers must comply with lobbying regulations</w:t>
            </w:r>
          </w:p>
          <w:p w14:paraId="35EF1E48" w14:textId="24F83B24" w:rsidR="000C4E96" w:rsidRPr="00A07B34" w:rsidRDefault="007E15E5" w:rsidP="000C4E96">
            <w:pPr>
              <w:pStyle w:val="TableListNumber2"/>
            </w:pPr>
            <w:r w:rsidRPr="009E04DD">
              <w:rPr>
                <w:rFonts w:eastAsia="Calibri"/>
              </w:rPr>
              <w:t>training for electorate officers to raise awareness of risks associated with lobbyists</w:t>
            </w:r>
          </w:p>
          <w:p w14:paraId="31FD04B4" w14:textId="723287CE" w:rsidR="000C4E96" w:rsidRPr="00A07B34" w:rsidRDefault="007E15E5" w:rsidP="000C4E96">
            <w:pPr>
              <w:pStyle w:val="TableListNumber"/>
            </w:pPr>
            <w:r w:rsidRPr="009E04DD">
              <w:rPr>
                <w:rFonts w:eastAsia="Calibri"/>
              </w:rPr>
              <w:t>prohibits success fees being given or promised to lobbyists in return for a certain outcome of any lobbying activity</w:t>
            </w:r>
          </w:p>
          <w:p w14:paraId="491E1871" w14:textId="1790D151" w:rsidR="007E15E5" w:rsidRDefault="007E15E5" w:rsidP="000C4E96">
            <w:pPr>
              <w:pStyle w:val="TableListNumber"/>
            </w:pPr>
            <w:r w:rsidRPr="009E04DD" w:rsidDel="000C4E96">
              <w:br/>
            </w:r>
            <w:r w:rsidRPr="009E04DD">
              <w:rPr>
                <w:rFonts w:eastAsia="Calibri"/>
              </w:rPr>
              <w:t>ensures that a lobbyist cannot lobby an elected official whose election they have supported directly or indirectly, for example, through donations or in-kind support to a campaign</w:t>
            </w:r>
            <w:r w:rsidR="00577B93">
              <w:rPr>
                <w:rFonts w:eastAsia="Calibri"/>
              </w:rPr>
              <w:t>.</w:t>
            </w:r>
          </w:p>
        </w:tc>
      </w:tr>
      <w:tr w:rsidR="007E15E5" w14:paraId="66242EA5"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69993608" w14:textId="29BABE0F" w:rsidR="007E15E5" w:rsidRDefault="007E15E5" w:rsidP="004F6693">
            <w:pPr>
              <w:pStyle w:val="TableBodyText"/>
            </w:pPr>
            <w:r w:rsidRPr="1EFBF1D2">
              <w:rPr>
                <w:rFonts w:eastAsia="Calibri"/>
              </w:rPr>
              <w:t xml:space="preserve">Special Report – Operation </w:t>
            </w:r>
            <w:r w:rsidR="000C4E96" w:rsidRPr="1EFBF1D2">
              <w:rPr>
                <w:rFonts w:eastAsia="Calibri"/>
              </w:rPr>
              <w:t>D</w:t>
            </w:r>
            <w:r w:rsidR="000C4E96">
              <w:rPr>
                <w:rFonts w:eastAsia="Calibri"/>
              </w:rPr>
              <w:t>aintree</w:t>
            </w:r>
          </w:p>
        </w:tc>
        <w:tc>
          <w:tcPr>
            <w:tcW w:w="6616" w:type="dxa"/>
            <w:tcBorders>
              <w:top w:val="single" w:sz="8" w:space="0" w:color="auto"/>
              <w:left w:val="nil"/>
              <w:bottom w:val="single" w:sz="8" w:space="0" w:color="auto"/>
              <w:right w:val="nil"/>
            </w:tcBorders>
            <w:tcMar>
              <w:left w:w="108" w:type="dxa"/>
              <w:right w:w="108" w:type="dxa"/>
            </w:tcMar>
          </w:tcPr>
          <w:p w14:paraId="35BAC26C" w14:textId="77777777" w:rsidR="007E15E5" w:rsidRDefault="007E15E5" w:rsidP="004F6693">
            <w:pPr>
              <w:pStyle w:val="TableBodyText"/>
            </w:pPr>
            <w:r w:rsidRPr="1EFBF1D2">
              <w:rPr>
                <w:rFonts w:eastAsia="Calibri"/>
              </w:rPr>
              <w:t>Recommendation 4</w:t>
            </w:r>
          </w:p>
          <w:p w14:paraId="58C18A31" w14:textId="77777777" w:rsidR="007E15E5" w:rsidRDefault="007E15E5" w:rsidP="004F6693">
            <w:pPr>
              <w:pStyle w:val="TableBodyText"/>
            </w:pPr>
            <w:r w:rsidRPr="1EFBF1D2">
              <w:rPr>
                <w:rFonts w:eastAsia="Calibri"/>
              </w:rPr>
              <w:t>That, in line with other Australian jurisdictions, the Victorian Government develops and introduces legislation to clarify and formalise the employment arrangements for ministerial staff, in order to strengthen transparency and accountability.</w:t>
            </w:r>
          </w:p>
          <w:p w14:paraId="13DF554B" w14:textId="77777777" w:rsidR="007E15E5" w:rsidRDefault="007E15E5" w:rsidP="004F6693">
            <w:pPr>
              <w:pStyle w:val="TableBodyText"/>
            </w:pPr>
            <w:r w:rsidRPr="1EFBF1D2">
              <w:rPr>
                <w:rFonts w:eastAsia="Calibri"/>
              </w:rPr>
              <w:t>Options to consider include:</w:t>
            </w:r>
          </w:p>
          <w:p w14:paraId="79D7C967" w14:textId="7C1A10AD" w:rsidR="007E15E5" w:rsidRPr="000C4E96" w:rsidRDefault="007E15E5" w:rsidP="00A07B34">
            <w:pPr>
              <w:pStyle w:val="TableListNumber"/>
              <w:numPr>
                <w:ilvl w:val="0"/>
                <w:numId w:val="63"/>
              </w:numPr>
              <w:rPr>
                <w:rFonts w:eastAsia="Calibri"/>
              </w:rPr>
            </w:pPr>
            <w:r w:rsidRPr="000C4E96">
              <w:rPr>
                <w:rFonts w:eastAsia="Calibri"/>
              </w:rPr>
              <w:t>clarifying employment responsibilities, such as:</w:t>
            </w:r>
          </w:p>
          <w:p w14:paraId="6656663B" w14:textId="0EFEA4C7" w:rsidR="007E15E5" w:rsidRDefault="007E15E5" w:rsidP="00A07B34">
            <w:pPr>
              <w:pStyle w:val="TableListNumber2"/>
              <w:rPr>
                <w:rFonts w:eastAsia="Calibri"/>
              </w:rPr>
            </w:pPr>
            <w:r w:rsidRPr="1EFBF1D2">
              <w:rPr>
                <w:rFonts w:eastAsia="Calibri"/>
              </w:rPr>
              <w:t>designating the minister to whom the staff are assigned to be their employer, or alternatively, vesting employer responsibilities in the minister to whom staff are assigned, once they have been employed by the Premier</w:t>
            </w:r>
          </w:p>
          <w:p w14:paraId="1B9CE257" w14:textId="5A04175F" w:rsidR="007E15E5" w:rsidRDefault="007E15E5" w:rsidP="00A07B34">
            <w:pPr>
              <w:pStyle w:val="TableListNumber2"/>
              <w:rPr>
                <w:rFonts w:eastAsia="Calibri"/>
              </w:rPr>
            </w:pPr>
            <w:r w:rsidRPr="1EFBF1D2">
              <w:rPr>
                <w:rFonts w:eastAsia="Calibri"/>
              </w:rPr>
              <w:t>providing for the accountability and supervisory arrangements for ministerial staff</w:t>
            </w:r>
          </w:p>
          <w:p w14:paraId="6CA3F593" w14:textId="6A017060" w:rsidR="007E15E5" w:rsidRDefault="007E15E5" w:rsidP="00A07B34">
            <w:pPr>
              <w:pStyle w:val="TableListNumber"/>
            </w:pPr>
            <w:r w:rsidRPr="1EFBF1D2">
              <w:rPr>
                <w:rFonts w:eastAsia="Calibri"/>
              </w:rPr>
              <w:t>articulating the values and employment principles that apply to ministerial staff</w:t>
            </w:r>
          </w:p>
          <w:p w14:paraId="6910FDAA" w14:textId="5440FD0C" w:rsidR="007E15E5" w:rsidRDefault="007E15E5" w:rsidP="00A07B34">
            <w:pPr>
              <w:pStyle w:val="TableListNumber"/>
              <w:rPr>
                <w:rFonts w:eastAsia="Calibri"/>
              </w:rPr>
            </w:pPr>
            <w:r w:rsidRPr="1EFBF1D2">
              <w:rPr>
                <w:rFonts w:eastAsia="Calibri"/>
              </w:rPr>
              <w:t>providing for the making of codes of conduct by the Premier to be observed by staff in performing their functions, including:</w:t>
            </w:r>
          </w:p>
          <w:p w14:paraId="4BE046F0" w14:textId="5C389DF5" w:rsidR="007E15E5" w:rsidRDefault="007E15E5" w:rsidP="00A07B34">
            <w:pPr>
              <w:pStyle w:val="TableListNumber2"/>
              <w:rPr>
                <w:rFonts w:eastAsia="Calibri"/>
              </w:rPr>
            </w:pPr>
            <w:r w:rsidRPr="1EFBF1D2">
              <w:rPr>
                <w:rFonts w:eastAsia="Calibri"/>
              </w:rPr>
              <w:t>providing that a breach of the Ministerial Staff Code of Conduct may constitute misconduct</w:t>
            </w:r>
          </w:p>
          <w:p w14:paraId="760E3967" w14:textId="0310AFBA" w:rsidR="007E15E5" w:rsidRDefault="007E15E5" w:rsidP="00A07B34">
            <w:pPr>
              <w:pStyle w:val="TableListNumber2"/>
              <w:rPr>
                <w:rFonts w:eastAsia="Calibri"/>
              </w:rPr>
            </w:pPr>
            <w:r w:rsidRPr="1EFBF1D2">
              <w:rPr>
                <w:rFonts w:eastAsia="Calibri"/>
              </w:rPr>
              <w:t>requiring the Ministerial Staff Code of Conduct to be published and reviewed at regular intervals</w:t>
            </w:r>
          </w:p>
          <w:p w14:paraId="1ABD2AEB" w14:textId="32321F61" w:rsidR="007E15E5" w:rsidRDefault="007E15E5" w:rsidP="00A07B34">
            <w:pPr>
              <w:pStyle w:val="TableListNumber"/>
              <w:rPr>
                <w:rFonts w:eastAsia="Calibri"/>
              </w:rPr>
            </w:pPr>
            <w:r w:rsidRPr="1EFBF1D2">
              <w:rPr>
                <w:rFonts w:eastAsia="Calibri"/>
              </w:rPr>
              <w:t>articulating the principles for ministerial staff to follow when dealing with portfolio departments and agencies, including a specific prohibition on directing public sector employees.</w:t>
            </w:r>
          </w:p>
        </w:tc>
      </w:tr>
      <w:tr w:rsidR="007E15E5" w14:paraId="1BB7085D"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109C6BB8" w14:textId="47EA978B" w:rsidR="007E15E5" w:rsidRDefault="007E15E5" w:rsidP="004F6693">
            <w:pPr>
              <w:pStyle w:val="TableBodyText"/>
            </w:pPr>
            <w:r w:rsidRPr="1EFBF1D2">
              <w:rPr>
                <w:rFonts w:eastAsia="Calibri"/>
              </w:rPr>
              <w:t xml:space="preserve">Special Report – Operation </w:t>
            </w:r>
            <w:r w:rsidR="000C4E96" w:rsidRPr="1EFBF1D2">
              <w:rPr>
                <w:rFonts w:eastAsia="Calibri"/>
              </w:rPr>
              <w:t>D</w:t>
            </w:r>
            <w:r w:rsidR="000C4E96">
              <w:rPr>
                <w:rFonts w:eastAsia="Calibri"/>
              </w:rPr>
              <w:t>aintree</w:t>
            </w:r>
          </w:p>
        </w:tc>
        <w:tc>
          <w:tcPr>
            <w:tcW w:w="6616" w:type="dxa"/>
            <w:tcBorders>
              <w:top w:val="single" w:sz="8" w:space="0" w:color="auto"/>
              <w:left w:val="nil"/>
              <w:bottom w:val="single" w:sz="8" w:space="0" w:color="auto"/>
              <w:right w:val="nil"/>
            </w:tcBorders>
            <w:tcMar>
              <w:left w:w="108" w:type="dxa"/>
              <w:right w:w="108" w:type="dxa"/>
            </w:tcMar>
          </w:tcPr>
          <w:p w14:paraId="5BDD1BA7" w14:textId="77777777" w:rsidR="007E15E5" w:rsidRDefault="007E15E5" w:rsidP="004F6693">
            <w:pPr>
              <w:pStyle w:val="TableBodyText"/>
            </w:pPr>
            <w:r w:rsidRPr="1EFBF1D2">
              <w:rPr>
                <w:rFonts w:eastAsia="Calibri"/>
              </w:rPr>
              <w:t>Recommendation 5</w:t>
            </w:r>
          </w:p>
          <w:p w14:paraId="4C7ABD25" w14:textId="76D50BC2" w:rsidR="007E15E5" w:rsidRDefault="007E15E5" w:rsidP="004F6693">
            <w:pPr>
              <w:pStyle w:val="TableBodyText"/>
            </w:pPr>
            <w:r w:rsidRPr="1EFBF1D2">
              <w:rPr>
                <w:rFonts w:eastAsia="Calibri"/>
              </w:rPr>
              <w:t>That the government introduces legislation to require the Secretary to the Department of Premier and Cabinet (DPC) or the VPSC to include information in their annual report about the number of ministerial advisors and other staff who were employed in each ministerial office as of 30 June each year, and the total cost of employing ministerial advisors and staff during each financial year.</w:t>
            </w:r>
          </w:p>
        </w:tc>
      </w:tr>
      <w:tr w:rsidR="007E15E5" w14:paraId="7A9495C0"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57C89C0B" w14:textId="0DC48F08" w:rsidR="007E15E5" w:rsidRDefault="007E15E5" w:rsidP="004F6693">
            <w:pPr>
              <w:pStyle w:val="TableBodyText"/>
            </w:pPr>
            <w:r w:rsidRPr="1EFBF1D2">
              <w:rPr>
                <w:rFonts w:eastAsia="Calibri"/>
              </w:rPr>
              <w:t xml:space="preserve">Special Report – Operation </w:t>
            </w:r>
            <w:r w:rsidR="000C4E96" w:rsidRPr="1EFBF1D2">
              <w:rPr>
                <w:rFonts w:eastAsia="Calibri"/>
              </w:rPr>
              <w:t>D</w:t>
            </w:r>
            <w:r w:rsidR="000C4E96">
              <w:rPr>
                <w:rFonts w:eastAsia="Calibri"/>
              </w:rPr>
              <w:t>aintree</w:t>
            </w:r>
          </w:p>
        </w:tc>
        <w:tc>
          <w:tcPr>
            <w:tcW w:w="6616" w:type="dxa"/>
            <w:tcBorders>
              <w:top w:val="single" w:sz="8" w:space="0" w:color="auto"/>
              <w:left w:val="nil"/>
              <w:bottom w:val="single" w:sz="8" w:space="0" w:color="auto"/>
              <w:right w:val="nil"/>
            </w:tcBorders>
            <w:tcMar>
              <w:left w:w="108" w:type="dxa"/>
              <w:right w:w="108" w:type="dxa"/>
            </w:tcMar>
          </w:tcPr>
          <w:p w14:paraId="46173E0B" w14:textId="77777777" w:rsidR="007E15E5" w:rsidRDefault="007E15E5" w:rsidP="004F6693">
            <w:pPr>
              <w:pStyle w:val="TableBodyText"/>
            </w:pPr>
            <w:r w:rsidRPr="1EFBF1D2">
              <w:rPr>
                <w:rFonts w:eastAsia="Calibri"/>
              </w:rPr>
              <w:t>Recommendation 6</w:t>
            </w:r>
          </w:p>
          <w:p w14:paraId="04B402FE" w14:textId="77777777" w:rsidR="007E15E5" w:rsidRDefault="007E15E5" w:rsidP="004F6693">
            <w:pPr>
              <w:pStyle w:val="TableBodyText"/>
            </w:pPr>
            <w:r w:rsidRPr="1EFBF1D2">
              <w:rPr>
                <w:rFonts w:eastAsia="Calibri"/>
              </w:rPr>
              <w:t>That, subject to any legislation drafted pursuant to Recommendation 4, the Premier, the DPC and the VPSC collaborate to ensure that the Ministerial Code of Conduct, the Ministerial Staff Code of Conduct, and the VPSC guidance to ministerial staff, departmental secretaries, executive officers and non-executive officers are consistent, comprehensive and emphasise:</w:t>
            </w:r>
          </w:p>
          <w:p w14:paraId="08E37955" w14:textId="48AFF016" w:rsidR="007E15E5" w:rsidRPr="000C4E96" w:rsidRDefault="007E15E5" w:rsidP="00A07B34">
            <w:pPr>
              <w:pStyle w:val="TableListNumber"/>
              <w:numPr>
                <w:ilvl w:val="0"/>
                <w:numId w:val="64"/>
              </w:numPr>
              <w:rPr>
                <w:rFonts w:eastAsia="Calibri"/>
              </w:rPr>
            </w:pPr>
            <w:r w:rsidRPr="000C4E96">
              <w:rPr>
                <w:rFonts w:eastAsia="Calibri"/>
              </w:rPr>
              <w:t>role clarity and the need for ministerial staff and public servants to understand and act within the scope of their roles</w:t>
            </w:r>
          </w:p>
          <w:p w14:paraId="19B2680E" w14:textId="209A4F17" w:rsidR="007E15E5" w:rsidRDefault="007E15E5" w:rsidP="00A07B34">
            <w:pPr>
              <w:pStyle w:val="TableListNumber"/>
              <w:rPr>
                <w:rFonts w:eastAsia="Calibri"/>
              </w:rPr>
            </w:pPr>
            <w:r w:rsidRPr="1EFBF1D2">
              <w:rPr>
                <w:rFonts w:eastAsia="Calibri"/>
              </w:rPr>
              <w:t>mutual respect in relations between ministerial offices and public servants</w:t>
            </w:r>
          </w:p>
          <w:p w14:paraId="6C4EA113" w14:textId="42E34189" w:rsidR="007E15E5" w:rsidRDefault="007E15E5" w:rsidP="00A07B34">
            <w:pPr>
              <w:pStyle w:val="TableListNumber"/>
              <w:rPr>
                <w:rFonts w:eastAsia="Calibri"/>
              </w:rPr>
            </w:pPr>
            <w:r w:rsidRPr="1EFBF1D2">
              <w:rPr>
                <w:rFonts w:eastAsia="Calibri"/>
              </w:rPr>
              <w:t>greater awareness of potential conflicts of interest and the need for additional caution to be exercised in managing conflicts of interest</w:t>
            </w:r>
          </w:p>
          <w:p w14:paraId="1F863464" w14:textId="4E89F7F4" w:rsidR="007E15E5" w:rsidRDefault="007E15E5" w:rsidP="00A07B34">
            <w:pPr>
              <w:pStyle w:val="TableListNumber"/>
              <w:rPr>
                <w:rFonts w:eastAsia="Calibri"/>
              </w:rPr>
            </w:pPr>
            <w:r w:rsidRPr="1EFBF1D2">
              <w:rPr>
                <w:rFonts w:eastAsia="Calibri"/>
              </w:rPr>
              <w:t>the operation of the conventions on ministerial responsibility.</w:t>
            </w:r>
          </w:p>
        </w:tc>
      </w:tr>
      <w:tr w:rsidR="007E15E5" w14:paraId="242375DB"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3141D426" w14:textId="05798C84" w:rsidR="007E15E5" w:rsidRDefault="007E15E5" w:rsidP="004F6693">
            <w:pPr>
              <w:pStyle w:val="TableBodyText"/>
              <w:rPr>
                <w:rFonts w:eastAsia="Calibri"/>
              </w:rPr>
            </w:pPr>
            <w:r w:rsidRPr="1EFBF1D2">
              <w:rPr>
                <w:rFonts w:eastAsia="Calibri"/>
              </w:rPr>
              <w:t>Special Report – Operation D</w:t>
            </w:r>
            <w:r w:rsidR="0048291B">
              <w:rPr>
                <w:rFonts w:eastAsia="Calibri"/>
              </w:rPr>
              <w:t>aintree</w:t>
            </w:r>
          </w:p>
        </w:tc>
        <w:tc>
          <w:tcPr>
            <w:tcW w:w="6616" w:type="dxa"/>
            <w:tcBorders>
              <w:top w:val="single" w:sz="8" w:space="0" w:color="auto"/>
              <w:left w:val="nil"/>
              <w:bottom w:val="single" w:sz="8" w:space="0" w:color="auto"/>
              <w:right w:val="nil"/>
            </w:tcBorders>
            <w:tcMar>
              <w:left w:w="108" w:type="dxa"/>
              <w:right w:w="108" w:type="dxa"/>
            </w:tcMar>
          </w:tcPr>
          <w:p w14:paraId="457470C6" w14:textId="77777777" w:rsidR="007E15E5" w:rsidRDefault="007E15E5" w:rsidP="004F6693">
            <w:pPr>
              <w:pStyle w:val="TableBodyText"/>
            </w:pPr>
            <w:r w:rsidRPr="1EFBF1D2">
              <w:rPr>
                <w:rFonts w:eastAsia="Calibri"/>
              </w:rPr>
              <w:t>Recommendation 8</w:t>
            </w:r>
          </w:p>
          <w:p w14:paraId="1F1733E6" w14:textId="77777777" w:rsidR="007E15E5" w:rsidRDefault="007E15E5" w:rsidP="004F6693">
            <w:pPr>
              <w:pStyle w:val="TableBodyText"/>
            </w:pPr>
            <w:r w:rsidRPr="1EFBF1D2">
              <w:rPr>
                <w:rFonts w:eastAsia="Calibri"/>
              </w:rPr>
              <w:t>That the Parliamentary Integrity Commissioner (to be established as a result of the Operation Watts report) be responsible for:</w:t>
            </w:r>
          </w:p>
          <w:p w14:paraId="582EBB78" w14:textId="1DFA1E84" w:rsidR="007E15E5" w:rsidRPr="000C4E96" w:rsidRDefault="007E15E5" w:rsidP="00A07B34">
            <w:pPr>
              <w:pStyle w:val="TableListNumber"/>
              <w:numPr>
                <w:ilvl w:val="0"/>
                <w:numId w:val="65"/>
              </w:numPr>
              <w:rPr>
                <w:rFonts w:eastAsia="Calibri"/>
              </w:rPr>
            </w:pPr>
            <w:r w:rsidRPr="000C4E96">
              <w:rPr>
                <w:rFonts w:eastAsia="Calibri"/>
              </w:rPr>
              <w:t>receiving and investigating complaints about possible, non-criminal breaches of the Ministerial Staff Code of Conduct and other misconduct</w:t>
            </w:r>
          </w:p>
          <w:p w14:paraId="13DADE49" w14:textId="1F715D63" w:rsidR="007E15E5" w:rsidRDefault="007E15E5" w:rsidP="00A07B34">
            <w:pPr>
              <w:pStyle w:val="TableListNumber"/>
              <w:rPr>
                <w:rFonts w:eastAsia="Calibri"/>
              </w:rPr>
            </w:pPr>
            <w:r w:rsidRPr="1EFBF1D2">
              <w:rPr>
                <w:rFonts w:eastAsia="Calibri"/>
              </w:rPr>
              <w:t>referring prima facie allegations of criminal or corrupt conduct to Victoria Police or IBAC</w:t>
            </w:r>
          </w:p>
          <w:p w14:paraId="4E8E5B61" w14:textId="5B18519D" w:rsidR="007E15E5" w:rsidRDefault="007E15E5" w:rsidP="00A07B34">
            <w:pPr>
              <w:pStyle w:val="TableListNumber"/>
              <w:rPr>
                <w:rFonts w:eastAsia="Calibri"/>
              </w:rPr>
            </w:pPr>
            <w:r w:rsidRPr="1EFBF1D2">
              <w:rPr>
                <w:rFonts w:eastAsia="Calibri"/>
              </w:rPr>
              <w:t>referring minor breaches to the Premier for investigation and resolution, in the commissioner’s discretion, and subject to the Premier advising the commissioner of the outcome of the investigation</w:t>
            </w:r>
          </w:p>
          <w:p w14:paraId="46546F4E" w14:textId="4EFFEC25" w:rsidR="007E15E5" w:rsidRDefault="007E15E5" w:rsidP="00A07B34">
            <w:pPr>
              <w:pStyle w:val="TableListNumber"/>
              <w:rPr>
                <w:rFonts w:eastAsia="Calibri"/>
              </w:rPr>
            </w:pPr>
            <w:r w:rsidRPr="1EFBF1D2">
              <w:rPr>
                <w:rFonts w:eastAsia="Calibri"/>
              </w:rPr>
              <w:t>recommending further action to the employer of the ministerial staff member, including on potential sanctions, where the Parliamentary Integrity Commissioner is satisfied a ministerial staff member engaged in conduct that is in breach of the Ministerial Staff Code of Conduct</w:t>
            </w:r>
          </w:p>
          <w:p w14:paraId="303EDFB9" w14:textId="4B1327CD" w:rsidR="007E15E5" w:rsidRDefault="007E15E5" w:rsidP="00A07B34">
            <w:pPr>
              <w:pStyle w:val="TableListNumber"/>
              <w:rPr>
                <w:rFonts w:eastAsia="Calibri"/>
              </w:rPr>
            </w:pPr>
            <w:r w:rsidRPr="1EFBF1D2">
              <w:rPr>
                <w:rFonts w:eastAsia="Calibri"/>
              </w:rPr>
              <w:t>promoting the revised Ministerial Staff Code of Conduct and providing regular education on it</w:t>
            </w:r>
          </w:p>
          <w:p w14:paraId="7719949F" w14:textId="38EAAD94" w:rsidR="007E15E5" w:rsidRDefault="007E15E5" w:rsidP="00A07B34">
            <w:pPr>
              <w:pStyle w:val="TableListNumber"/>
              <w:rPr>
                <w:rFonts w:eastAsia="Calibri"/>
              </w:rPr>
            </w:pPr>
            <w:r w:rsidRPr="1EFBF1D2">
              <w:rPr>
                <w:rFonts w:eastAsia="Calibri"/>
              </w:rPr>
              <w:t>monitoring and reporting on compliance with the Ministerial Staff Code of Conduct and potential measures to improve it</w:t>
            </w:r>
          </w:p>
          <w:p w14:paraId="2B677E7D" w14:textId="1E11D2E5" w:rsidR="007E15E5" w:rsidRDefault="007E15E5" w:rsidP="00A07B34">
            <w:pPr>
              <w:pStyle w:val="TableListNumber"/>
              <w:rPr>
                <w:rFonts w:eastAsia="Calibri"/>
              </w:rPr>
            </w:pPr>
            <w:r w:rsidRPr="1EFBF1D2">
              <w:rPr>
                <w:rFonts w:eastAsia="Calibri"/>
              </w:rPr>
              <w:t>revising the Ministerial Staff Misconduct Policy and Procedure to align with this report’s recommendations</w:t>
            </w:r>
          </w:p>
          <w:p w14:paraId="3C6C5C73" w14:textId="020829E7" w:rsidR="007E15E5" w:rsidRDefault="007E15E5" w:rsidP="00A07B34">
            <w:pPr>
              <w:pStyle w:val="TableListNumber"/>
              <w:rPr>
                <w:rFonts w:eastAsia="Calibri"/>
              </w:rPr>
            </w:pPr>
            <w:r w:rsidRPr="1EFBF1D2">
              <w:rPr>
                <w:rFonts w:eastAsia="Calibri"/>
              </w:rPr>
              <w:t xml:space="preserve">reporting annually on the performance of their functions with respect to ministerial staff (or on specific cases if warranted) to the </w:t>
            </w:r>
            <w:r w:rsidR="00005A5D">
              <w:rPr>
                <w:rFonts w:eastAsia="Calibri"/>
              </w:rPr>
              <w:t>Parliament</w:t>
            </w:r>
            <w:r w:rsidRPr="1EFBF1D2">
              <w:rPr>
                <w:rFonts w:eastAsia="Calibri"/>
              </w:rPr>
              <w:t>.</w:t>
            </w:r>
          </w:p>
        </w:tc>
      </w:tr>
      <w:tr w:rsidR="007E15E5" w14:paraId="4FFCF82B"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7F6D105F" w14:textId="6AFFA394" w:rsidR="007E15E5" w:rsidRDefault="007E15E5" w:rsidP="004F6693">
            <w:pPr>
              <w:pStyle w:val="TableBodyText"/>
              <w:rPr>
                <w:rFonts w:eastAsia="Calibri"/>
              </w:rPr>
            </w:pPr>
            <w:r w:rsidRPr="1EFBF1D2">
              <w:rPr>
                <w:rFonts w:eastAsia="Calibri"/>
              </w:rPr>
              <w:t xml:space="preserve">Special Report – Operation </w:t>
            </w:r>
            <w:r w:rsidR="000C4E96" w:rsidRPr="1EFBF1D2">
              <w:rPr>
                <w:rFonts w:eastAsia="Calibri"/>
              </w:rPr>
              <w:t>D</w:t>
            </w:r>
            <w:r w:rsidR="000C4E96">
              <w:rPr>
                <w:rFonts w:eastAsia="Calibri"/>
              </w:rPr>
              <w:t>aintree</w:t>
            </w:r>
          </w:p>
        </w:tc>
        <w:tc>
          <w:tcPr>
            <w:tcW w:w="6616" w:type="dxa"/>
            <w:tcBorders>
              <w:top w:val="single" w:sz="8" w:space="0" w:color="auto"/>
              <w:left w:val="nil"/>
              <w:bottom w:val="single" w:sz="8" w:space="0" w:color="auto"/>
              <w:right w:val="nil"/>
            </w:tcBorders>
            <w:tcMar>
              <w:left w:w="108" w:type="dxa"/>
              <w:right w:w="108" w:type="dxa"/>
            </w:tcMar>
          </w:tcPr>
          <w:p w14:paraId="161A0719" w14:textId="77777777" w:rsidR="007E15E5" w:rsidRDefault="007E15E5" w:rsidP="004F6693">
            <w:pPr>
              <w:pStyle w:val="TableBodyText"/>
            </w:pPr>
            <w:r w:rsidRPr="1EFBF1D2">
              <w:rPr>
                <w:rFonts w:eastAsia="Calibri"/>
              </w:rPr>
              <w:t>Recommendation 9</w:t>
            </w:r>
          </w:p>
          <w:p w14:paraId="7F8F03D9" w14:textId="77777777" w:rsidR="007E15E5" w:rsidRDefault="007E15E5" w:rsidP="004F6693">
            <w:pPr>
              <w:pStyle w:val="TableBodyText"/>
            </w:pPr>
            <w:r w:rsidRPr="1EFBF1D2">
              <w:rPr>
                <w:rFonts w:eastAsia="Calibri"/>
              </w:rPr>
              <w:t>That in developing the legislation to establish the ministerial staff complaints regime, the Victorian Government ensures that the legislation includes a requirement for ministerial staff to cooperate with an investigation of a complaint against them (or another ministerial staff member) with:</w:t>
            </w:r>
          </w:p>
          <w:p w14:paraId="2C939DC2" w14:textId="6C336185" w:rsidR="007E15E5" w:rsidRPr="000C4E96" w:rsidRDefault="007E15E5" w:rsidP="00A07B34">
            <w:pPr>
              <w:pStyle w:val="TableListNumber"/>
              <w:numPr>
                <w:ilvl w:val="0"/>
                <w:numId w:val="66"/>
              </w:numPr>
              <w:rPr>
                <w:rFonts w:eastAsia="Calibri"/>
              </w:rPr>
            </w:pPr>
            <w:r w:rsidRPr="000C4E96">
              <w:rPr>
                <w:rFonts w:eastAsia="Calibri"/>
              </w:rPr>
              <w:t>safeguards against the use of such information in other criminal or civil proceedings (other than for unfair dismissal or providing false or misleading information); and</w:t>
            </w:r>
          </w:p>
          <w:p w14:paraId="3617F41E" w14:textId="0A3115CB" w:rsidR="007E15E5" w:rsidRDefault="007E15E5" w:rsidP="00A07B34">
            <w:pPr>
              <w:pStyle w:val="TableListNumber"/>
              <w:rPr>
                <w:rFonts w:eastAsia="Calibri"/>
              </w:rPr>
            </w:pPr>
            <w:r w:rsidRPr="1EFBF1D2">
              <w:rPr>
                <w:rFonts w:eastAsia="Calibri"/>
              </w:rPr>
              <w:t>a failure to cooperate with the Parliamentary Integrity Commissioner constituting misconduct enabling the commissioner to recommend appropriate action to the employer of the ministerial staff member for that misconduct.</w:t>
            </w:r>
          </w:p>
        </w:tc>
      </w:tr>
      <w:tr w:rsidR="007E15E5" w14:paraId="7376EAB2"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36C95839" w14:textId="181DC492" w:rsidR="007E15E5" w:rsidRDefault="007E15E5" w:rsidP="004F6693">
            <w:pPr>
              <w:pStyle w:val="TableBodyText"/>
            </w:pPr>
            <w:r w:rsidRPr="1EFBF1D2">
              <w:rPr>
                <w:rFonts w:eastAsia="Calibri"/>
              </w:rPr>
              <w:t xml:space="preserve">Special Report – Operation </w:t>
            </w:r>
            <w:r w:rsidR="000C4E96" w:rsidRPr="1EFBF1D2">
              <w:rPr>
                <w:rFonts w:eastAsia="Calibri"/>
              </w:rPr>
              <w:t>D</w:t>
            </w:r>
            <w:r w:rsidR="000C4E96">
              <w:rPr>
                <w:rFonts w:eastAsia="Calibri"/>
              </w:rPr>
              <w:t>aintree</w:t>
            </w:r>
          </w:p>
        </w:tc>
        <w:tc>
          <w:tcPr>
            <w:tcW w:w="6616" w:type="dxa"/>
            <w:tcBorders>
              <w:top w:val="single" w:sz="8" w:space="0" w:color="auto"/>
              <w:left w:val="nil"/>
              <w:bottom w:val="single" w:sz="8" w:space="0" w:color="auto"/>
              <w:right w:val="nil"/>
            </w:tcBorders>
            <w:tcMar>
              <w:left w:w="108" w:type="dxa"/>
              <w:right w:w="108" w:type="dxa"/>
            </w:tcMar>
          </w:tcPr>
          <w:p w14:paraId="654A4AF0" w14:textId="77777777" w:rsidR="007E15E5" w:rsidRDefault="007E15E5" w:rsidP="004F6693">
            <w:pPr>
              <w:pStyle w:val="TableBodyText"/>
            </w:pPr>
            <w:r w:rsidRPr="1EFBF1D2">
              <w:rPr>
                <w:rFonts w:eastAsia="Calibri"/>
              </w:rPr>
              <w:t>Recommendation 11</w:t>
            </w:r>
          </w:p>
          <w:p w14:paraId="6E29B6EC" w14:textId="77777777" w:rsidR="007E15E5" w:rsidRDefault="007E15E5" w:rsidP="004F6693">
            <w:pPr>
              <w:pStyle w:val="TableBodyText"/>
            </w:pPr>
            <w:r w:rsidRPr="1EFBF1D2">
              <w:rPr>
                <w:rFonts w:eastAsia="Calibri"/>
              </w:rPr>
              <w:t>That:</w:t>
            </w:r>
          </w:p>
          <w:p w14:paraId="515B5E7D" w14:textId="6EBD0CA3" w:rsidR="007E15E5" w:rsidRPr="000C4E96" w:rsidRDefault="007E15E5" w:rsidP="00A07B34">
            <w:pPr>
              <w:pStyle w:val="TableListNumber"/>
              <w:numPr>
                <w:ilvl w:val="0"/>
                <w:numId w:val="67"/>
              </w:numPr>
              <w:rPr>
                <w:rFonts w:eastAsia="Calibri"/>
              </w:rPr>
            </w:pPr>
            <w:r w:rsidRPr="000C4E96">
              <w:rPr>
                <w:rFonts w:eastAsia="Calibri"/>
              </w:rPr>
              <w:t xml:space="preserve">the Victorian Government develops and introduces amendments to the </w:t>
            </w:r>
            <w:r w:rsidRPr="005F60CE">
              <w:rPr>
                <w:rStyle w:val="Characteritalic"/>
                <w:rFonts w:eastAsia="Calibri"/>
              </w:rPr>
              <w:t>Parliamentary Committees Act 2003</w:t>
            </w:r>
            <w:r w:rsidRPr="000C4E96">
              <w:rPr>
                <w:rFonts w:eastAsia="Calibri"/>
              </w:rPr>
              <w:t xml:space="preserve"> to empower relevant committees to compel ministerial staff members to appear before them and answer questions in limited and defined circumstances, such as where a minister claims to be unaware of the staff member’s conduct in a matter relevant to the minister’s portfolio into which the committee is inquiring</w:t>
            </w:r>
          </w:p>
          <w:p w14:paraId="3944CAD6" w14:textId="3F958C49" w:rsidR="007E15E5" w:rsidRPr="000C4E96" w:rsidRDefault="007E15E5" w:rsidP="00A07B34">
            <w:pPr>
              <w:pStyle w:val="TableListNumber"/>
              <w:numPr>
                <w:ilvl w:val="0"/>
                <w:numId w:val="67"/>
              </w:numPr>
              <w:rPr>
                <w:rFonts w:eastAsia="Calibri"/>
              </w:rPr>
            </w:pPr>
            <w:r w:rsidRPr="000C4E96">
              <w:rPr>
                <w:rFonts w:eastAsia="Calibri"/>
              </w:rPr>
              <w:t>the Standing Orders Committee of each House (or any other committee as may be appropriate) develops guidance material for parliamentary committees and ministerial advisors called before such committees on, among other things:</w:t>
            </w:r>
          </w:p>
          <w:p w14:paraId="1F263D06" w14:textId="6733B079" w:rsidR="007E15E5" w:rsidRDefault="007E15E5" w:rsidP="00A07B34">
            <w:pPr>
              <w:pStyle w:val="TableListNumber2"/>
              <w:rPr>
                <w:rFonts w:eastAsia="Calibri"/>
              </w:rPr>
            </w:pPr>
            <w:r w:rsidRPr="1EFBF1D2">
              <w:rPr>
                <w:rFonts w:eastAsia="Calibri"/>
              </w:rPr>
              <w:t>what does or does not constitute permissible questions to put to an advisor</w:t>
            </w:r>
          </w:p>
          <w:p w14:paraId="18FFDB62" w14:textId="4505F7A2" w:rsidR="007E15E5" w:rsidRDefault="007E15E5" w:rsidP="00A07B34">
            <w:pPr>
              <w:pStyle w:val="TableListNumber2"/>
              <w:rPr>
                <w:rFonts w:eastAsia="Calibri"/>
              </w:rPr>
            </w:pPr>
            <w:r w:rsidRPr="1EFBF1D2">
              <w:rPr>
                <w:rFonts w:eastAsia="Calibri"/>
              </w:rPr>
              <w:t>what an advisor’s obligations are to answer questions</w:t>
            </w:r>
          </w:p>
          <w:p w14:paraId="2A900E07" w14:textId="10F9EE5A" w:rsidR="007E15E5" w:rsidRDefault="007E15E5" w:rsidP="00A07B34">
            <w:pPr>
              <w:pStyle w:val="TableListNumber2"/>
              <w:rPr>
                <w:rFonts w:eastAsia="Calibri"/>
              </w:rPr>
            </w:pPr>
            <w:r w:rsidRPr="1EFBF1D2">
              <w:rPr>
                <w:rFonts w:eastAsia="Calibri"/>
              </w:rPr>
              <w:t>the consequences of an advisor failing to answer a legitimate question.</w:t>
            </w:r>
          </w:p>
        </w:tc>
      </w:tr>
      <w:tr w:rsidR="007E15E5" w14:paraId="304C59EB" w14:textId="77777777">
        <w:trPr>
          <w:trHeight w:val="300"/>
        </w:trPr>
        <w:tc>
          <w:tcPr>
            <w:tcW w:w="2399" w:type="dxa"/>
            <w:tcBorders>
              <w:top w:val="single" w:sz="8" w:space="0" w:color="auto"/>
              <w:left w:val="nil"/>
              <w:bottom w:val="single" w:sz="8" w:space="0" w:color="auto"/>
              <w:right w:val="nil"/>
            </w:tcBorders>
            <w:tcMar>
              <w:left w:w="108" w:type="dxa"/>
              <w:right w:w="108" w:type="dxa"/>
            </w:tcMar>
          </w:tcPr>
          <w:p w14:paraId="3416ABCC" w14:textId="5F39A6C5" w:rsidR="007E15E5" w:rsidRDefault="007E15E5" w:rsidP="004F6693">
            <w:pPr>
              <w:pStyle w:val="TableBodyText"/>
            </w:pPr>
            <w:r w:rsidRPr="1EFBF1D2">
              <w:rPr>
                <w:rFonts w:eastAsia="Calibri"/>
              </w:rPr>
              <w:t xml:space="preserve">Special Report – Operation </w:t>
            </w:r>
            <w:r w:rsidR="000C4E96" w:rsidRPr="1EFBF1D2">
              <w:rPr>
                <w:rFonts w:eastAsia="Calibri"/>
              </w:rPr>
              <w:t>D</w:t>
            </w:r>
            <w:r w:rsidR="000C4E96">
              <w:rPr>
                <w:rFonts w:eastAsia="Calibri"/>
              </w:rPr>
              <w:t>aintree</w:t>
            </w:r>
          </w:p>
        </w:tc>
        <w:tc>
          <w:tcPr>
            <w:tcW w:w="6616" w:type="dxa"/>
            <w:tcBorders>
              <w:top w:val="single" w:sz="8" w:space="0" w:color="auto"/>
              <w:left w:val="nil"/>
              <w:bottom w:val="single" w:sz="8" w:space="0" w:color="auto"/>
              <w:right w:val="nil"/>
            </w:tcBorders>
            <w:tcMar>
              <w:left w:w="108" w:type="dxa"/>
              <w:right w:w="108" w:type="dxa"/>
            </w:tcMar>
          </w:tcPr>
          <w:p w14:paraId="64C971C5" w14:textId="77777777" w:rsidR="007E15E5" w:rsidRPr="009F3973" w:rsidRDefault="007E15E5" w:rsidP="004F6693">
            <w:pPr>
              <w:pStyle w:val="TableBodyText"/>
            </w:pPr>
            <w:r w:rsidRPr="00AA2555">
              <w:rPr>
                <w:rFonts w:eastAsia="Calibri"/>
              </w:rPr>
              <w:t>Recommendation 17</w:t>
            </w:r>
          </w:p>
          <w:p w14:paraId="1F1E8968" w14:textId="0FAA3E19" w:rsidR="007E15E5" w:rsidRPr="009F3973" w:rsidRDefault="007E15E5" w:rsidP="004F6693">
            <w:pPr>
              <w:pStyle w:val="TableBodyText"/>
            </w:pPr>
            <w:r w:rsidRPr="00AA2555">
              <w:rPr>
                <w:rFonts w:eastAsia="Calibri"/>
              </w:rPr>
              <w:t xml:space="preserve">That the Victorian </w:t>
            </w:r>
            <w:r w:rsidR="00A85696">
              <w:rPr>
                <w:rFonts w:eastAsia="Calibri"/>
              </w:rPr>
              <w:t>G</w:t>
            </w:r>
            <w:r w:rsidRPr="00AA2555">
              <w:rPr>
                <w:rFonts w:eastAsia="Calibri"/>
              </w:rPr>
              <w:t>overnment:</w:t>
            </w:r>
          </w:p>
          <w:p w14:paraId="718A1167" w14:textId="41BFB69F" w:rsidR="007E15E5" w:rsidRPr="000C4E96" w:rsidRDefault="007E15E5" w:rsidP="00A07B34">
            <w:pPr>
              <w:pStyle w:val="TableListNumber"/>
              <w:numPr>
                <w:ilvl w:val="0"/>
                <w:numId w:val="68"/>
              </w:numPr>
              <w:rPr>
                <w:rFonts w:eastAsia="Calibri"/>
              </w:rPr>
            </w:pPr>
            <w:r w:rsidRPr="000C4E96">
              <w:rPr>
                <w:rFonts w:eastAsia="Calibri"/>
              </w:rPr>
              <w:t>consults with IBAC on the preparation of legislative changes arising from the implementation of recommendations in this report</w:t>
            </w:r>
          </w:p>
          <w:p w14:paraId="58CA8637" w14:textId="352F1307" w:rsidR="007E15E5" w:rsidRPr="00AA2555" w:rsidRDefault="007E15E5" w:rsidP="00A07B34">
            <w:pPr>
              <w:pStyle w:val="TableListNumber"/>
              <w:rPr>
                <w:rFonts w:eastAsia="Calibri"/>
              </w:rPr>
            </w:pPr>
            <w:r w:rsidRPr="00AA2555">
              <w:rPr>
                <w:rFonts w:eastAsia="Calibri"/>
              </w:rPr>
              <w:t xml:space="preserve">provides to </w:t>
            </w:r>
            <w:r w:rsidR="00005A5D">
              <w:rPr>
                <w:rFonts w:eastAsia="Calibri"/>
              </w:rPr>
              <w:t>Parliament</w:t>
            </w:r>
            <w:r w:rsidRPr="00AA2555">
              <w:rPr>
                <w:rFonts w:eastAsia="Calibri"/>
              </w:rPr>
              <w:t>:</w:t>
            </w:r>
          </w:p>
          <w:p w14:paraId="6C8BD819" w14:textId="5CC65C15" w:rsidR="007E15E5" w:rsidRPr="00AA2555" w:rsidRDefault="007E15E5" w:rsidP="00A07B34">
            <w:pPr>
              <w:pStyle w:val="TableListNumber2"/>
              <w:rPr>
                <w:rFonts w:eastAsia="Calibri"/>
              </w:rPr>
            </w:pPr>
            <w:r w:rsidRPr="00AA2555">
              <w:rPr>
                <w:rFonts w:eastAsia="Calibri"/>
              </w:rPr>
              <w:t>a progress report on the actions taken in response to the recommendations in this report by 31 October 2023</w:t>
            </w:r>
          </w:p>
          <w:p w14:paraId="4BEE3B68" w14:textId="40C76792" w:rsidR="007E15E5" w:rsidRPr="00AA2555" w:rsidRDefault="007E15E5" w:rsidP="00A07B34">
            <w:pPr>
              <w:pStyle w:val="TableListNumber2"/>
              <w:rPr>
                <w:rFonts w:eastAsia="Calibri"/>
              </w:rPr>
            </w:pPr>
            <w:r w:rsidRPr="00AA2555">
              <w:rPr>
                <w:rFonts w:eastAsia="Calibri"/>
              </w:rPr>
              <w:t>a further report on those actions (with a focus on the recommended complaints regime) by 30 June 2024.</w:t>
            </w:r>
          </w:p>
          <w:p w14:paraId="0D69D63B" w14:textId="77777777" w:rsidR="007E15E5" w:rsidRDefault="007E15E5" w:rsidP="004F6693">
            <w:pPr>
              <w:pStyle w:val="TableBodyText"/>
            </w:pPr>
            <w:r w:rsidRPr="00AA2555">
              <w:rPr>
                <w:rFonts w:eastAsia="Calibri"/>
              </w:rPr>
              <w:t>IBAC may publicly report on the adequacy or otherwise of those responses.</w:t>
            </w:r>
          </w:p>
        </w:tc>
      </w:tr>
    </w:tbl>
    <w:p w14:paraId="450D9058" w14:textId="179296FF" w:rsidR="009C2188" w:rsidRPr="00D525D3" w:rsidRDefault="009C2188" w:rsidP="00D525D3">
      <w:pPr>
        <w:pStyle w:val="Heading2"/>
      </w:pPr>
      <w:bookmarkStart w:id="272" w:name="_Ref149165828"/>
      <w:r w:rsidRPr="00D525D3">
        <w:t>Firearms Act, section</w:t>
      </w:r>
      <w:r w:rsidR="00025C73" w:rsidRPr="00D525D3">
        <w:t xml:space="preserve"> </w:t>
      </w:r>
      <w:r w:rsidRPr="00D525D3">
        <w:t>172(2)</w:t>
      </w:r>
      <w:bookmarkEnd w:id="272"/>
    </w:p>
    <w:p w14:paraId="29B8E0DF" w14:textId="77777777" w:rsidR="0028426C" w:rsidRDefault="0028426C" w:rsidP="00587BDA">
      <w:pPr>
        <w:pStyle w:val="BodyText"/>
      </w:pPr>
      <w:r w:rsidRPr="1EFBF1D2">
        <w:t>Under section 172(2) of the Firearms Act, IBAC is required to include in this report:</w:t>
      </w:r>
    </w:p>
    <w:p w14:paraId="349791E5" w14:textId="77777777" w:rsidR="0028426C" w:rsidRDefault="0028426C" w:rsidP="00587BDA">
      <w:pPr>
        <w:pStyle w:val="ListBullet"/>
      </w:pPr>
      <w:r w:rsidRPr="1EFBF1D2">
        <w:t>the number of firearm prohibition orders, the making of which IBAC has reviewed</w:t>
      </w:r>
    </w:p>
    <w:p w14:paraId="35C4D196" w14:textId="77777777" w:rsidR="0028426C" w:rsidRDefault="0028426C" w:rsidP="00587BDA">
      <w:pPr>
        <w:pStyle w:val="ListBullet"/>
      </w:pPr>
      <w:r w:rsidRPr="1EFBF1D2">
        <w:t>the number of review cases for which IBAC has made recommendations, and the number of those recommendations that the Chief Commissioner of Victoria Police has accepted.</w:t>
      </w:r>
    </w:p>
    <w:p w14:paraId="5AA947B3" w14:textId="77777777" w:rsidR="0028426C" w:rsidRDefault="0028426C" w:rsidP="00587BDA">
      <w:pPr>
        <w:pStyle w:val="BodyText"/>
      </w:pPr>
      <w:r w:rsidRPr="1466DEC7">
        <w:t xml:space="preserve">IBAC’s acquittal of its reporting obligations under section 172(2) of the Firearms Act can be found in the IBAC compliance monitoring of Victoria Police section of this report. </w:t>
      </w:r>
    </w:p>
    <w:p w14:paraId="7EC0C251" w14:textId="20DC82C1" w:rsidR="0028426C" w:rsidRDefault="0028426C" w:rsidP="00587BDA">
      <w:pPr>
        <w:pStyle w:val="BodyText"/>
      </w:pPr>
      <w:r w:rsidRPr="1EFBF1D2">
        <w:rPr>
          <w:szCs w:val="22"/>
        </w:rPr>
        <w:t xml:space="preserve">In </w:t>
      </w:r>
      <w:r w:rsidR="000A1691">
        <w:rPr>
          <w:szCs w:val="22"/>
        </w:rPr>
        <w:t>2022/23</w:t>
      </w:r>
      <w:r w:rsidRPr="1EFBF1D2">
        <w:rPr>
          <w:szCs w:val="22"/>
        </w:rPr>
        <w:t>, IBAC has matured its reporting process for quarterly reviews of firearm prohibition orders, and has started:</w:t>
      </w:r>
    </w:p>
    <w:p w14:paraId="43EB8B7F" w14:textId="77777777" w:rsidR="0028426C" w:rsidRDefault="0028426C" w:rsidP="00587BDA">
      <w:pPr>
        <w:pStyle w:val="ListBullet"/>
      </w:pPr>
      <w:r w:rsidRPr="1EFBF1D2">
        <w:t>providing extensive reasoning as to why IBAC considers a firearm prohibition order should not have been made</w:t>
      </w:r>
    </w:p>
    <w:p w14:paraId="3E535A88" w14:textId="77777777" w:rsidR="0028426C" w:rsidRDefault="0028426C" w:rsidP="00587BDA">
      <w:pPr>
        <w:pStyle w:val="ListBullet"/>
      </w:pPr>
      <w:r w:rsidRPr="1EFBF1D2">
        <w:t>recommending that reviews by Victoria Police of the orders that IBAC considers ought not to have been made be conducted by delegates who are independent of the initial decision to make the orders</w:t>
      </w:r>
    </w:p>
    <w:p w14:paraId="1EC4F39E" w14:textId="77777777" w:rsidR="0028426C" w:rsidRDefault="0028426C" w:rsidP="00587BDA">
      <w:pPr>
        <w:pStyle w:val="ListBullet"/>
      </w:pPr>
      <w:r w:rsidRPr="1EFBF1D2">
        <w:t xml:space="preserve">requiring Victoria Police to provide IBAC with reasons for any decision Victoria Police makes that an order IBAC considered ought not have been made should remain in place. </w:t>
      </w:r>
    </w:p>
    <w:p w14:paraId="71F0C3B7" w14:textId="42F2FD9F" w:rsidR="009C2188" w:rsidRPr="002F6765" w:rsidRDefault="009C2188">
      <w:pPr>
        <w:pStyle w:val="Heading2"/>
      </w:pPr>
      <w:bookmarkStart w:id="273" w:name="_Toc133585247"/>
      <w:bookmarkStart w:id="274" w:name="_Toc133920522"/>
      <w:bookmarkStart w:id="275" w:name="_Ref149137061"/>
      <w:r w:rsidRPr="002F6765">
        <w:t xml:space="preserve">Office-based environmental </w:t>
      </w:r>
      <w:r w:rsidRPr="003F513C">
        <w:t>impacts</w:t>
      </w:r>
      <w:bookmarkEnd w:id="273"/>
      <w:bookmarkEnd w:id="274"/>
      <w:bookmarkEnd w:id="275"/>
    </w:p>
    <w:p w14:paraId="3C912E7B" w14:textId="77777777" w:rsidR="009C2188" w:rsidRPr="002F6765" w:rsidRDefault="009C2188" w:rsidP="009C2188">
      <w:pPr>
        <w:pStyle w:val="BodyText"/>
      </w:pPr>
      <w:r w:rsidRPr="002F6765">
        <w:t>We minimise</w:t>
      </w:r>
      <w:r>
        <w:t xml:space="preserve"> our use of</w:t>
      </w:r>
      <w:r w:rsidRPr="002F6765">
        <w:t xml:space="preserve"> </w:t>
      </w:r>
      <w:r w:rsidRPr="003F513C">
        <w:t>electricity</w:t>
      </w:r>
      <w:r w:rsidRPr="002F6765">
        <w:t xml:space="preserve"> and water </w:t>
      </w:r>
      <w:r>
        <w:t>by</w:t>
      </w:r>
      <w:r w:rsidRPr="002F6765">
        <w:t>:</w:t>
      </w:r>
    </w:p>
    <w:p w14:paraId="28B0E6D9" w14:textId="77777777" w:rsidR="009C2188" w:rsidRPr="003F513C" w:rsidRDefault="009C2188" w:rsidP="009C2188">
      <w:pPr>
        <w:pStyle w:val="ListBullet"/>
      </w:pPr>
      <w:r>
        <w:t>washing IBAC fleet vehicles on an as-needed basis only</w:t>
      </w:r>
    </w:p>
    <w:p w14:paraId="2594D538" w14:textId="77777777" w:rsidR="009C2188" w:rsidRPr="003F513C" w:rsidRDefault="009C2188" w:rsidP="009C2188">
      <w:pPr>
        <w:pStyle w:val="ListBullet"/>
      </w:pPr>
      <w:r>
        <w:t>using efficient office equipment, such as printers and photocopiers</w:t>
      </w:r>
    </w:p>
    <w:p w14:paraId="59C49CA2" w14:textId="77777777" w:rsidR="009C2188" w:rsidRPr="003F513C" w:rsidRDefault="009C2188" w:rsidP="009C2188">
      <w:pPr>
        <w:pStyle w:val="ListBullet"/>
      </w:pPr>
      <w:r>
        <w:t>implementing pool printing and power-saving measures on all computers</w:t>
      </w:r>
    </w:p>
    <w:p w14:paraId="66B9E424" w14:textId="77777777" w:rsidR="009C2188" w:rsidRPr="003F513C" w:rsidRDefault="009C2188" w:rsidP="009C2188">
      <w:pPr>
        <w:pStyle w:val="ListBullet"/>
      </w:pPr>
      <w:r>
        <w:t>using highly energy efficient lighting with motion detection to automatically switch off in unstaffed areas.</w:t>
      </w:r>
    </w:p>
    <w:p w14:paraId="04722B7F" w14:textId="77777777" w:rsidR="009C2188" w:rsidRDefault="009C2188" w:rsidP="72087732">
      <w:pPr>
        <w:pStyle w:val="BodyText"/>
      </w:pPr>
      <w:r w:rsidRPr="002F6765">
        <w:t>Additionally, IBAC uses 100 per cent recycled paper produced from sustainable sources in all photocopiers.</w:t>
      </w:r>
      <w:r>
        <w:t xml:space="preserve"> </w:t>
      </w:r>
      <w:r w:rsidRPr="002F6765">
        <w:t xml:space="preserve">We provide paper recycling bins throughout office areas, and </w:t>
      </w:r>
      <w:r>
        <w:t xml:space="preserve">we </w:t>
      </w:r>
      <w:r w:rsidRPr="002F6765">
        <w:t>recycle all ink cartridges.</w:t>
      </w:r>
    </w:p>
    <w:p w14:paraId="166EA391" w14:textId="278D0F98" w:rsidR="008C4047" w:rsidRPr="002F6765" w:rsidRDefault="008C4047" w:rsidP="009C2188">
      <w:pPr>
        <w:pStyle w:val="BodyText"/>
      </w:pPr>
      <w:r w:rsidRPr="008C4047">
        <w:t>IBAC is a Tier 4 entity under the Financial Reporting Directive 24. Inclusion of indicators was determined by and aligned with the requirements for this tier as per the updated directive. Indicator T2 is excluded due to the nature of IBAC operations.</w:t>
      </w:r>
    </w:p>
    <w:p w14:paraId="4F6BD92B" w14:textId="4174C12C" w:rsidR="002B7D85" w:rsidRDefault="002B7D85" w:rsidP="00834775">
      <w:pPr>
        <w:pStyle w:val="Caption"/>
      </w:pPr>
      <w:r>
        <w:t xml:space="preserve">Table </w:t>
      </w:r>
      <w:r>
        <w:fldChar w:fldCharType="begin"/>
      </w:r>
      <w:r>
        <w:instrText xml:space="preserve"> SEQ Table \* ARABIC </w:instrText>
      </w:r>
      <w:r>
        <w:fldChar w:fldCharType="separate"/>
      </w:r>
      <w:r w:rsidR="008E7EFA">
        <w:rPr>
          <w:noProof/>
        </w:rPr>
        <w:t>33</w:t>
      </w:r>
      <w:r>
        <w:fldChar w:fldCharType="end"/>
      </w:r>
      <w:r>
        <w:t xml:space="preserve">: </w:t>
      </w:r>
      <w:r w:rsidRPr="005E66A0">
        <w:t>Energy use data</w:t>
      </w:r>
    </w:p>
    <w:tbl>
      <w:tblPr>
        <w:tblStyle w:val="CustomTablestandard"/>
        <w:tblW w:w="5000" w:type="pct"/>
        <w:tblLook w:val="04A0" w:firstRow="1" w:lastRow="0" w:firstColumn="1" w:lastColumn="0" w:noHBand="0" w:noVBand="1"/>
      </w:tblPr>
      <w:tblGrid>
        <w:gridCol w:w="2471"/>
        <w:gridCol w:w="2114"/>
        <w:gridCol w:w="2221"/>
        <w:gridCol w:w="2221"/>
      </w:tblGrid>
      <w:tr w:rsidR="008A5EC6" w:rsidRPr="0076521C" w14:paraId="40DC872C" w14:textId="77777777" w:rsidTr="009B688E">
        <w:trPr>
          <w:cnfStyle w:val="100000000000" w:firstRow="1" w:lastRow="0" w:firstColumn="0" w:lastColumn="0" w:oddVBand="0" w:evenVBand="0" w:oddHBand="0" w:evenHBand="0" w:firstRowFirstColumn="0" w:firstRowLastColumn="0" w:lastRowFirstColumn="0" w:lastRowLastColumn="0"/>
        </w:trPr>
        <w:tc>
          <w:tcPr>
            <w:tcW w:w="1369" w:type="pct"/>
          </w:tcPr>
          <w:p w14:paraId="5AA09D22" w14:textId="77777777" w:rsidR="008A5EC6" w:rsidRPr="0076521C" w:rsidRDefault="008A5EC6" w:rsidP="008A5EC6">
            <w:pPr>
              <w:pStyle w:val="TableHeading1"/>
            </w:pPr>
            <w:r w:rsidRPr="0076521C">
              <w:t>Indicator</w:t>
            </w:r>
          </w:p>
        </w:tc>
        <w:tc>
          <w:tcPr>
            <w:tcW w:w="1171" w:type="pct"/>
          </w:tcPr>
          <w:p w14:paraId="5EB8F98A" w14:textId="6E1C7FDE" w:rsidR="008A5EC6" w:rsidRPr="0076521C" w:rsidRDefault="000A1691" w:rsidP="008A5EC6">
            <w:pPr>
              <w:pStyle w:val="TableHeading3rightalign"/>
            </w:pPr>
            <w:r>
              <w:t>2022/23</w:t>
            </w:r>
          </w:p>
        </w:tc>
        <w:tc>
          <w:tcPr>
            <w:tcW w:w="1230" w:type="pct"/>
          </w:tcPr>
          <w:p w14:paraId="794A1B51" w14:textId="44BBE9A5" w:rsidR="008A5EC6" w:rsidRPr="0076521C" w:rsidRDefault="000A1691" w:rsidP="008A5EC6">
            <w:pPr>
              <w:pStyle w:val="TableHeading3rightalign"/>
            </w:pPr>
            <w:r>
              <w:t>2021/22</w:t>
            </w:r>
          </w:p>
        </w:tc>
        <w:tc>
          <w:tcPr>
            <w:tcW w:w="1230" w:type="pct"/>
          </w:tcPr>
          <w:p w14:paraId="2B06D9C1" w14:textId="1C26D7E7" w:rsidR="008A5EC6" w:rsidRPr="0076521C" w:rsidRDefault="000A1691" w:rsidP="008A5EC6">
            <w:pPr>
              <w:pStyle w:val="TableHeading3rightalign"/>
            </w:pPr>
            <w:r>
              <w:t>2020/21</w:t>
            </w:r>
          </w:p>
        </w:tc>
      </w:tr>
      <w:tr w:rsidR="008A5EC6" w:rsidRPr="0076521C" w14:paraId="07C59999" w14:textId="77777777" w:rsidTr="009B688E">
        <w:tc>
          <w:tcPr>
            <w:tcW w:w="1369" w:type="pct"/>
            <w:shd w:val="clear" w:color="auto" w:fill="auto"/>
          </w:tcPr>
          <w:p w14:paraId="673A7674" w14:textId="21A72300" w:rsidR="008A5EC6" w:rsidRPr="00D9061D" w:rsidRDefault="008A5EC6">
            <w:pPr>
              <w:pStyle w:val="TableBodyText"/>
              <w:rPr>
                <w:rStyle w:val="Characterbold"/>
                <w:rFonts w:asciiTheme="minorHAnsi" w:hAnsiTheme="minorHAnsi" w:cstheme="minorBidi"/>
              </w:rPr>
            </w:pPr>
            <w:r w:rsidRPr="0076521C">
              <w:rPr>
                <w:rStyle w:val="Characterbold"/>
              </w:rPr>
              <w:t>E</w:t>
            </w:r>
            <w:r w:rsidR="008C4047">
              <w:rPr>
                <w:rStyle w:val="Characterbold"/>
              </w:rPr>
              <w:t>L</w:t>
            </w:r>
            <w:r w:rsidRPr="0076521C">
              <w:rPr>
                <w:rStyle w:val="Characterbold"/>
              </w:rPr>
              <w:t xml:space="preserve">1. Total </w:t>
            </w:r>
            <w:r w:rsidR="008C4047">
              <w:rPr>
                <w:rStyle w:val="Characterbold"/>
              </w:rPr>
              <w:t xml:space="preserve">electricity consumption </w:t>
            </w:r>
            <w:r w:rsidRPr="0076521C">
              <w:rPr>
                <w:rStyle w:val="Characterbold"/>
              </w:rPr>
              <w:t>segmented by source (MJ)</w:t>
            </w:r>
          </w:p>
        </w:tc>
        <w:tc>
          <w:tcPr>
            <w:tcW w:w="1171" w:type="pct"/>
            <w:shd w:val="clear" w:color="auto" w:fill="F2F2F2" w:themeFill="background1" w:themeFillShade="F2"/>
          </w:tcPr>
          <w:p w14:paraId="48DF2751" w14:textId="59A0A31F" w:rsidR="008A5EC6" w:rsidRPr="00FE03E2" w:rsidRDefault="00F31239" w:rsidP="008A5EC6">
            <w:pPr>
              <w:pStyle w:val="TableBodyTextrightalign"/>
              <w:rPr>
                <w:rStyle w:val="Characterbold"/>
              </w:rPr>
            </w:pPr>
            <w:sdt>
              <w:sdtPr>
                <w:rPr>
                  <w:rStyle w:val="Characterbold"/>
                  <w:highlight w:val="green"/>
                </w:rPr>
                <w:id w:val="27230745"/>
                <w:placeholder>
                  <w:docPart w:val="8B3595ABC848415D9398DDC8C23C2011"/>
                </w:placeholder>
                <w:temporary/>
              </w:sdtPr>
              <w:sdtEndPr>
                <w:rPr>
                  <w:rStyle w:val="DefaultParagraphFont"/>
                  <w:b w:val="0"/>
                </w:rPr>
              </w:sdtEndPr>
              <w:sdtContent>
                <w:r w:rsidR="19A4AA04" w:rsidRPr="00FE03E2">
                  <w:rPr>
                    <w:rStyle w:val="Characterbold"/>
                  </w:rPr>
                  <w:t>2,186,682</w:t>
                </w:r>
              </w:sdtContent>
            </w:sdt>
          </w:p>
        </w:tc>
        <w:tc>
          <w:tcPr>
            <w:tcW w:w="1230" w:type="pct"/>
          </w:tcPr>
          <w:p w14:paraId="33F42CD6" w14:textId="66CEA6A1" w:rsidR="008A5EC6" w:rsidRPr="00FE03E2" w:rsidRDefault="008A5EC6" w:rsidP="008A5EC6">
            <w:pPr>
              <w:pStyle w:val="TableBodyTextrightalign"/>
              <w:rPr>
                <w:rStyle w:val="Characterbold"/>
              </w:rPr>
            </w:pPr>
            <w:r w:rsidRPr="00FE03E2">
              <w:rPr>
                <w:rStyle w:val="Characterbold"/>
              </w:rPr>
              <w:t>2,459,968</w:t>
            </w:r>
          </w:p>
        </w:tc>
        <w:tc>
          <w:tcPr>
            <w:tcW w:w="1230" w:type="pct"/>
            <w:shd w:val="clear" w:color="auto" w:fill="auto"/>
          </w:tcPr>
          <w:p w14:paraId="3968E27D" w14:textId="1838E744" w:rsidR="008A5EC6" w:rsidRPr="00FE03E2" w:rsidRDefault="008A5EC6" w:rsidP="008A5EC6">
            <w:pPr>
              <w:pStyle w:val="TableBodyTextrightalign"/>
              <w:rPr>
                <w:rStyle w:val="Characterbold"/>
              </w:rPr>
            </w:pPr>
            <w:r w:rsidRPr="00FE03E2">
              <w:rPr>
                <w:rStyle w:val="Characterbold"/>
              </w:rPr>
              <w:t>2,224,334</w:t>
            </w:r>
          </w:p>
        </w:tc>
      </w:tr>
      <w:tr w:rsidR="00D61639" w:rsidRPr="0076521C" w14:paraId="5E20AB4B" w14:textId="77777777" w:rsidTr="009B688E">
        <w:tc>
          <w:tcPr>
            <w:tcW w:w="1369" w:type="pct"/>
            <w:shd w:val="clear" w:color="auto" w:fill="auto"/>
          </w:tcPr>
          <w:p w14:paraId="42A2414C" w14:textId="7149F809" w:rsidR="00D61639" w:rsidRPr="00D9061D" w:rsidRDefault="00D61639">
            <w:pPr>
              <w:pStyle w:val="TableBodyText"/>
              <w:rPr>
                <w:rFonts w:asciiTheme="minorHAnsi" w:hAnsiTheme="minorHAnsi" w:cstheme="minorBidi"/>
              </w:rPr>
            </w:pPr>
            <w:r w:rsidRPr="0076521C">
              <w:t xml:space="preserve">Electricity (MJ) – excluding </w:t>
            </w:r>
            <w:r w:rsidR="000F7C95">
              <w:t>g</w:t>
            </w:r>
            <w:r w:rsidRPr="0076521C">
              <w:t xml:space="preserve">reen </w:t>
            </w:r>
            <w:r w:rsidR="000F7C95">
              <w:t>p</w:t>
            </w:r>
            <w:r w:rsidRPr="0076521C">
              <w:t>ower</w:t>
            </w:r>
          </w:p>
        </w:tc>
        <w:tc>
          <w:tcPr>
            <w:tcW w:w="1171" w:type="pct"/>
            <w:shd w:val="clear" w:color="auto" w:fill="F2F2F2" w:themeFill="background1" w:themeFillShade="F2"/>
          </w:tcPr>
          <w:p w14:paraId="65AFDBB8" w14:textId="458C8595" w:rsidR="00D61639" w:rsidRPr="00FE03E2" w:rsidRDefault="47D76FB8" w:rsidP="00D61639">
            <w:pPr>
              <w:pStyle w:val="TableBodyTextrightalign"/>
            </w:pPr>
            <w:r w:rsidRPr="00FE03E2">
              <w:t>2,186,682</w:t>
            </w:r>
          </w:p>
        </w:tc>
        <w:tc>
          <w:tcPr>
            <w:tcW w:w="1230" w:type="pct"/>
          </w:tcPr>
          <w:p w14:paraId="268D1D41" w14:textId="3BC4E33B" w:rsidR="00D61639" w:rsidRPr="00FE03E2" w:rsidRDefault="00D61639" w:rsidP="00D61639">
            <w:pPr>
              <w:pStyle w:val="TableBodyTextrightalign"/>
            </w:pPr>
            <w:r w:rsidRPr="00FE03E2">
              <w:t>2,459,968</w:t>
            </w:r>
          </w:p>
        </w:tc>
        <w:tc>
          <w:tcPr>
            <w:tcW w:w="1230" w:type="pct"/>
            <w:shd w:val="clear" w:color="auto" w:fill="auto"/>
          </w:tcPr>
          <w:p w14:paraId="0EA80050" w14:textId="5223A350" w:rsidR="00D61639" w:rsidRPr="00FE03E2" w:rsidRDefault="00D61639" w:rsidP="00D61639">
            <w:pPr>
              <w:pStyle w:val="TableBodyTextrightalign"/>
            </w:pPr>
            <w:r w:rsidRPr="00FE03E2">
              <w:t>2,224,334</w:t>
            </w:r>
          </w:p>
        </w:tc>
      </w:tr>
      <w:tr w:rsidR="00D61639" w:rsidRPr="0076521C" w14:paraId="3F1A7150" w14:textId="77777777" w:rsidTr="009B688E">
        <w:tc>
          <w:tcPr>
            <w:tcW w:w="1369" w:type="pct"/>
            <w:shd w:val="clear" w:color="auto" w:fill="auto"/>
          </w:tcPr>
          <w:p w14:paraId="265838DC" w14:textId="77777777" w:rsidR="00D61639" w:rsidRPr="00D9061D" w:rsidRDefault="00D61639">
            <w:pPr>
              <w:pStyle w:val="TableBodyText"/>
              <w:rPr>
                <w:rFonts w:asciiTheme="minorHAnsi" w:hAnsiTheme="minorHAnsi" w:cstheme="minorBidi"/>
              </w:rPr>
            </w:pPr>
            <w:r w:rsidRPr="0076521C">
              <w:t>Natural gas (MJ)</w:t>
            </w:r>
          </w:p>
        </w:tc>
        <w:tc>
          <w:tcPr>
            <w:tcW w:w="1171" w:type="pct"/>
            <w:shd w:val="clear" w:color="auto" w:fill="F2F2F2" w:themeFill="background1" w:themeFillShade="F2"/>
          </w:tcPr>
          <w:p w14:paraId="218A16E2" w14:textId="01F87C10" w:rsidR="00D61639" w:rsidRPr="0076521C" w:rsidRDefault="00FD67FA" w:rsidP="009B3111">
            <w:pPr>
              <w:pStyle w:val="TableBodyTextrightalign"/>
            </w:pPr>
            <w:r w:rsidRPr="0076521C">
              <w:t>–</w:t>
            </w:r>
          </w:p>
        </w:tc>
        <w:tc>
          <w:tcPr>
            <w:tcW w:w="1230" w:type="pct"/>
          </w:tcPr>
          <w:p w14:paraId="499C901A" w14:textId="1078A3FE" w:rsidR="00D61639" w:rsidRPr="0076521C" w:rsidRDefault="00D61639" w:rsidP="00D61639">
            <w:pPr>
              <w:pStyle w:val="TableBodyTextrightalign"/>
            </w:pPr>
            <w:r w:rsidRPr="0076521C">
              <w:t>–</w:t>
            </w:r>
          </w:p>
        </w:tc>
        <w:tc>
          <w:tcPr>
            <w:tcW w:w="1230" w:type="pct"/>
            <w:shd w:val="clear" w:color="auto" w:fill="auto"/>
          </w:tcPr>
          <w:p w14:paraId="16511189" w14:textId="24FCA27F" w:rsidR="00D61639" w:rsidRPr="0076521C" w:rsidRDefault="00D61639" w:rsidP="00D61639">
            <w:pPr>
              <w:pStyle w:val="TableBodyTextrightalign"/>
            </w:pPr>
            <w:r w:rsidRPr="0076521C">
              <w:t>–</w:t>
            </w:r>
          </w:p>
        </w:tc>
      </w:tr>
      <w:tr w:rsidR="00D61639" w:rsidRPr="0076521C" w14:paraId="1C1145CC" w14:textId="77777777" w:rsidTr="009B688E">
        <w:tc>
          <w:tcPr>
            <w:tcW w:w="1369" w:type="pct"/>
            <w:shd w:val="clear" w:color="auto" w:fill="auto"/>
          </w:tcPr>
          <w:p w14:paraId="7479DAE8" w14:textId="20541390" w:rsidR="00D61639" w:rsidRPr="00D9061D" w:rsidRDefault="00D61639">
            <w:pPr>
              <w:pStyle w:val="TableBodyText"/>
              <w:rPr>
                <w:rFonts w:asciiTheme="minorHAnsi" w:hAnsiTheme="minorHAnsi" w:cstheme="minorBidi"/>
              </w:rPr>
            </w:pPr>
            <w:r w:rsidRPr="0076521C">
              <w:t xml:space="preserve">Green </w:t>
            </w:r>
            <w:r w:rsidR="000F7C95">
              <w:t>p</w:t>
            </w:r>
            <w:r w:rsidRPr="0076521C">
              <w:t>ower (MJ)</w:t>
            </w:r>
          </w:p>
        </w:tc>
        <w:tc>
          <w:tcPr>
            <w:tcW w:w="1171" w:type="pct"/>
            <w:shd w:val="clear" w:color="auto" w:fill="F2F2F2" w:themeFill="background1" w:themeFillShade="F2"/>
          </w:tcPr>
          <w:p w14:paraId="01CFF61D" w14:textId="40AD787B" w:rsidR="00D61639" w:rsidRPr="0076521C" w:rsidRDefault="00FD67FA" w:rsidP="00D61639">
            <w:pPr>
              <w:pStyle w:val="TableBodyTextrightalign"/>
            </w:pPr>
            <w:r w:rsidRPr="0076521C">
              <w:t>–</w:t>
            </w:r>
          </w:p>
        </w:tc>
        <w:tc>
          <w:tcPr>
            <w:tcW w:w="1230" w:type="pct"/>
          </w:tcPr>
          <w:p w14:paraId="22216584" w14:textId="1B284E42" w:rsidR="00D61639" w:rsidRPr="0076521C" w:rsidRDefault="00D61639" w:rsidP="00D61639">
            <w:pPr>
              <w:pStyle w:val="TableBodyTextrightalign"/>
            </w:pPr>
            <w:r w:rsidRPr="0076521C">
              <w:t>–</w:t>
            </w:r>
          </w:p>
        </w:tc>
        <w:tc>
          <w:tcPr>
            <w:tcW w:w="1230" w:type="pct"/>
            <w:shd w:val="clear" w:color="auto" w:fill="auto"/>
          </w:tcPr>
          <w:p w14:paraId="76404E85" w14:textId="125D13CD" w:rsidR="00D61639" w:rsidRPr="0076521C" w:rsidRDefault="00D61639" w:rsidP="00D61639">
            <w:pPr>
              <w:pStyle w:val="TableBodyTextrightalign"/>
            </w:pPr>
            <w:r w:rsidRPr="0076521C">
              <w:t>–</w:t>
            </w:r>
          </w:p>
        </w:tc>
      </w:tr>
      <w:tr w:rsidR="00D61639" w:rsidRPr="0076521C" w14:paraId="2DDA818B" w14:textId="77777777" w:rsidTr="009B688E">
        <w:tc>
          <w:tcPr>
            <w:tcW w:w="1369" w:type="pct"/>
            <w:shd w:val="clear" w:color="auto" w:fill="auto"/>
          </w:tcPr>
          <w:p w14:paraId="5DAF51CA" w14:textId="77777777" w:rsidR="00D61639" w:rsidRPr="00D9061D" w:rsidRDefault="00D61639">
            <w:pPr>
              <w:pStyle w:val="TableBodyText"/>
              <w:rPr>
                <w:rFonts w:asciiTheme="minorHAnsi" w:hAnsiTheme="minorHAnsi" w:cstheme="minorBidi"/>
              </w:rPr>
            </w:pPr>
            <w:r w:rsidRPr="0076521C">
              <w:t>LPG (MJ)</w:t>
            </w:r>
          </w:p>
        </w:tc>
        <w:tc>
          <w:tcPr>
            <w:tcW w:w="1171" w:type="pct"/>
            <w:shd w:val="clear" w:color="auto" w:fill="F2F2F2" w:themeFill="background1" w:themeFillShade="F2"/>
          </w:tcPr>
          <w:p w14:paraId="29E19271" w14:textId="70A0F424" w:rsidR="00D61639" w:rsidRPr="0076521C" w:rsidRDefault="00FD67FA" w:rsidP="00D61639">
            <w:pPr>
              <w:pStyle w:val="TableBodyTextrightalign"/>
            </w:pPr>
            <w:r w:rsidRPr="0076521C">
              <w:t>–</w:t>
            </w:r>
          </w:p>
        </w:tc>
        <w:tc>
          <w:tcPr>
            <w:tcW w:w="1230" w:type="pct"/>
          </w:tcPr>
          <w:p w14:paraId="4DBBCDA5" w14:textId="39BD93EB" w:rsidR="00D61639" w:rsidRPr="0076521C" w:rsidRDefault="00D61639" w:rsidP="00D61639">
            <w:pPr>
              <w:pStyle w:val="TableBodyTextrightalign"/>
            </w:pPr>
            <w:r w:rsidRPr="0076521C">
              <w:t>–</w:t>
            </w:r>
          </w:p>
        </w:tc>
        <w:tc>
          <w:tcPr>
            <w:tcW w:w="1230" w:type="pct"/>
            <w:shd w:val="clear" w:color="auto" w:fill="auto"/>
          </w:tcPr>
          <w:p w14:paraId="38CD0F8E" w14:textId="1414DC73" w:rsidR="00D61639" w:rsidRPr="0076521C" w:rsidRDefault="00D61639" w:rsidP="00D61639">
            <w:pPr>
              <w:pStyle w:val="TableBodyTextrightalign"/>
            </w:pPr>
            <w:r w:rsidRPr="0076521C">
              <w:t>–</w:t>
            </w:r>
          </w:p>
        </w:tc>
      </w:tr>
      <w:tr w:rsidR="00D61639" w:rsidRPr="0076521C" w14:paraId="60AE71F8" w14:textId="77777777" w:rsidTr="009B688E">
        <w:tc>
          <w:tcPr>
            <w:tcW w:w="1369" w:type="pct"/>
            <w:shd w:val="clear" w:color="auto" w:fill="auto"/>
          </w:tcPr>
          <w:p w14:paraId="10563CA6" w14:textId="42291735" w:rsidR="00D61639" w:rsidRPr="0076521C" w:rsidRDefault="00D61639" w:rsidP="00D61639">
            <w:pPr>
              <w:pStyle w:val="TableBodyText"/>
              <w:rPr>
                <w:rStyle w:val="Characterbold"/>
              </w:rPr>
            </w:pPr>
            <w:r w:rsidRPr="0076521C">
              <w:rPr>
                <w:rStyle w:val="Characterbold"/>
              </w:rPr>
              <w:t>E</w:t>
            </w:r>
            <w:r w:rsidR="008C4047">
              <w:rPr>
                <w:rStyle w:val="Characterbold"/>
              </w:rPr>
              <w:t>L</w:t>
            </w:r>
            <w:r w:rsidRPr="0076521C">
              <w:rPr>
                <w:rStyle w:val="Characterbold"/>
              </w:rPr>
              <w:t>4.</w:t>
            </w:r>
            <w:r w:rsidR="003A4200">
              <w:rPr>
                <w:rStyle w:val="Characterbold"/>
              </w:rPr>
              <w:t xml:space="preserve"> </w:t>
            </w:r>
            <w:r w:rsidR="008C4047" w:rsidRPr="00D9061D">
              <w:rPr>
                <w:rStyle w:val="Characterbold"/>
              </w:rPr>
              <w:t>Total electricity offsets segmented by offset type</w:t>
            </w:r>
          </w:p>
        </w:tc>
        <w:tc>
          <w:tcPr>
            <w:tcW w:w="1171" w:type="pct"/>
            <w:shd w:val="clear" w:color="auto" w:fill="F2F2F2" w:themeFill="background1" w:themeFillShade="F2"/>
          </w:tcPr>
          <w:p w14:paraId="576156B7" w14:textId="4BE7840F" w:rsidR="00D61639" w:rsidRPr="0076521C" w:rsidRDefault="00FB00DC" w:rsidP="00D61639">
            <w:pPr>
              <w:pStyle w:val="TableBodyTextrightalign"/>
              <w:rPr>
                <w:rStyle w:val="Characterbold"/>
              </w:rPr>
            </w:pPr>
            <w:r w:rsidRPr="00FB00DC">
              <w:rPr>
                <w:rStyle w:val="Characterbold"/>
              </w:rPr>
              <w:t>–</w:t>
            </w:r>
          </w:p>
        </w:tc>
        <w:tc>
          <w:tcPr>
            <w:tcW w:w="1230" w:type="pct"/>
          </w:tcPr>
          <w:p w14:paraId="4C487CFA" w14:textId="407232CF" w:rsidR="00D61639" w:rsidRPr="0076521C" w:rsidRDefault="00FB00DC" w:rsidP="00D61639">
            <w:pPr>
              <w:pStyle w:val="TableBodyTextrightalign"/>
              <w:rPr>
                <w:rStyle w:val="Characterbold"/>
              </w:rPr>
            </w:pPr>
            <w:r w:rsidRPr="00FB00DC">
              <w:rPr>
                <w:rStyle w:val="Characterbold"/>
              </w:rPr>
              <w:t>–</w:t>
            </w:r>
          </w:p>
        </w:tc>
        <w:tc>
          <w:tcPr>
            <w:tcW w:w="1230" w:type="pct"/>
            <w:shd w:val="clear" w:color="auto" w:fill="auto"/>
          </w:tcPr>
          <w:p w14:paraId="13EF5C23" w14:textId="31776F8B" w:rsidR="00D61639" w:rsidRPr="0076521C" w:rsidRDefault="00FB00DC" w:rsidP="00D61639">
            <w:pPr>
              <w:pStyle w:val="TableBodyTextrightalign"/>
              <w:rPr>
                <w:rStyle w:val="Characterbold"/>
              </w:rPr>
            </w:pPr>
            <w:r w:rsidRPr="00FB00DC">
              <w:rPr>
                <w:rStyle w:val="Characterbold"/>
              </w:rPr>
              <w:t>–</w:t>
            </w:r>
          </w:p>
        </w:tc>
      </w:tr>
    </w:tbl>
    <w:p w14:paraId="578D14DE" w14:textId="7436F1CE" w:rsidR="009B688E" w:rsidRPr="00ED79A2" w:rsidRDefault="009B688E" w:rsidP="00ED79A2">
      <w:pPr>
        <w:pStyle w:val="BodyText"/>
      </w:pPr>
      <w:r w:rsidRPr="00107DDC">
        <w:t xml:space="preserve">IBAC’s NABERS Water rating is 5 stars for the </w:t>
      </w:r>
      <w:r w:rsidR="000A1691">
        <w:t>2021/22</w:t>
      </w:r>
      <w:r w:rsidRPr="00107DDC">
        <w:t xml:space="preserve"> financial year. Detail is available in </w:t>
      </w:r>
      <w:r w:rsidR="002B7D85">
        <w:fldChar w:fldCharType="begin"/>
      </w:r>
      <w:r w:rsidR="002B7D85">
        <w:instrText xml:space="preserve"> REF _Ref140854656 \h </w:instrText>
      </w:r>
      <w:r w:rsidR="002B7D85">
        <w:fldChar w:fldCharType="separate"/>
      </w:r>
      <w:r w:rsidR="008E7EFA">
        <w:t xml:space="preserve">Table </w:t>
      </w:r>
      <w:r w:rsidR="008E7EFA">
        <w:rPr>
          <w:noProof/>
        </w:rPr>
        <w:t>34</w:t>
      </w:r>
      <w:r w:rsidR="002B7D85">
        <w:fldChar w:fldCharType="end"/>
      </w:r>
      <w:r w:rsidRPr="00107DDC">
        <w:t>. As this is a new reporting requirement and the data for the current financial year was not available in time to be included in this report, it is reported in arrears.</w:t>
      </w:r>
    </w:p>
    <w:p w14:paraId="1194FCBF" w14:textId="77777777" w:rsidR="000067BA" w:rsidRPr="007211D6" w:rsidRDefault="000067BA" w:rsidP="007211D6">
      <w:bookmarkStart w:id="276" w:name="_Ref140854656"/>
      <w:r>
        <w:br w:type="page"/>
      </w:r>
    </w:p>
    <w:p w14:paraId="79FE88D8" w14:textId="3DAF852E" w:rsidR="002B7D85" w:rsidRDefault="002B7D85" w:rsidP="00834775">
      <w:pPr>
        <w:pStyle w:val="Caption"/>
      </w:pPr>
      <w:r>
        <w:t xml:space="preserve">Table </w:t>
      </w:r>
      <w:r>
        <w:fldChar w:fldCharType="begin"/>
      </w:r>
      <w:r>
        <w:instrText xml:space="preserve"> SEQ Table \* ARABIC </w:instrText>
      </w:r>
      <w:r>
        <w:fldChar w:fldCharType="separate"/>
      </w:r>
      <w:r w:rsidR="008E7EFA">
        <w:rPr>
          <w:noProof/>
        </w:rPr>
        <w:t>34</w:t>
      </w:r>
      <w:r>
        <w:fldChar w:fldCharType="end"/>
      </w:r>
      <w:bookmarkEnd w:id="276"/>
      <w:r>
        <w:t xml:space="preserve">: </w:t>
      </w:r>
      <w:r w:rsidRPr="001B655F">
        <w:t xml:space="preserve">NABERS </w:t>
      </w:r>
      <w:r>
        <w:t>e</w:t>
      </w:r>
      <w:r w:rsidRPr="001B655F">
        <w:t>nergy ratings</w:t>
      </w:r>
    </w:p>
    <w:tbl>
      <w:tblPr>
        <w:tblStyle w:val="CustomTablestandard"/>
        <w:tblW w:w="2512" w:type="pct"/>
        <w:tblLook w:val="04A0" w:firstRow="1" w:lastRow="0" w:firstColumn="1" w:lastColumn="0" w:noHBand="0" w:noVBand="1"/>
      </w:tblPr>
      <w:tblGrid>
        <w:gridCol w:w="2551"/>
        <w:gridCol w:w="1984"/>
      </w:tblGrid>
      <w:tr w:rsidR="009B688E" w:rsidRPr="0076521C" w14:paraId="11FDE600" w14:textId="77777777">
        <w:trPr>
          <w:cnfStyle w:val="100000000000" w:firstRow="1" w:lastRow="0" w:firstColumn="0" w:lastColumn="0" w:oddVBand="0" w:evenVBand="0" w:oddHBand="0" w:evenHBand="0" w:firstRowFirstColumn="0" w:firstRowLastColumn="0" w:lastRowFirstColumn="0" w:lastRowLastColumn="0"/>
          <w:trHeight w:val="284"/>
        </w:trPr>
        <w:tc>
          <w:tcPr>
            <w:tcW w:w="2813" w:type="pct"/>
          </w:tcPr>
          <w:p w14:paraId="28BCDA77" w14:textId="77777777" w:rsidR="009B688E" w:rsidRPr="0076521C" w:rsidRDefault="009B688E">
            <w:pPr>
              <w:pStyle w:val="TableHeading1"/>
            </w:pPr>
            <w:r w:rsidRPr="0076521C">
              <w:t>Indicator</w:t>
            </w:r>
          </w:p>
        </w:tc>
        <w:tc>
          <w:tcPr>
            <w:tcW w:w="2187" w:type="pct"/>
          </w:tcPr>
          <w:p w14:paraId="7015DE4B" w14:textId="048B5416" w:rsidR="009B688E" w:rsidRPr="0076521C" w:rsidRDefault="000A1691" w:rsidP="00A07B34">
            <w:pPr>
              <w:pStyle w:val="TableHeading1"/>
            </w:pPr>
            <w:r>
              <w:t>2021/22</w:t>
            </w:r>
          </w:p>
        </w:tc>
      </w:tr>
      <w:tr w:rsidR="009B688E" w:rsidRPr="0076521C" w14:paraId="440695A2" w14:textId="77777777">
        <w:trPr>
          <w:trHeight w:val="367"/>
        </w:trPr>
        <w:tc>
          <w:tcPr>
            <w:tcW w:w="2813" w:type="pct"/>
            <w:shd w:val="clear" w:color="auto" w:fill="auto"/>
          </w:tcPr>
          <w:p w14:paraId="546D4020" w14:textId="77777777" w:rsidR="009B688E" w:rsidRPr="00ED79A2" w:rsidRDefault="009B688E" w:rsidP="00ED79A2">
            <w:pPr>
              <w:pStyle w:val="TableBodyText"/>
              <w:rPr>
                <w:rFonts w:eastAsiaTheme="minorHAnsi"/>
              </w:rPr>
            </w:pPr>
            <w:r w:rsidRPr="00ED79A2">
              <w:t>Total water consumption</w:t>
            </w:r>
          </w:p>
        </w:tc>
        <w:tc>
          <w:tcPr>
            <w:tcW w:w="2187" w:type="pct"/>
            <w:shd w:val="clear" w:color="auto" w:fill="F2F2F2" w:themeFill="background1" w:themeFillShade="F2"/>
          </w:tcPr>
          <w:p w14:paraId="7E41F951" w14:textId="1EF6545A" w:rsidR="009B688E" w:rsidRPr="00ED79A2" w:rsidRDefault="009B688E" w:rsidP="00ED79A2">
            <w:pPr>
              <w:pStyle w:val="TableBodyText"/>
            </w:pPr>
            <w:r w:rsidRPr="00ED79A2">
              <w:t>9</w:t>
            </w:r>
            <w:r w:rsidR="001E1532" w:rsidRPr="00ED79A2">
              <w:t>,</w:t>
            </w:r>
            <w:r w:rsidRPr="00ED79A2">
              <w:t>540.0 kL</w:t>
            </w:r>
          </w:p>
        </w:tc>
      </w:tr>
      <w:tr w:rsidR="009B688E" w:rsidRPr="0076521C" w14:paraId="1498E087" w14:textId="77777777">
        <w:trPr>
          <w:trHeight w:val="415"/>
        </w:trPr>
        <w:tc>
          <w:tcPr>
            <w:tcW w:w="2813" w:type="pct"/>
            <w:shd w:val="clear" w:color="auto" w:fill="auto"/>
          </w:tcPr>
          <w:p w14:paraId="4BA72F68" w14:textId="77777777" w:rsidR="009B688E" w:rsidRPr="00D9061D" w:rsidRDefault="009B688E" w:rsidP="00C86DBA">
            <w:pPr>
              <w:pStyle w:val="TableBodyText"/>
              <w:rPr>
                <w:rFonts w:asciiTheme="minorHAnsi" w:hAnsiTheme="minorHAnsi" w:cstheme="minorBidi"/>
              </w:rPr>
            </w:pPr>
            <w:r w:rsidRPr="00D0054D">
              <w:t>Water consumption per m²</w:t>
            </w:r>
          </w:p>
        </w:tc>
        <w:tc>
          <w:tcPr>
            <w:tcW w:w="2187" w:type="pct"/>
            <w:shd w:val="clear" w:color="auto" w:fill="F2F2F2" w:themeFill="background1" w:themeFillShade="F2"/>
          </w:tcPr>
          <w:p w14:paraId="67D29487" w14:textId="6E857C2D" w:rsidR="009B688E" w:rsidRPr="00FD67FA" w:rsidRDefault="009B688E" w:rsidP="00FD67FA">
            <w:pPr>
              <w:pStyle w:val="TableBodyText"/>
            </w:pPr>
            <w:r w:rsidRPr="00FD67FA">
              <w:t>0.346 kL/m</w:t>
            </w:r>
            <w:r w:rsidR="002107BB" w:rsidRPr="00FD67FA">
              <w:t>²</w:t>
            </w:r>
          </w:p>
        </w:tc>
      </w:tr>
      <w:tr w:rsidR="009B688E" w:rsidRPr="0076521C" w14:paraId="5147FCB2" w14:textId="77777777">
        <w:trPr>
          <w:trHeight w:val="297"/>
        </w:trPr>
        <w:tc>
          <w:tcPr>
            <w:tcW w:w="2813" w:type="pct"/>
            <w:shd w:val="clear" w:color="auto" w:fill="auto"/>
          </w:tcPr>
          <w:p w14:paraId="47EA5A95" w14:textId="77777777" w:rsidR="009B688E" w:rsidRPr="00D9061D" w:rsidRDefault="009B688E" w:rsidP="00C86DBA">
            <w:pPr>
              <w:pStyle w:val="TableBodyText"/>
              <w:rPr>
                <w:rFonts w:asciiTheme="minorHAnsi" w:hAnsiTheme="minorHAnsi" w:cstheme="minorBidi"/>
              </w:rPr>
            </w:pPr>
            <w:r w:rsidRPr="00326CBB">
              <w:t>Normalised water consumption</w:t>
            </w:r>
          </w:p>
        </w:tc>
        <w:tc>
          <w:tcPr>
            <w:tcW w:w="2187" w:type="pct"/>
            <w:shd w:val="clear" w:color="auto" w:fill="F2F2F2" w:themeFill="background1" w:themeFillShade="F2"/>
          </w:tcPr>
          <w:p w14:paraId="04A1E12C" w14:textId="082FD842" w:rsidR="009B688E" w:rsidRPr="00FD67FA" w:rsidRDefault="009B688E" w:rsidP="00FD67FA">
            <w:pPr>
              <w:pStyle w:val="TableBodyText"/>
            </w:pPr>
            <w:r w:rsidRPr="00FD67FA">
              <w:t>0.346 kL/m²</w:t>
            </w:r>
          </w:p>
        </w:tc>
      </w:tr>
    </w:tbl>
    <w:p w14:paraId="7B360A4D" w14:textId="77777777" w:rsidR="009C2188" w:rsidRPr="002F6765" w:rsidRDefault="009C2188">
      <w:pPr>
        <w:pStyle w:val="Heading2"/>
      </w:pPr>
      <w:bookmarkStart w:id="277" w:name="_Toc133585248"/>
      <w:bookmarkStart w:id="278" w:name="_Toc133920523"/>
      <w:bookmarkStart w:id="279" w:name="_Ref149162851"/>
      <w:bookmarkStart w:id="280" w:name="_Ref149166052"/>
      <w:r w:rsidRPr="002F6765">
        <w:t xml:space="preserve">Additional </w:t>
      </w:r>
      <w:r w:rsidRPr="00876600">
        <w:t>information</w:t>
      </w:r>
      <w:r w:rsidRPr="002F6765">
        <w:t xml:space="preserve"> available on request</w:t>
      </w:r>
      <w:bookmarkEnd w:id="277"/>
      <w:bookmarkEnd w:id="278"/>
      <w:bookmarkEnd w:id="279"/>
      <w:bookmarkEnd w:id="280"/>
    </w:p>
    <w:p w14:paraId="6336195E" w14:textId="6C0452AD" w:rsidR="009C2188" w:rsidRPr="002F6765" w:rsidRDefault="009C2188" w:rsidP="009C2188">
      <w:pPr>
        <w:pStyle w:val="BodyText"/>
      </w:pPr>
      <w:r w:rsidRPr="00876600">
        <w:t>Subject</w:t>
      </w:r>
      <w:r w:rsidRPr="002F6765">
        <w:t xml:space="preserve"> to the provisions of the FOI Act, information that shall be retained by the </w:t>
      </w:r>
      <w:r w:rsidR="00190CAA">
        <w:t>a</w:t>
      </w:r>
      <w:r w:rsidRPr="002F6765">
        <w:t xml:space="preserve">ccountable </w:t>
      </w:r>
      <w:r w:rsidR="00190CAA">
        <w:t>o</w:t>
      </w:r>
      <w:r w:rsidRPr="002F6765">
        <w:t>fficer shall include:</w:t>
      </w:r>
    </w:p>
    <w:p w14:paraId="2D780C7B" w14:textId="77777777" w:rsidR="009C2188" w:rsidRPr="00876600" w:rsidRDefault="009C2188" w:rsidP="009C2188">
      <w:pPr>
        <w:pStyle w:val="ListBullet"/>
      </w:pPr>
      <w:bookmarkStart w:id="281" w:name="_Hlk78467138"/>
      <w:r>
        <w:t>a statement that declarations of pecuniary interests have been duly completed by all relevant officers</w:t>
      </w:r>
    </w:p>
    <w:bookmarkEnd w:id="281"/>
    <w:p w14:paraId="7183A2A6" w14:textId="77777777" w:rsidR="009C2188" w:rsidRPr="00876600" w:rsidRDefault="009C2188" w:rsidP="009C2188">
      <w:pPr>
        <w:pStyle w:val="ListBullet"/>
      </w:pPr>
      <w:r>
        <w:t>details of shares held by a senior officer as nominee or held beneficially in a statutory authority or subsidiary</w:t>
      </w:r>
    </w:p>
    <w:p w14:paraId="62039D95" w14:textId="77777777" w:rsidR="009C2188" w:rsidRPr="00876600" w:rsidRDefault="009C2188" w:rsidP="009C2188">
      <w:pPr>
        <w:pStyle w:val="ListBullet"/>
      </w:pPr>
      <w:r>
        <w:t>details of publications produced by the entity about itself, and how these can be obtained</w:t>
      </w:r>
    </w:p>
    <w:p w14:paraId="3FC150E5" w14:textId="77777777" w:rsidR="009C2188" w:rsidRPr="00876600" w:rsidRDefault="009C2188" w:rsidP="009C2188">
      <w:pPr>
        <w:pStyle w:val="ListBullet"/>
      </w:pPr>
      <w:r>
        <w:t>details of changes in prices, fees, charges, rates and levies charged by the entity</w:t>
      </w:r>
    </w:p>
    <w:p w14:paraId="76492D04" w14:textId="77777777" w:rsidR="009C2188" w:rsidRPr="00876600" w:rsidRDefault="009C2188" w:rsidP="009C2188">
      <w:pPr>
        <w:pStyle w:val="ListBullet"/>
      </w:pPr>
      <w:r>
        <w:t>details of any major external reviews carried out on the entity</w:t>
      </w:r>
    </w:p>
    <w:p w14:paraId="7050EBC2" w14:textId="77777777" w:rsidR="009C2188" w:rsidRPr="00876600" w:rsidRDefault="009C2188" w:rsidP="009C2188">
      <w:pPr>
        <w:pStyle w:val="ListBullet"/>
      </w:pPr>
      <w:r>
        <w:t>details of major research and development activities undertaken by the entity</w:t>
      </w:r>
    </w:p>
    <w:p w14:paraId="6B7174AC" w14:textId="77777777" w:rsidR="009C2188" w:rsidRPr="00876600" w:rsidRDefault="009C2188" w:rsidP="009C2188">
      <w:pPr>
        <w:pStyle w:val="ListBullet"/>
      </w:pPr>
      <w:r>
        <w:t>details of overseas visits undertaken, including a summary of the objectives and outcomes of each visit</w:t>
      </w:r>
    </w:p>
    <w:p w14:paraId="7A95ECC8" w14:textId="77777777" w:rsidR="009C2188" w:rsidRPr="00876600" w:rsidRDefault="009C2188" w:rsidP="009C2188">
      <w:pPr>
        <w:pStyle w:val="ListBullet"/>
      </w:pPr>
      <w:r>
        <w:t>details of major promotional, public relations and marketing activities undertaken by the entity to develop community awareness of the entity and its services</w:t>
      </w:r>
    </w:p>
    <w:p w14:paraId="64A9B010" w14:textId="77777777" w:rsidR="009C2188" w:rsidRPr="00876600" w:rsidRDefault="009C2188" w:rsidP="009C2188">
      <w:pPr>
        <w:pStyle w:val="ListBullet"/>
      </w:pPr>
      <w:r>
        <w:t>details of assessments and measures undertaken to improve the OHS of employees</w:t>
      </w:r>
    </w:p>
    <w:p w14:paraId="5CD435F2" w14:textId="77777777" w:rsidR="009C2188" w:rsidRPr="00876600" w:rsidRDefault="009C2188" w:rsidP="009C2188">
      <w:pPr>
        <w:pStyle w:val="ListBullet"/>
      </w:pPr>
      <w:r>
        <w:t>a general statement on industrial relations within the entity and details of time lost through industrial accidents and disputes</w:t>
      </w:r>
    </w:p>
    <w:p w14:paraId="5426607A" w14:textId="77777777" w:rsidR="009C2188" w:rsidRPr="00876600" w:rsidRDefault="009C2188" w:rsidP="009C2188">
      <w:pPr>
        <w:pStyle w:val="ListBullet"/>
      </w:pPr>
      <w:r>
        <w:t>a list of major committees sponsored by the entity, the purposes of each committee and the extent to which the purposes have been achieved</w:t>
      </w:r>
    </w:p>
    <w:p w14:paraId="5F5000CF" w14:textId="77777777" w:rsidR="009C2188" w:rsidRPr="00876600" w:rsidRDefault="009C2188" w:rsidP="009C2188">
      <w:pPr>
        <w:pStyle w:val="ListBullet"/>
      </w:pPr>
      <w:r>
        <w:t>details of all consultancies and contractors including:</w:t>
      </w:r>
    </w:p>
    <w:p w14:paraId="1B3BF2E6" w14:textId="77777777" w:rsidR="009C2188" w:rsidRPr="00876600" w:rsidRDefault="009C2188" w:rsidP="00B40EDA">
      <w:pPr>
        <w:pStyle w:val="ListBullet2"/>
      </w:pPr>
      <w:r w:rsidRPr="00876600">
        <w:t>consultants/contractors engaged</w:t>
      </w:r>
    </w:p>
    <w:p w14:paraId="65E21208" w14:textId="77777777" w:rsidR="009C2188" w:rsidRPr="00876600" w:rsidRDefault="009C2188" w:rsidP="00B40EDA">
      <w:pPr>
        <w:pStyle w:val="ListBullet2"/>
      </w:pPr>
      <w:r w:rsidRPr="00876600">
        <w:t>services provided</w:t>
      </w:r>
    </w:p>
    <w:p w14:paraId="2CDAAAC1" w14:textId="77777777" w:rsidR="009C2188" w:rsidRPr="00876600" w:rsidRDefault="009C2188" w:rsidP="00B40EDA">
      <w:pPr>
        <w:pStyle w:val="ListBullet2"/>
      </w:pPr>
      <w:r w:rsidRPr="00876600">
        <w:t>expenditure committed to for each engagement.</w:t>
      </w:r>
    </w:p>
    <w:p w14:paraId="21597705" w14:textId="77777777" w:rsidR="009C2188" w:rsidRPr="002F6765" w:rsidRDefault="009C2188" w:rsidP="009C2188">
      <w:pPr>
        <w:pStyle w:val="BodyText"/>
      </w:pPr>
      <w:r w:rsidRPr="002F6765">
        <w:t>The information is available on request from:</w:t>
      </w:r>
    </w:p>
    <w:p w14:paraId="769E7CF4" w14:textId="03B469C6" w:rsidR="009C2188" w:rsidRDefault="009C2188" w:rsidP="00C842DE">
      <w:pPr>
        <w:pStyle w:val="BodyTextindent"/>
      </w:pPr>
      <w:r w:rsidRPr="00876600">
        <w:t>Executive Director Corporate Services</w:t>
      </w:r>
      <w:r w:rsidR="00C842DE">
        <w:br/>
      </w:r>
      <w:r w:rsidRPr="00876600">
        <w:t>Independent Broad-based Anti-corruption Commission</w:t>
      </w:r>
      <w:r w:rsidR="00C842DE">
        <w:br/>
      </w:r>
      <w:r w:rsidRPr="00876600">
        <w:t>GPO Box 24234, Melbourne VIC 3001</w:t>
      </w:r>
    </w:p>
    <w:p w14:paraId="203C0B79" w14:textId="77777777" w:rsidR="009C2188" w:rsidRDefault="009C2188" w:rsidP="009C2188">
      <w:pPr>
        <w:pStyle w:val="BodyTextindent"/>
      </w:pPr>
    </w:p>
    <w:p w14:paraId="31889E11" w14:textId="77777777" w:rsidR="00FA4115" w:rsidRPr="007211D6" w:rsidRDefault="00FA4115" w:rsidP="007211D6">
      <w:pPr>
        <w:pStyle w:val="BodyText"/>
      </w:pPr>
      <w:r>
        <w:br w:type="page"/>
      </w:r>
    </w:p>
    <w:p w14:paraId="2B40389F" w14:textId="5A2BF59E" w:rsidR="008B3E68" w:rsidRDefault="008B3E68" w:rsidP="00E867B1">
      <w:pPr>
        <w:pStyle w:val="AppendixHeading1"/>
      </w:pPr>
      <w:bookmarkStart w:id="282" w:name="_Ref135832615"/>
      <w:bookmarkStart w:id="283" w:name="_Ref135832645"/>
      <w:bookmarkStart w:id="284" w:name="_Ref135832651"/>
      <w:bookmarkStart w:id="285" w:name="_Toc149131464"/>
      <w:r>
        <w:t>Legislation</w:t>
      </w:r>
      <w:bookmarkEnd w:id="250"/>
      <w:bookmarkEnd w:id="282"/>
      <w:bookmarkEnd w:id="283"/>
      <w:bookmarkEnd w:id="284"/>
      <w:bookmarkEnd w:id="285"/>
    </w:p>
    <w:p w14:paraId="10FA48F0" w14:textId="3962B1A2" w:rsidR="00D9061D" w:rsidRDefault="008B3E68" w:rsidP="00834775">
      <w:pPr>
        <w:pStyle w:val="Caption"/>
      </w:pPr>
      <w:r>
        <w:t xml:space="preserve">Table </w:t>
      </w:r>
      <w:r>
        <w:fldChar w:fldCharType="begin"/>
      </w:r>
      <w:r>
        <w:instrText xml:space="preserve"> SEQ Table \* ARABIC </w:instrText>
      </w:r>
      <w:r>
        <w:fldChar w:fldCharType="separate"/>
      </w:r>
      <w:r w:rsidR="00761B2E">
        <w:rPr>
          <w:noProof/>
        </w:rPr>
        <w:t>35</w:t>
      </w:r>
      <w:r>
        <w:rPr>
          <w:noProof/>
        </w:rPr>
        <w:fldChar w:fldCharType="end"/>
      </w:r>
      <w:r>
        <w:t xml:space="preserve">: </w:t>
      </w:r>
      <w:r w:rsidR="000E22B8">
        <w:t>Index of r</w:t>
      </w:r>
      <w:r>
        <w:t>elevant legislation</w:t>
      </w:r>
    </w:p>
    <w:tbl>
      <w:tblPr>
        <w:tblStyle w:val="CustomTablestandard"/>
        <w:tblW w:w="0" w:type="auto"/>
        <w:tblLook w:val="04A0" w:firstRow="1" w:lastRow="0" w:firstColumn="1" w:lastColumn="0" w:noHBand="0" w:noVBand="1"/>
      </w:tblPr>
      <w:tblGrid>
        <w:gridCol w:w="7230"/>
        <w:gridCol w:w="1797"/>
      </w:tblGrid>
      <w:tr w:rsidR="00D9061D" w14:paraId="355FE6EB" w14:textId="77777777">
        <w:trPr>
          <w:cnfStyle w:val="100000000000" w:firstRow="1" w:lastRow="0" w:firstColumn="0" w:lastColumn="0" w:oddVBand="0" w:evenVBand="0" w:oddHBand="0" w:evenHBand="0" w:firstRowFirstColumn="0" w:firstRowLastColumn="0" w:lastRowFirstColumn="0" w:lastRowLastColumn="0"/>
        </w:trPr>
        <w:tc>
          <w:tcPr>
            <w:tcW w:w="7230" w:type="dxa"/>
          </w:tcPr>
          <w:p w14:paraId="6CCCE445" w14:textId="77777777" w:rsidR="00D9061D" w:rsidRDefault="00D9061D">
            <w:pPr>
              <w:pStyle w:val="TableHeading1"/>
            </w:pPr>
            <w:r>
              <w:t>Legislation</w:t>
            </w:r>
          </w:p>
        </w:tc>
        <w:tc>
          <w:tcPr>
            <w:tcW w:w="1797" w:type="dxa"/>
          </w:tcPr>
          <w:p w14:paraId="0B5E228B" w14:textId="77777777" w:rsidR="00D9061D" w:rsidRPr="008B3E68" w:rsidRDefault="00D9061D">
            <w:pPr>
              <w:pStyle w:val="TableHeading3rightalign"/>
            </w:pPr>
            <w:r>
              <w:t>Page #</w:t>
            </w:r>
          </w:p>
        </w:tc>
      </w:tr>
      <w:tr w:rsidR="00D9061D" w14:paraId="0F7EDAD9" w14:textId="77777777">
        <w:tc>
          <w:tcPr>
            <w:tcW w:w="7230" w:type="dxa"/>
          </w:tcPr>
          <w:p w14:paraId="3B2A9698" w14:textId="77777777" w:rsidR="00D9061D" w:rsidRPr="00A3330D" w:rsidRDefault="00D9061D">
            <w:pPr>
              <w:pStyle w:val="TableBodyText"/>
              <w:rPr>
                <w:rStyle w:val="Characteritalic"/>
              </w:rPr>
            </w:pPr>
            <w:r w:rsidRPr="00A3330D">
              <w:rPr>
                <w:rStyle w:val="Characteritalic"/>
              </w:rPr>
              <w:t>Audit Act 1994</w:t>
            </w:r>
          </w:p>
        </w:tc>
        <w:tc>
          <w:tcPr>
            <w:tcW w:w="1797" w:type="dxa"/>
          </w:tcPr>
          <w:p w14:paraId="6BE01B29" w14:textId="17B83AF3" w:rsidR="00D9061D" w:rsidRDefault="00A61768">
            <w:pPr>
              <w:pStyle w:val="TableBodyTextrightalign"/>
            </w:pPr>
            <w:r>
              <w:t>65–66</w:t>
            </w:r>
          </w:p>
        </w:tc>
      </w:tr>
      <w:tr w:rsidR="00D9061D" w14:paraId="340DC78A" w14:textId="77777777">
        <w:tc>
          <w:tcPr>
            <w:tcW w:w="7230" w:type="dxa"/>
          </w:tcPr>
          <w:p w14:paraId="109E807D" w14:textId="77777777" w:rsidR="00D9061D" w:rsidRPr="00A3330D" w:rsidRDefault="00D9061D">
            <w:pPr>
              <w:pStyle w:val="TableBodyText"/>
              <w:rPr>
                <w:rStyle w:val="Characteritalic"/>
              </w:rPr>
            </w:pPr>
            <w:r w:rsidRPr="00A3330D">
              <w:rPr>
                <w:rStyle w:val="Characteritalic"/>
              </w:rPr>
              <w:t>Building Act 1993</w:t>
            </w:r>
          </w:p>
        </w:tc>
        <w:tc>
          <w:tcPr>
            <w:tcW w:w="1797" w:type="dxa"/>
          </w:tcPr>
          <w:p w14:paraId="2BB40418" w14:textId="29562C94" w:rsidR="00D9061D" w:rsidRDefault="008F30E1">
            <w:pPr>
              <w:pStyle w:val="TableBodyTextrightalign"/>
            </w:pPr>
            <w:r>
              <w:fldChar w:fldCharType="begin"/>
            </w:r>
            <w:r>
              <w:instrText xml:space="preserve"> PAGEREF _Ref149164728 \h </w:instrText>
            </w:r>
            <w:r>
              <w:fldChar w:fldCharType="separate"/>
            </w:r>
            <w:r>
              <w:rPr>
                <w:noProof/>
              </w:rPr>
              <w:t>116</w:t>
            </w:r>
            <w:r>
              <w:fldChar w:fldCharType="end"/>
            </w:r>
            <w:r>
              <w:t xml:space="preserve">, </w:t>
            </w:r>
            <w:r w:rsidR="002D57AA">
              <w:fldChar w:fldCharType="begin"/>
            </w:r>
            <w:r w:rsidR="002D57AA">
              <w:instrText xml:space="preserve"> PAGEREF _Ref149136806 \h </w:instrText>
            </w:r>
            <w:r w:rsidR="002D57AA">
              <w:fldChar w:fldCharType="separate"/>
            </w:r>
            <w:r w:rsidR="002D57AA">
              <w:rPr>
                <w:noProof/>
              </w:rPr>
              <w:t>122</w:t>
            </w:r>
            <w:r w:rsidR="002D57AA">
              <w:fldChar w:fldCharType="end"/>
            </w:r>
          </w:p>
        </w:tc>
      </w:tr>
      <w:tr w:rsidR="00D9061D" w14:paraId="1D05C073" w14:textId="77777777">
        <w:tc>
          <w:tcPr>
            <w:tcW w:w="7230" w:type="dxa"/>
          </w:tcPr>
          <w:p w14:paraId="0FACC32A" w14:textId="77777777" w:rsidR="00D9061D" w:rsidRPr="00A3330D" w:rsidRDefault="00D9061D">
            <w:pPr>
              <w:pStyle w:val="TableBodyText"/>
              <w:rPr>
                <w:rStyle w:val="Characteritalic"/>
              </w:rPr>
            </w:pPr>
            <w:r w:rsidRPr="00A3330D">
              <w:rPr>
                <w:rStyle w:val="Characteritalic"/>
              </w:rPr>
              <w:t>Carers Recognition Act 2012</w:t>
            </w:r>
          </w:p>
        </w:tc>
        <w:tc>
          <w:tcPr>
            <w:tcW w:w="1797" w:type="dxa"/>
          </w:tcPr>
          <w:p w14:paraId="71C7E76A" w14:textId="728D1E6E" w:rsidR="00D9061D" w:rsidRDefault="002D57AA">
            <w:pPr>
              <w:pStyle w:val="TableBodyTextrightalign"/>
            </w:pPr>
            <w:r>
              <w:fldChar w:fldCharType="begin"/>
            </w:r>
            <w:r>
              <w:instrText xml:space="preserve"> PAGEREF _Ref149164728 \h </w:instrText>
            </w:r>
            <w:r>
              <w:fldChar w:fldCharType="separate"/>
            </w:r>
            <w:r>
              <w:rPr>
                <w:noProof/>
              </w:rPr>
              <w:t>116</w:t>
            </w:r>
            <w:r>
              <w:fldChar w:fldCharType="end"/>
            </w:r>
            <w:r>
              <w:t xml:space="preserve">, </w:t>
            </w:r>
            <w:r w:rsidR="00FB0B38">
              <w:fldChar w:fldCharType="begin"/>
            </w:r>
            <w:r w:rsidR="00FB0B38">
              <w:instrText xml:space="preserve"> PAGEREF _Ref149136857 \h </w:instrText>
            </w:r>
            <w:r w:rsidR="00FB0B38">
              <w:fldChar w:fldCharType="separate"/>
            </w:r>
            <w:r w:rsidR="00FB0B38">
              <w:rPr>
                <w:noProof/>
              </w:rPr>
              <w:t>123</w:t>
            </w:r>
            <w:r w:rsidR="00FB0B38">
              <w:fldChar w:fldCharType="end"/>
            </w:r>
          </w:p>
        </w:tc>
      </w:tr>
      <w:tr w:rsidR="00D9061D" w14:paraId="19CBD00D" w14:textId="77777777">
        <w:tc>
          <w:tcPr>
            <w:tcW w:w="7230" w:type="dxa"/>
          </w:tcPr>
          <w:p w14:paraId="00B4C7D5" w14:textId="77777777" w:rsidR="00D9061D" w:rsidRPr="00A3330D" w:rsidRDefault="00D9061D">
            <w:pPr>
              <w:pStyle w:val="TableBodyText"/>
              <w:rPr>
                <w:rStyle w:val="Characteritalic"/>
              </w:rPr>
            </w:pPr>
            <w:r w:rsidRPr="00A3330D">
              <w:rPr>
                <w:rStyle w:val="Characteritalic"/>
              </w:rPr>
              <w:t xml:space="preserve">Charter of Human Rights and Responsibilities Act 2006 </w:t>
            </w:r>
          </w:p>
        </w:tc>
        <w:tc>
          <w:tcPr>
            <w:tcW w:w="1797" w:type="dxa"/>
          </w:tcPr>
          <w:p w14:paraId="3262F7DE" w14:textId="776CF0D6" w:rsidR="00D9061D" w:rsidRDefault="00A109A7">
            <w:pPr>
              <w:pStyle w:val="TableBodyTextrightalign"/>
            </w:pPr>
            <w:r>
              <w:t>viii,</w:t>
            </w:r>
            <w:r w:rsidR="00D31026">
              <w:t xml:space="preserve"> 26, </w:t>
            </w:r>
            <w:r w:rsidR="00CC2686">
              <w:t>29–30</w:t>
            </w:r>
            <w:r>
              <w:t xml:space="preserve"> </w:t>
            </w:r>
          </w:p>
        </w:tc>
      </w:tr>
      <w:tr w:rsidR="00F87AB9" w:rsidRPr="00F87AB9" w14:paraId="36C227C0" w14:textId="77777777">
        <w:tc>
          <w:tcPr>
            <w:tcW w:w="7230" w:type="dxa"/>
          </w:tcPr>
          <w:p w14:paraId="3AF93DE1" w14:textId="7B24B042" w:rsidR="00D9061D" w:rsidRPr="00D63CC0" w:rsidRDefault="00D63CC0" w:rsidP="00CC2686">
            <w:pPr>
              <w:pStyle w:val="TableBodyText"/>
              <w:rPr>
                <w:rStyle w:val="Characteritalic"/>
                <w:i w:val="0"/>
              </w:rPr>
            </w:pPr>
            <w:r w:rsidRPr="00CC2686">
              <w:rPr>
                <w:rStyle w:val="Characteritalic"/>
              </w:rPr>
              <w:t>Constitution Act 1975</w:t>
            </w:r>
          </w:p>
        </w:tc>
        <w:tc>
          <w:tcPr>
            <w:tcW w:w="1797" w:type="dxa"/>
          </w:tcPr>
          <w:p w14:paraId="06C7B6F2" w14:textId="3E6355F9" w:rsidR="00D9061D" w:rsidRPr="00F87AB9" w:rsidRDefault="00D777B2">
            <w:pPr>
              <w:pStyle w:val="TableBodyTextrightalign"/>
              <w:rPr>
                <w:color w:val="FF0000"/>
              </w:rPr>
            </w:pPr>
            <w:r>
              <w:t>65–66</w:t>
            </w:r>
          </w:p>
        </w:tc>
      </w:tr>
      <w:tr w:rsidR="00D9061D" w14:paraId="0222883C" w14:textId="77777777">
        <w:tc>
          <w:tcPr>
            <w:tcW w:w="7230" w:type="dxa"/>
          </w:tcPr>
          <w:p w14:paraId="517BAF50" w14:textId="77777777" w:rsidR="00D9061D" w:rsidRPr="00A3330D" w:rsidRDefault="00D9061D">
            <w:pPr>
              <w:pStyle w:val="TableBodyText"/>
              <w:rPr>
                <w:rStyle w:val="Characteritalic"/>
              </w:rPr>
            </w:pPr>
            <w:r w:rsidRPr="00A3330D">
              <w:rPr>
                <w:rStyle w:val="Characteritalic"/>
              </w:rPr>
              <w:t>Crimes Act 1958</w:t>
            </w:r>
          </w:p>
        </w:tc>
        <w:tc>
          <w:tcPr>
            <w:tcW w:w="1797" w:type="dxa"/>
          </w:tcPr>
          <w:p w14:paraId="1101839B" w14:textId="70BFB348" w:rsidR="00D9061D" w:rsidRDefault="001B5B27">
            <w:pPr>
              <w:pStyle w:val="TableBodyTextrightalign"/>
            </w:pPr>
            <w:r>
              <w:fldChar w:fldCharType="begin"/>
            </w:r>
            <w:r>
              <w:instrText xml:space="preserve"> PAGEREF _Ref149165184 \h </w:instrText>
            </w:r>
            <w:r>
              <w:fldChar w:fldCharType="separate"/>
            </w:r>
            <w:r>
              <w:rPr>
                <w:noProof/>
              </w:rPr>
              <w:t>39</w:t>
            </w:r>
            <w:r>
              <w:fldChar w:fldCharType="end"/>
            </w:r>
          </w:p>
        </w:tc>
      </w:tr>
      <w:tr w:rsidR="00D9061D" w14:paraId="2A50378E" w14:textId="77777777">
        <w:tc>
          <w:tcPr>
            <w:tcW w:w="7230" w:type="dxa"/>
          </w:tcPr>
          <w:p w14:paraId="49EA1524" w14:textId="77777777" w:rsidR="00D9061D" w:rsidRPr="00A3330D" w:rsidRDefault="00D9061D">
            <w:pPr>
              <w:pStyle w:val="TableBodyText"/>
              <w:rPr>
                <w:rStyle w:val="Characteritalic"/>
              </w:rPr>
            </w:pPr>
            <w:r w:rsidRPr="00A3330D">
              <w:rPr>
                <w:rStyle w:val="Characteritalic"/>
              </w:rPr>
              <w:t>Disability Act 2006</w:t>
            </w:r>
          </w:p>
        </w:tc>
        <w:tc>
          <w:tcPr>
            <w:tcW w:w="1797" w:type="dxa"/>
          </w:tcPr>
          <w:p w14:paraId="3439D940" w14:textId="44FA987D" w:rsidR="00D9061D" w:rsidRDefault="00F071DA">
            <w:pPr>
              <w:pStyle w:val="TableBodyTextrightalign"/>
            </w:pPr>
            <w:r>
              <w:fldChar w:fldCharType="begin"/>
            </w:r>
            <w:r>
              <w:instrText xml:space="preserve"> PAGEREF _Ref149165249 \h </w:instrText>
            </w:r>
            <w:r>
              <w:fldChar w:fldCharType="separate"/>
            </w:r>
            <w:r>
              <w:rPr>
                <w:noProof/>
              </w:rPr>
              <w:t>123</w:t>
            </w:r>
            <w:r>
              <w:fldChar w:fldCharType="end"/>
            </w:r>
          </w:p>
        </w:tc>
      </w:tr>
      <w:tr w:rsidR="00D9061D" w14:paraId="39A0CAB7" w14:textId="77777777">
        <w:tc>
          <w:tcPr>
            <w:tcW w:w="7230" w:type="dxa"/>
          </w:tcPr>
          <w:p w14:paraId="62700B1D" w14:textId="77777777" w:rsidR="00D9061D" w:rsidRPr="00A3330D" w:rsidRDefault="00D9061D">
            <w:pPr>
              <w:pStyle w:val="TableBodyText"/>
              <w:rPr>
                <w:rStyle w:val="Characteritalic"/>
              </w:rPr>
            </w:pPr>
            <w:r w:rsidRPr="00A3330D">
              <w:rPr>
                <w:rStyle w:val="Characteritalic"/>
              </w:rPr>
              <w:t>Drugs, Poisons and Controlled Substances Act 1981</w:t>
            </w:r>
          </w:p>
        </w:tc>
        <w:tc>
          <w:tcPr>
            <w:tcW w:w="1797" w:type="dxa"/>
          </w:tcPr>
          <w:p w14:paraId="7F675124" w14:textId="510081CD" w:rsidR="00D9061D" w:rsidRDefault="001D4A39">
            <w:pPr>
              <w:pStyle w:val="TableBodyTextrightalign"/>
            </w:pPr>
            <w:r>
              <w:fldChar w:fldCharType="begin"/>
            </w:r>
            <w:r>
              <w:instrText xml:space="preserve"> PAGEREF _Ref149165287 \h </w:instrText>
            </w:r>
            <w:r>
              <w:fldChar w:fldCharType="separate"/>
            </w:r>
            <w:r>
              <w:rPr>
                <w:noProof/>
              </w:rPr>
              <w:t>39</w:t>
            </w:r>
            <w:r>
              <w:fldChar w:fldCharType="end"/>
            </w:r>
          </w:p>
        </w:tc>
      </w:tr>
      <w:tr w:rsidR="00D9061D" w14:paraId="5B62C64F" w14:textId="77777777">
        <w:tc>
          <w:tcPr>
            <w:tcW w:w="7230" w:type="dxa"/>
          </w:tcPr>
          <w:p w14:paraId="688D930A" w14:textId="77777777" w:rsidR="00D9061D" w:rsidRPr="00A3330D" w:rsidRDefault="00D9061D">
            <w:pPr>
              <w:pStyle w:val="TableBodyText"/>
              <w:rPr>
                <w:rStyle w:val="Characteritalic"/>
              </w:rPr>
            </w:pPr>
            <w:r w:rsidRPr="00A3330D">
              <w:rPr>
                <w:rStyle w:val="Characteritalic"/>
              </w:rPr>
              <w:t>Financial Management Act 1994</w:t>
            </w:r>
          </w:p>
        </w:tc>
        <w:tc>
          <w:tcPr>
            <w:tcW w:w="1797" w:type="dxa"/>
          </w:tcPr>
          <w:p w14:paraId="1A4EC831" w14:textId="63A6CC7D" w:rsidR="00D9061D" w:rsidRDefault="00F34FE9">
            <w:pPr>
              <w:pStyle w:val="TableBodyTextrightalign"/>
            </w:pPr>
            <w:r>
              <w:t xml:space="preserve">ii, </w:t>
            </w:r>
            <w:r w:rsidR="00AD76F2">
              <w:fldChar w:fldCharType="begin"/>
            </w:r>
            <w:r w:rsidR="00AD76F2">
              <w:instrText xml:space="preserve"> PAGEREF _Ref149165425 \h </w:instrText>
            </w:r>
            <w:r w:rsidR="00AD76F2">
              <w:fldChar w:fldCharType="separate"/>
            </w:r>
            <w:r w:rsidR="00AD76F2">
              <w:rPr>
                <w:noProof/>
              </w:rPr>
              <w:t>22</w:t>
            </w:r>
            <w:r w:rsidR="00AD76F2">
              <w:fldChar w:fldCharType="end"/>
            </w:r>
            <w:r w:rsidR="00136162">
              <w:fldChar w:fldCharType="begin"/>
            </w:r>
            <w:r w:rsidR="00136162">
              <w:instrText xml:space="preserve"> PAGEREF _Ref149165488 \h </w:instrText>
            </w:r>
            <w:r w:rsidR="00136162">
              <w:fldChar w:fldCharType="separate"/>
            </w:r>
            <w:r w:rsidR="00136162">
              <w:rPr>
                <w:noProof/>
              </w:rPr>
              <w:t>61</w:t>
            </w:r>
            <w:r w:rsidR="00136162">
              <w:fldChar w:fldCharType="end"/>
            </w:r>
            <w:r w:rsidR="003527D6">
              <w:t>, 64</w:t>
            </w:r>
            <w:r w:rsidR="00EA6F3E">
              <w:t>–</w:t>
            </w:r>
            <w:r w:rsidR="003527D6">
              <w:t>66,</w:t>
            </w:r>
            <w:r w:rsidR="00EA6F3E">
              <w:t xml:space="preserve"> </w:t>
            </w:r>
            <w:r w:rsidR="00EA6F3E">
              <w:fldChar w:fldCharType="begin"/>
            </w:r>
            <w:r w:rsidR="00EA6F3E">
              <w:instrText xml:space="preserve"> PAGEREF _Ref149163657 \h </w:instrText>
            </w:r>
            <w:r w:rsidR="00EA6F3E">
              <w:fldChar w:fldCharType="separate"/>
            </w:r>
            <w:r w:rsidR="00EA6F3E">
              <w:rPr>
                <w:noProof/>
              </w:rPr>
              <w:t>72</w:t>
            </w:r>
            <w:r w:rsidR="00EA6F3E">
              <w:fldChar w:fldCharType="end"/>
            </w:r>
            <w:r w:rsidR="00EA6F3E">
              <w:t xml:space="preserve">, </w:t>
            </w:r>
            <w:r w:rsidR="00DB40CB">
              <w:fldChar w:fldCharType="begin"/>
            </w:r>
            <w:r w:rsidR="00DB40CB">
              <w:instrText xml:space="preserve"> PAGEREF _Ref149163793 \h </w:instrText>
            </w:r>
            <w:r w:rsidR="00DB40CB">
              <w:fldChar w:fldCharType="separate"/>
            </w:r>
            <w:r w:rsidR="00DB40CB">
              <w:rPr>
                <w:noProof/>
              </w:rPr>
              <w:t>74</w:t>
            </w:r>
            <w:r w:rsidR="00DB40CB">
              <w:fldChar w:fldCharType="end"/>
            </w:r>
            <w:r w:rsidR="00DB40CB">
              <w:t xml:space="preserve">, </w:t>
            </w:r>
            <w:r w:rsidR="00CF1489">
              <w:fldChar w:fldCharType="begin"/>
            </w:r>
            <w:r w:rsidR="00CF1489">
              <w:instrText xml:space="preserve"> PAGEREF _Ref149136340 \h </w:instrText>
            </w:r>
            <w:r w:rsidR="00CF1489">
              <w:fldChar w:fldCharType="separate"/>
            </w:r>
            <w:r w:rsidR="00CF1489">
              <w:rPr>
                <w:noProof/>
              </w:rPr>
              <w:t>102</w:t>
            </w:r>
            <w:r w:rsidR="00CF1489">
              <w:fldChar w:fldCharType="end"/>
            </w:r>
            <w:r w:rsidR="00A43A35">
              <w:t xml:space="preserve">, </w:t>
            </w:r>
            <w:r w:rsidR="00257E69">
              <w:fldChar w:fldCharType="begin"/>
            </w:r>
            <w:r w:rsidR="00257E69">
              <w:instrText xml:space="preserve"> PAGEREF _Ref149165724 \h </w:instrText>
            </w:r>
            <w:r w:rsidR="00257E69">
              <w:fldChar w:fldCharType="separate"/>
            </w:r>
            <w:r w:rsidR="00257E69">
              <w:rPr>
                <w:noProof/>
              </w:rPr>
              <w:t>118</w:t>
            </w:r>
            <w:r w:rsidR="00257E69">
              <w:fldChar w:fldCharType="end"/>
            </w:r>
            <w:r w:rsidR="003527D6">
              <w:t xml:space="preserve"> </w:t>
            </w:r>
          </w:p>
        </w:tc>
      </w:tr>
      <w:tr w:rsidR="00D9061D" w14:paraId="1866C791" w14:textId="77777777">
        <w:tc>
          <w:tcPr>
            <w:tcW w:w="7230" w:type="dxa"/>
          </w:tcPr>
          <w:p w14:paraId="775E9B9D" w14:textId="77777777" w:rsidR="00D9061D" w:rsidRPr="00A3330D" w:rsidRDefault="00D9061D">
            <w:pPr>
              <w:pStyle w:val="TableBodyText"/>
              <w:rPr>
                <w:rStyle w:val="Characteritalic"/>
              </w:rPr>
            </w:pPr>
            <w:r w:rsidRPr="00A3330D">
              <w:rPr>
                <w:rStyle w:val="Characteritalic"/>
              </w:rPr>
              <w:t>Firearms Act 1996</w:t>
            </w:r>
          </w:p>
        </w:tc>
        <w:tc>
          <w:tcPr>
            <w:tcW w:w="1797" w:type="dxa"/>
          </w:tcPr>
          <w:p w14:paraId="0384CADA" w14:textId="63830265" w:rsidR="00D9061D" w:rsidRDefault="00F259E3">
            <w:pPr>
              <w:pStyle w:val="TableBodyTextrightalign"/>
            </w:pPr>
            <w:r>
              <w:fldChar w:fldCharType="begin"/>
            </w:r>
            <w:r>
              <w:instrText xml:space="preserve"> PAGEREF _Ref149165184 \h </w:instrText>
            </w:r>
            <w:r>
              <w:fldChar w:fldCharType="separate"/>
            </w:r>
            <w:r>
              <w:rPr>
                <w:noProof/>
              </w:rPr>
              <w:t>39</w:t>
            </w:r>
            <w:r>
              <w:fldChar w:fldCharType="end"/>
            </w:r>
            <w:r w:rsidR="00F2217F">
              <w:t xml:space="preserve">, </w:t>
            </w:r>
            <w:r w:rsidR="005C53E0">
              <w:fldChar w:fldCharType="begin"/>
            </w:r>
            <w:r w:rsidR="005C53E0">
              <w:instrText xml:space="preserve"> PAGEREF _Ref149165828 \h </w:instrText>
            </w:r>
            <w:r w:rsidR="005C53E0">
              <w:fldChar w:fldCharType="separate"/>
            </w:r>
            <w:r w:rsidR="005C53E0">
              <w:rPr>
                <w:noProof/>
              </w:rPr>
              <w:t>130</w:t>
            </w:r>
            <w:r w:rsidR="005C53E0">
              <w:fldChar w:fldCharType="end"/>
            </w:r>
          </w:p>
        </w:tc>
      </w:tr>
      <w:tr w:rsidR="00D9061D" w14:paraId="23E6319E" w14:textId="77777777">
        <w:tc>
          <w:tcPr>
            <w:tcW w:w="7230" w:type="dxa"/>
          </w:tcPr>
          <w:p w14:paraId="3A02CC42" w14:textId="77777777" w:rsidR="00D9061D" w:rsidRPr="00A3330D" w:rsidRDefault="00D9061D">
            <w:pPr>
              <w:pStyle w:val="TableBodyText"/>
              <w:rPr>
                <w:rStyle w:val="Characteritalic"/>
              </w:rPr>
            </w:pPr>
            <w:r w:rsidRPr="00A3330D">
              <w:rPr>
                <w:rStyle w:val="Characteritalic"/>
              </w:rPr>
              <w:t>Freedom of Information Act 1982</w:t>
            </w:r>
          </w:p>
        </w:tc>
        <w:tc>
          <w:tcPr>
            <w:tcW w:w="1797" w:type="dxa"/>
          </w:tcPr>
          <w:p w14:paraId="1862DDDD" w14:textId="6BABEA62" w:rsidR="00D9061D" w:rsidRDefault="00F066F1">
            <w:pPr>
              <w:pStyle w:val="TableBodyTextrightalign"/>
            </w:pPr>
            <w:r>
              <w:fldChar w:fldCharType="begin"/>
            </w:r>
            <w:r>
              <w:instrText xml:space="preserve"> PAGEREF _Ref149164728 \h </w:instrText>
            </w:r>
            <w:r>
              <w:fldChar w:fldCharType="separate"/>
            </w:r>
            <w:r>
              <w:rPr>
                <w:noProof/>
              </w:rPr>
              <w:t>116</w:t>
            </w:r>
            <w:r>
              <w:fldChar w:fldCharType="end"/>
            </w:r>
            <w:r w:rsidR="00811779">
              <w:t xml:space="preserve">, </w:t>
            </w:r>
            <w:r w:rsidR="00811779">
              <w:fldChar w:fldCharType="begin"/>
            </w:r>
            <w:r w:rsidR="00811779">
              <w:instrText xml:space="preserve"> PAGEREF _Ref149136710 \h </w:instrText>
            </w:r>
            <w:r w:rsidR="00811779">
              <w:fldChar w:fldCharType="separate"/>
            </w:r>
            <w:r w:rsidR="00811779">
              <w:rPr>
                <w:noProof/>
              </w:rPr>
              <w:t>120</w:t>
            </w:r>
            <w:r w:rsidR="00811779">
              <w:fldChar w:fldCharType="end"/>
            </w:r>
            <w:r w:rsidR="0064791E">
              <w:t xml:space="preserve">, </w:t>
            </w:r>
            <w:r w:rsidR="00D805EE">
              <w:fldChar w:fldCharType="begin"/>
            </w:r>
            <w:r w:rsidR="00D805EE">
              <w:instrText xml:space="preserve"> PAGEREF _Ref149166007 \h </w:instrText>
            </w:r>
            <w:r w:rsidR="00D805EE">
              <w:fldChar w:fldCharType="separate"/>
            </w:r>
            <w:r w:rsidR="00D805EE">
              <w:rPr>
                <w:noProof/>
              </w:rPr>
              <w:t>121</w:t>
            </w:r>
            <w:r w:rsidR="00D805EE">
              <w:fldChar w:fldCharType="end"/>
            </w:r>
            <w:r w:rsidR="000F4FB7">
              <w:t xml:space="preserve">, </w:t>
            </w:r>
            <w:r w:rsidR="00A2261C">
              <w:fldChar w:fldCharType="begin"/>
            </w:r>
            <w:r w:rsidR="00A2261C">
              <w:instrText xml:space="preserve"> PAGEREF _Ref149166052 \h </w:instrText>
            </w:r>
            <w:r w:rsidR="00A2261C">
              <w:fldChar w:fldCharType="separate"/>
            </w:r>
            <w:r w:rsidR="00A2261C">
              <w:rPr>
                <w:noProof/>
              </w:rPr>
              <w:t>132</w:t>
            </w:r>
            <w:r w:rsidR="00A2261C">
              <w:fldChar w:fldCharType="end"/>
            </w:r>
            <w:r w:rsidR="0064791E">
              <w:t>, 134</w:t>
            </w:r>
          </w:p>
        </w:tc>
      </w:tr>
      <w:tr w:rsidR="00926710" w14:paraId="436F2ACF" w14:textId="77777777">
        <w:tc>
          <w:tcPr>
            <w:tcW w:w="7230" w:type="dxa"/>
          </w:tcPr>
          <w:p w14:paraId="7C01C50B" w14:textId="404A00FD" w:rsidR="00926710" w:rsidRPr="00A3330D" w:rsidRDefault="00926710">
            <w:pPr>
              <w:pStyle w:val="TableBodyText"/>
              <w:rPr>
                <w:rStyle w:val="Characteritalic"/>
              </w:rPr>
            </w:pPr>
            <w:r>
              <w:rPr>
                <w:rStyle w:val="Characteritalic"/>
              </w:rPr>
              <w:t>Human Source Management Act 2023</w:t>
            </w:r>
          </w:p>
        </w:tc>
        <w:tc>
          <w:tcPr>
            <w:tcW w:w="1797" w:type="dxa"/>
          </w:tcPr>
          <w:p w14:paraId="6AF13AF1" w14:textId="754E544A" w:rsidR="00926710" w:rsidRDefault="00083470">
            <w:pPr>
              <w:pStyle w:val="TableBodyTextrightalign"/>
            </w:pPr>
            <w:r>
              <w:fldChar w:fldCharType="begin"/>
            </w:r>
            <w:r>
              <w:instrText xml:space="preserve"> PAGEREF _Ref149166189 \h </w:instrText>
            </w:r>
            <w:r>
              <w:fldChar w:fldCharType="separate"/>
            </w:r>
            <w:r>
              <w:rPr>
                <w:noProof/>
              </w:rPr>
              <w:t>30</w:t>
            </w:r>
            <w:r>
              <w:fldChar w:fldCharType="end"/>
            </w:r>
          </w:p>
        </w:tc>
      </w:tr>
      <w:tr w:rsidR="00D9061D" w14:paraId="6F38A740" w14:textId="77777777">
        <w:tc>
          <w:tcPr>
            <w:tcW w:w="7230" w:type="dxa"/>
          </w:tcPr>
          <w:p w14:paraId="510A3511" w14:textId="77777777" w:rsidR="00D9061D" w:rsidRPr="00A3330D" w:rsidRDefault="00D9061D">
            <w:pPr>
              <w:pStyle w:val="TableBodyText"/>
              <w:rPr>
                <w:rStyle w:val="Characteritalic"/>
              </w:rPr>
            </w:pPr>
            <w:r w:rsidRPr="00A3330D">
              <w:rPr>
                <w:rStyle w:val="Characteritalic"/>
              </w:rPr>
              <w:t>Independent Broad-based Anti-corruption Commission Act 2011</w:t>
            </w:r>
          </w:p>
        </w:tc>
        <w:tc>
          <w:tcPr>
            <w:tcW w:w="1797" w:type="dxa"/>
          </w:tcPr>
          <w:p w14:paraId="0FA2AFA3" w14:textId="720FFFBB" w:rsidR="00D9061D" w:rsidRDefault="00083470">
            <w:pPr>
              <w:pStyle w:val="TableBodyTextrightalign"/>
            </w:pPr>
            <w:r>
              <w:t>ii,</w:t>
            </w:r>
            <w:r w:rsidR="00521029">
              <w:t xml:space="preserve"> vii, 16, </w:t>
            </w:r>
            <w:r w:rsidR="00BB504A">
              <w:fldChar w:fldCharType="begin"/>
            </w:r>
            <w:r w:rsidR="00BB504A">
              <w:instrText xml:space="preserve"> PAGEREF _Ref149166291 \h </w:instrText>
            </w:r>
            <w:r w:rsidR="00BB504A">
              <w:fldChar w:fldCharType="separate"/>
            </w:r>
            <w:r w:rsidR="00BB504A">
              <w:rPr>
                <w:noProof/>
              </w:rPr>
              <w:t>27</w:t>
            </w:r>
            <w:r w:rsidR="00BB504A">
              <w:fldChar w:fldCharType="end"/>
            </w:r>
            <w:r w:rsidR="00BB504A">
              <w:t xml:space="preserve">, </w:t>
            </w:r>
            <w:r w:rsidR="004D09DB">
              <w:t xml:space="preserve">29–30, </w:t>
            </w:r>
            <w:r w:rsidR="006F001C">
              <w:fldChar w:fldCharType="begin"/>
            </w:r>
            <w:r w:rsidR="006F001C">
              <w:instrText xml:space="preserve"> PAGEREF _Ref149166373 \h </w:instrText>
            </w:r>
            <w:r w:rsidR="006F001C">
              <w:fldChar w:fldCharType="separate"/>
            </w:r>
            <w:r w:rsidR="006F001C">
              <w:rPr>
                <w:noProof/>
              </w:rPr>
              <w:t>37</w:t>
            </w:r>
            <w:r w:rsidR="006F001C">
              <w:fldChar w:fldCharType="end"/>
            </w:r>
            <w:r w:rsidR="006F001C">
              <w:t xml:space="preserve">, </w:t>
            </w:r>
            <w:r w:rsidR="00A447C1">
              <w:t xml:space="preserve">44, </w:t>
            </w:r>
            <w:r w:rsidR="00D164CF">
              <w:fldChar w:fldCharType="begin"/>
            </w:r>
            <w:r w:rsidR="00D164CF">
              <w:instrText xml:space="preserve"> PAGEREF _Ref149166496 \h </w:instrText>
            </w:r>
            <w:r w:rsidR="00D164CF">
              <w:fldChar w:fldCharType="separate"/>
            </w:r>
            <w:r w:rsidR="00D164CF">
              <w:rPr>
                <w:noProof/>
              </w:rPr>
              <w:t>51</w:t>
            </w:r>
            <w:r w:rsidR="00D164CF">
              <w:fldChar w:fldCharType="end"/>
            </w:r>
            <w:r w:rsidR="00D164CF">
              <w:t xml:space="preserve">, </w:t>
            </w:r>
            <w:r w:rsidR="00693253">
              <w:fldChar w:fldCharType="begin"/>
            </w:r>
            <w:r w:rsidR="00693253">
              <w:instrText xml:space="preserve"> PAGEREF _Ref149166554 \h </w:instrText>
            </w:r>
            <w:r w:rsidR="00693253">
              <w:fldChar w:fldCharType="separate"/>
            </w:r>
            <w:r w:rsidR="00693253">
              <w:rPr>
                <w:noProof/>
              </w:rPr>
              <w:t>59</w:t>
            </w:r>
            <w:r w:rsidR="00693253">
              <w:fldChar w:fldCharType="end"/>
            </w:r>
            <w:r w:rsidR="009669F2">
              <w:t xml:space="preserve">, </w:t>
            </w:r>
            <w:r w:rsidR="001425A7">
              <w:fldChar w:fldCharType="begin"/>
            </w:r>
            <w:r w:rsidR="001425A7">
              <w:instrText xml:space="preserve"> PAGEREF _Ref120788147 \h </w:instrText>
            </w:r>
            <w:r w:rsidR="001425A7">
              <w:fldChar w:fldCharType="separate"/>
            </w:r>
            <w:r w:rsidR="001425A7">
              <w:rPr>
                <w:noProof/>
              </w:rPr>
              <w:t>72</w:t>
            </w:r>
            <w:r w:rsidR="001425A7">
              <w:fldChar w:fldCharType="end"/>
            </w:r>
            <w:r w:rsidR="001425A7">
              <w:t xml:space="preserve">, </w:t>
            </w:r>
            <w:r w:rsidR="00AB30AC">
              <w:fldChar w:fldCharType="begin"/>
            </w:r>
            <w:r w:rsidR="00AB30AC">
              <w:instrText xml:space="preserve"> PAGEREF _Ref149166004 \h </w:instrText>
            </w:r>
            <w:r w:rsidR="00AB30AC">
              <w:fldChar w:fldCharType="separate"/>
            </w:r>
            <w:r w:rsidR="00AB30AC">
              <w:rPr>
                <w:noProof/>
              </w:rPr>
              <w:t>120</w:t>
            </w:r>
            <w:r w:rsidR="00AB30AC">
              <w:fldChar w:fldCharType="end"/>
            </w:r>
            <w:r w:rsidR="000C389D">
              <w:t xml:space="preserve">, </w:t>
            </w:r>
            <w:r w:rsidR="004D3454">
              <w:fldChar w:fldCharType="begin"/>
            </w:r>
            <w:r w:rsidR="004D3454">
              <w:instrText xml:space="preserve"> PAGEREF _Ref149166755 \h </w:instrText>
            </w:r>
            <w:r w:rsidR="004D3454">
              <w:fldChar w:fldCharType="separate"/>
            </w:r>
            <w:r w:rsidR="004D3454">
              <w:rPr>
                <w:noProof/>
              </w:rPr>
              <w:t>123</w:t>
            </w:r>
            <w:r w:rsidR="004D3454">
              <w:fldChar w:fldCharType="end"/>
            </w:r>
            <w:r w:rsidR="00F5589A">
              <w:t xml:space="preserve"> </w:t>
            </w:r>
          </w:p>
        </w:tc>
      </w:tr>
      <w:tr w:rsidR="00D9061D" w14:paraId="1212047A" w14:textId="77777777">
        <w:tc>
          <w:tcPr>
            <w:tcW w:w="7230" w:type="dxa"/>
          </w:tcPr>
          <w:p w14:paraId="6B753470" w14:textId="77777777" w:rsidR="00D9061D" w:rsidRPr="00A3330D" w:rsidRDefault="00D9061D">
            <w:pPr>
              <w:pStyle w:val="TableBodyText"/>
              <w:rPr>
                <w:rStyle w:val="Characteritalic"/>
              </w:rPr>
            </w:pPr>
            <w:r w:rsidRPr="00A3330D">
              <w:rPr>
                <w:rStyle w:val="Characteritalic"/>
              </w:rPr>
              <w:t>Integrity and Accountability Legislation Amendment (Public Interest Disclosure, Oversight and Independence) Act 2019</w:t>
            </w:r>
          </w:p>
        </w:tc>
        <w:tc>
          <w:tcPr>
            <w:tcW w:w="1797" w:type="dxa"/>
          </w:tcPr>
          <w:p w14:paraId="0A69A600" w14:textId="788B68BB" w:rsidR="00D9061D" w:rsidRDefault="00F266E5">
            <w:pPr>
              <w:pStyle w:val="TableBodyTextrightalign"/>
            </w:pPr>
            <w:r>
              <w:fldChar w:fldCharType="begin"/>
            </w:r>
            <w:r>
              <w:instrText xml:space="preserve"> PAGEREF _Ref149166800 \h </w:instrText>
            </w:r>
            <w:r>
              <w:fldChar w:fldCharType="separate"/>
            </w:r>
            <w:r>
              <w:rPr>
                <w:noProof/>
              </w:rPr>
              <w:t>23</w:t>
            </w:r>
            <w:r>
              <w:fldChar w:fldCharType="end"/>
            </w:r>
          </w:p>
        </w:tc>
      </w:tr>
      <w:tr w:rsidR="00D9061D" w14:paraId="35291B18" w14:textId="77777777">
        <w:tc>
          <w:tcPr>
            <w:tcW w:w="7230" w:type="dxa"/>
          </w:tcPr>
          <w:p w14:paraId="584271D1" w14:textId="4C9EA773" w:rsidR="00D9061D" w:rsidRPr="00291065" w:rsidRDefault="00315EE7" w:rsidP="00291065">
            <w:pPr>
              <w:pStyle w:val="TableBodyText"/>
              <w:rPr>
                <w:rStyle w:val="Characteritalic"/>
              </w:rPr>
            </w:pPr>
            <w:r w:rsidRPr="00291065">
              <w:rPr>
                <w:rStyle w:val="Characteritalic"/>
              </w:rPr>
              <w:t>Members of Parliament (Standards) Act 1978</w:t>
            </w:r>
          </w:p>
        </w:tc>
        <w:tc>
          <w:tcPr>
            <w:tcW w:w="1797" w:type="dxa"/>
          </w:tcPr>
          <w:p w14:paraId="0815534B" w14:textId="16795771" w:rsidR="00D9061D" w:rsidRDefault="006539C0">
            <w:pPr>
              <w:pStyle w:val="TableBodyTextrightalign"/>
            </w:pPr>
            <w:r>
              <w:t>125, 125</w:t>
            </w:r>
          </w:p>
        </w:tc>
      </w:tr>
      <w:tr w:rsidR="00D9061D" w14:paraId="48685356" w14:textId="77777777">
        <w:tc>
          <w:tcPr>
            <w:tcW w:w="7230" w:type="dxa"/>
          </w:tcPr>
          <w:p w14:paraId="05014010" w14:textId="679FC293" w:rsidR="00D9061D" w:rsidRPr="00291065" w:rsidRDefault="007C2CDF" w:rsidP="00291065">
            <w:pPr>
              <w:pStyle w:val="TableBodyText"/>
              <w:rPr>
                <w:rStyle w:val="Characteritalic"/>
              </w:rPr>
            </w:pPr>
            <w:r w:rsidRPr="00291065">
              <w:rPr>
                <w:rStyle w:val="Characteritalic"/>
              </w:rPr>
              <w:t>Parliamentary Administration Act 2005</w:t>
            </w:r>
          </w:p>
        </w:tc>
        <w:tc>
          <w:tcPr>
            <w:tcW w:w="1797" w:type="dxa"/>
          </w:tcPr>
          <w:p w14:paraId="1C035F36" w14:textId="10AE5737" w:rsidR="00D9061D" w:rsidRDefault="001120B6">
            <w:pPr>
              <w:pStyle w:val="TableBodyTextrightalign"/>
            </w:pPr>
            <w:r>
              <w:t>125</w:t>
            </w:r>
          </w:p>
        </w:tc>
      </w:tr>
      <w:tr w:rsidR="005C2F15" w14:paraId="42264183" w14:textId="77777777">
        <w:tc>
          <w:tcPr>
            <w:tcW w:w="7230" w:type="dxa"/>
          </w:tcPr>
          <w:p w14:paraId="616BBA05" w14:textId="3830FE96" w:rsidR="005C2F15" w:rsidRPr="00291065" w:rsidRDefault="00BC2F08" w:rsidP="00291065">
            <w:pPr>
              <w:pStyle w:val="TableBodyText"/>
              <w:rPr>
                <w:rStyle w:val="Characteritalic"/>
              </w:rPr>
            </w:pPr>
            <w:r w:rsidRPr="00291065">
              <w:rPr>
                <w:rStyle w:val="Characteritalic"/>
              </w:rPr>
              <w:t>Parliamentary Committees Act 2003</w:t>
            </w:r>
          </w:p>
        </w:tc>
        <w:tc>
          <w:tcPr>
            <w:tcW w:w="1797" w:type="dxa"/>
          </w:tcPr>
          <w:p w14:paraId="7CCC3BFD" w14:textId="10E2CBBE" w:rsidR="005C2F15" w:rsidRDefault="00376980">
            <w:pPr>
              <w:pStyle w:val="TableBodyTextrightalign"/>
            </w:pPr>
            <w:r>
              <w:t>124, 130</w:t>
            </w:r>
          </w:p>
        </w:tc>
      </w:tr>
      <w:tr w:rsidR="00D9061D" w14:paraId="21DF7044" w14:textId="77777777">
        <w:tc>
          <w:tcPr>
            <w:tcW w:w="7230" w:type="dxa"/>
          </w:tcPr>
          <w:p w14:paraId="6551F756" w14:textId="77777777" w:rsidR="00D9061D" w:rsidRPr="00A3330D" w:rsidRDefault="00D9061D">
            <w:pPr>
              <w:pStyle w:val="TableBodyText"/>
              <w:rPr>
                <w:rStyle w:val="Characteritalic"/>
              </w:rPr>
            </w:pPr>
            <w:r w:rsidRPr="00291065">
              <w:rPr>
                <w:rStyle w:val="Characteritalic"/>
              </w:rPr>
              <w:t>Parliamentary Salaries and Superannuation Act 1968</w:t>
            </w:r>
          </w:p>
        </w:tc>
        <w:tc>
          <w:tcPr>
            <w:tcW w:w="1797" w:type="dxa"/>
          </w:tcPr>
          <w:p w14:paraId="148A8A11" w14:textId="2A3FAF7C" w:rsidR="00D9061D" w:rsidRDefault="00376980">
            <w:pPr>
              <w:pStyle w:val="TableBodyTextrightalign"/>
            </w:pPr>
            <w:r>
              <w:t>104</w:t>
            </w:r>
          </w:p>
        </w:tc>
      </w:tr>
      <w:tr w:rsidR="00D9061D" w14:paraId="78D30990" w14:textId="77777777">
        <w:tc>
          <w:tcPr>
            <w:tcW w:w="7230" w:type="dxa"/>
          </w:tcPr>
          <w:p w14:paraId="64E14611" w14:textId="77777777" w:rsidR="00D9061D" w:rsidRPr="00291065" w:rsidRDefault="00D9061D">
            <w:pPr>
              <w:pStyle w:val="TableBodyText"/>
              <w:rPr>
                <w:rStyle w:val="Characteritalic"/>
              </w:rPr>
            </w:pPr>
            <w:r w:rsidRPr="00291065">
              <w:rPr>
                <w:rStyle w:val="Characteritalic"/>
              </w:rPr>
              <w:t xml:space="preserve">Public Administration Act 2004 </w:t>
            </w:r>
          </w:p>
        </w:tc>
        <w:tc>
          <w:tcPr>
            <w:tcW w:w="1797" w:type="dxa"/>
          </w:tcPr>
          <w:p w14:paraId="3149D73D" w14:textId="56CA8238" w:rsidR="00D9061D" w:rsidRDefault="00194CDC">
            <w:pPr>
              <w:pStyle w:val="TableBodyTextrightalign"/>
            </w:pPr>
            <w:r>
              <w:fldChar w:fldCharType="begin"/>
            </w:r>
            <w:r>
              <w:instrText xml:space="preserve"> PAGEREF _Ref145081266 \h </w:instrText>
            </w:r>
            <w:r>
              <w:fldChar w:fldCharType="separate"/>
            </w:r>
            <w:r>
              <w:rPr>
                <w:noProof/>
              </w:rPr>
              <w:t>103</w:t>
            </w:r>
            <w:r>
              <w:fldChar w:fldCharType="end"/>
            </w:r>
            <w:r w:rsidR="001A5577">
              <w:t xml:space="preserve">, </w:t>
            </w:r>
            <w:r w:rsidR="0056448C">
              <w:fldChar w:fldCharType="begin"/>
            </w:r>
            <w:r w:rsidR="0056448C">
              <w:instrText xml:space="preserve"> PAGEREF _Ref149167360 \h </w:instrText>
            </w:r>
            <w:r w:rsidR="0056448C">
              <w:fldChar w:fldCharType="separate"/>
            </w:r>
            <w:r w:rsidR="0056448C">
              <w:rPr>
                <w:noProof/>
              </w:rPr>
              <w:t>115</w:t>
            </w:r>
            <w:r w:rsidR="0056448C">
              <w:fldChar w:fldCharType="end"/>
            </w:r>
          </w:p>
        </w:tc>
      </w:tr>
      <w:tr w:rsidR="00D9061D" w14:paraId="116C2ED5" w14:textId="77777777">
        <w:tc>
          <w:tcPr>
            <w:tcW w:w="7230" w:type="dxa"/>
          </w:tcPr>
          <w:p w14:paraId="5322C150" w14:textId="77777777" w:rsidR="00D9061D" w:rsidRPr="00A3330D" w:rsidRDefault="00D9061D">
            <w:pPr>
              <w:pStyle w:val="TableBodyText"/>
              <w:rPr>
                <w:rStyle w:val="Characteritalic"/>
              </w:rPr>
            </w:pPr>
            <w:r w:rsidRPr="00A3330D">
              <w:rPr>
                <w:rStyle w:val="Characteritalic"/>
              </w:rPr>
              <w:t>Public Interest Disclosures Act 2012</w:t>
            </w:r>
          </w:p>
        </w:tc>
        <w:tc>
          <w:tcPr>
            <w:tcW w:w="1797" w:type="dxa"/>
          </w:tcPr>
          <w:p w14:paraId="775EF865" w14:textId="3D93CC67" w:rsidR="00D9061D" w:rsidRDefault="00B74D5B">
            <w:pPr>
              <w:pStyle w:val="TableBodyTextrightalign"/>
            </w:pPr>
            <w:r>
              <w:t xml:space="preserve">ii, vii, </w:t>
            </w:r>
            <w:r w:rsidR="00732654">
              <w:fldChar w:fldCharType="begin"/>
            </w:r>
            <w:r w:rsidR="00732654">
              <w:instrText xml:space="preserve"> PAGEREF _Ref118801042 \h </w:instrText>
            </w:r>
            <w:r w:rsidR="00732654">
              <w:fldChar w:fldCharType="separate"/>
            </w:r>
            <w:r w:rsidR="00732654">
              <w:rPr>
                <w:noProof/>
              </w:rPr>
              <w:t>33</w:t>
            </w:r>
            <w:r w:rsidR="00732654">
              <w:fldChar w:fldCharType="end"/>
            </w:r>
            <w:r w:rsidR="00732654">
              <w:t xml:space="preserve">, </w:t>
            </w:r>
            <w:r w:rsidR="00841BE7">
              <w:fldChar w:fldCharType="begin"/>
            </w:r>
            <w:r w:rsidR="00841BE7">
              <w:instrText xml:space="preserve"> PAGEREF _Ref149135728 \h </w:instrText>
            </w:r>
            <w:r w:rsidR="00841BE7">
              <w:fldChar w:fldCharType="separate"/>
            </w:r>
            <w:r w:rsidR="00841BE7">
              <w:rPr>
                <w:noProof/>
              </w:rPr>
              <w:t>34</w:t>
            </w:r>
            <w:r w:rsidR="00841BE7">
              <w:fldChar w:fldCharType="end"/>
            </w:r>
            <w:r w:rsidR="00841BE7">
              <w:t xml:space="preserve">, </w:t>
            </w:r>
            <w:r w:rsidR="002F2DE0">
              <w:fldChar w:fldCharType="begin"/>
            </w:r>
            <w:r w:rsidR="002F2DE0">
              <w:instrText xml:space="preserve"> PAGEREF _Ref149135837 \h </w:instrText>
            </w:r>
            <w:r w:rsidR="002F2DE0">
              <w:fldChar w:fldCharType="separate"/>
            </w:r>
            <w:r w:rsidR="002F2DE0">
              <w:rPr>
                <w:noProof/>
              </w:rPr>
              <w:t>34</w:t>
            </w:r>
            <w:r w:rsidR="002F2DE0">
              <w:fldChar w:fldCharType="end"/>
            </w:r>
            <w:r w:rsidR="002F2DE0">
              <w:t xml:space="preserve">, </w:t>
            </w:r>
            <w:r w:rsidR="002F2DE0">
              <w:fldChar w:fldCharType="begin"/>
            </w:r>
            <w:r w:rsidR="002F2DE0">
              <w:instrText xml:space="preserve"> PAGEREF _Ref149135840 \h </w:instrText>
            </w:r>
            <w:r w:rsidR="002F2DE0">
              <w:fldChar w:fldCharType="separate"/>
            </w:r>
            <w:r w:rsidR="002F2DE0">
              <w:rPr>
                <w:noProof/>
              </w:rPr>
              <w:t>35</w:t>
            </w:r>
            <w:r w:rsidR="002F2DE0">
              <w:fldChar w:fldCharType="end"/>
            </w:r>
            <w:r w:rsidR="002F2DE0">
              <w:t xml:space="preserve">, </w:t>
            </w:r>
            <w:r w:rsidR="009C6D61">
              <w:t xml:space="preserve">38–39, </w:t>
            </w:r>
            <w:r w:rsidR="00FA13BE">
              <w:fldChar w:fldCharType="begin"/>
            </w:r>
            <w:r w:rsidR="00FA13BE">
              <w:instrText xml:space="preserve"> PAGEREF _Ref149167721 \h </w:instrText>
            </w:r>
            <w:r w:rsidR="00FA13BE">
              <w:fldChar w:fldCharType="separate"/>
            </w:r>
            <w:r w:rsidR="00FA13BE">
              <w:rPr>
                <w:noProof/>
              </w:rPr>
              <w:t>47</w:t>
            </w:r>
            <w:r w:rsidR="00FA13BE">
              <w:fldChar w:fldCharType="end"/>
            </w:r>
            <w:r w:rsidR="00FA13BE">
              <w:t xml:space="preserve">, </w:t>
            </w:r>
            <w:r w:rsidR="00672388">
              <w:fldChar w:fldCharType="begin"/>
            </w:r>
            <w:r w:rsidR="00672388">
              <w:instrText xml:space="preserve"> PAGEREF _Ref149135870 \h </w:instrText>
            </w:r>
            <w:r w:rsidR="00672388">
              <w:fldChar w:fldCharType="separate"/>
            </w:r>
            <w:r w:rsidR="00672388">
              <w:rPr>
                <w:noProof/>
              </w:rPr>
              <w:t>48</w:t>
            </w:r>
            <w:r w:rsidR="00672388">
              <w:fldChar w:fldCharType="end"/>
            </w:r>
            <w:r w:rsidR="00BE4979">
              <w:t xml:space="preserve">, </w:t>
            </w:r>
            <w:r w:rsidR="00BE4979">
              <w:fldChar w:fldCharType="begin"/>
            </w:r>
            <w:r w:rsidR="00BE4979">
              <w:instrText xml:space="preserve"> PAGEREF _Ref149164728 \h </w:instrText>
            </w:r>
            <w:r w:rsidR="00BE4979">
              <w:fldChar w:fldCharType="separate"/>
            </w:r>
            <w:r w:rsidR="00BE4979">
              <w:rPr>
                <w:noProof/>
              </w:rPr>
              <w:t>116</w:t>
            </w:r>
            <w:r w:rsidR="00BE4979">
              <w:fldChar w:fldCharType="end"/>
            </w:r>
            <w:r w:rsidR="00BE4979">
              <w:t xml:space="preserve">, </w:t>
            </w:r>
            <w:r w:rsidR="00574C56">
              <w:fldChar w:fldCharType="begin"/>
            </w:r>
            <w:r w:rsidR="00574C56">
              <w:instrText xml:space="preserve"> PAGEREF _Ref149136842 \h </w:instrText>
            </w:r>
            <w:r w:rsidR="00574C56">
              <w:fldChar w:fldCharType="separate"/>
            </w:r>
            <w:r w:rsidR="00574C56">
              <w:rPr>
                <w:noProof/>
              </w:rPr>
              <w:t>122</w:t>
            </w:r>
            <w:r w:rsidR="00574C56">
              <w:fldChar w:fldCharType="end"/>
            </w:r>
            <w:r w:rsidR="00574C56">
              <w:t xml:space="preserve">, </w:t>
            </w:r>
            <w:r w:rsidR="00C863D5">
              <w:fldChar w:fldCharType="begin"/>
            </w:r>
            <w:r w:rsidR="00C863D5">
              <w:instrText xml:space="preserve"> PAGEREF _Ref149167907 \h </w:instrText>
            </w:r>
            <w:r w:rsidR="00C863D5">
              <w:fldChar w:fldCharType="separate"/>
            </w:r>
            <w:r w:rsidR="00C863D5">
              <w:rPr>
                <w:noProof/>
              </w:rPr>
              <w:t>122</w:t>
            </w:r>
            <w:r w:rsidR="00C863D5">
              <w:fldChar w:fldCharType="end"/>
            </w:r>
            <w:r w:rsidR="00C863D5">
              <w:t xml:space="preserve">, </w:t>
            </w:r>
            <w:r w:rsidR="008856AA">
              <w:t xml:space="preserve">125, </w:t>
            </w:r>
            <w:r w:rsidR="005F0192">
              <w:t>134</w:t>
            </w:r>
          </w:p>
        </w:tc>
      </w:tr>
      <w:tr w:rsidR="00D9061D" w14:paraId="51DC45D6" w14:textId="77777777">
        <w:tc>
          <w:tcPr>
            <w:tcW w:w="7230" w:type="dxa"/>
          </w:tcPr>
          <w:p w14:paraId="1DFA0306" w14:textId="77777777" w:rsidR="00D9061D" w:rsidRPr="00A3330D" w:rsidRDefault="00D9061D">
            <w:pPr>
              <w:pStyle w:val="TableBodyText"/>
              <w:rPr>
                <w:rStyle w:val="Characteritalic"/>
              </w:rPr>
            </w:pPr>
            <w:r w:rsidRPr="00A3330D">
              <w:rPr>
                <w:rStyle w:val="Characteritalic"/>
              </w:rPr>
              <w:t>Sex Offenders Registration Act 2004</w:t>
            </w:r>
          </w:p>
        </w:tc>
        <w:tc>
          <w:tcPr>
            <w:tcW w:w="1797" w:type="dxa"/>
          </w:tcPr>
          <w:p w14:paraId="1B52C856" w14:textId="71B4FE5D" w:rsidR="00D9061D" w:rsidRDefault="00F259E3">
            <w:pPr>
              <w:pStyle w:val="TableBodyTextrightalign"/>
            </w:pPr>
            <w:r>
              <w:fldChar w:fldCharType="begin"/>
            </w:r>
            <w:r>
              <w:instrText xml:space="preserve"> PAGEREF _Ref149165184 \h </w:instrText>
            </w:r>
            <w:r>
              <w:fldChar w:fldCharType="separate"/>
            </w:r>
            <w:r>
              <w:rPr>
                <w:noProof/>
              </w:rPr>
              <w:t>39</w:t>
            </w:r>
            <w:r>
              <w:fldChar w:fldCharType="end"/>
            </w:r>
          </w:p>
        </w:tc>
      </w:tr>
      <w:tr w:rsidR="00D9061D" w14:paraId="6FE0A2C9" w14:textId="77777777">
        <w:tc>
          <w:tcPr>
            <w:tcW w:w="7230" w:type="dxa"/>
          </w:tcPr>
          <w:p w14:paraId="7CCC7710" w14:textId="77777777" w:rsidR="00D9061D" w:rsidRPr="00A3330D" w:rsidRDefault="00D9061D">
            <w:pPr>
              <w:pStyle w:val="TableBodyText"/>
              <w:rPr>
                <w:rStyle w:val="Characteritalic"/>
              </w:rPr>
            </w:pPr>
            <w:r w:rsidRPr="00A3330D">
              <w:rPr>
                <w:rStyle w:val="Characteritalic"/>
              </w:rPr>
              <w:t>Witness Protection Act 1991</w:t>
            </w:r>
          </w:p>
        </w:tc>
        <w:tc>
          <w:tcPr>
            <w:tcW w:w="1797" w:type="dxa"/>
          </w:tcPr>
          <w:p w14:paraId="4B0091A7" w14:textId="44DC0B25" w:rsidR="00D9061D" w:rsidRDefault="00F259E3">
            <w:pPr>
              <w:pStyle w:val="TableBodyTextrightalign"/>
            </w:pPr>
            <w:r>
              <w:fldChar w:fldCharType="begin"/>
            </w:r>
            <w:r>
              <w:instrText xml:space="preserve"> PAGEREF _Ref149165184 \h </w:instrText>
            </w:r>
            <w:r>
              <w:fldChar w:fldCharType="separate"/>
            </w:r>
            <w:r>
              <w:rPr>
                <w:noProof/>
              </w:rPr>
              <w:t>39</w:t>
            </w:r>
            <w:r>
              <w:fldChar w:fldCharType="end"/>
            </w:r>
          </w:p>
        </w:tc>
      </w:tr>
    </w:tbl>
    <w:p w14:paraId="17AF0019" w14:textId="0D78F7C2" w:rsidR="004B6A76" w:rsidRPr="002F6765" w:rsidRDefault="00304E30" w:rsidP="001B616D">
      <w:pPr>
        <w:pStyle w:val="AppendixHeading1"/>
      </w:pPr>
      <w:bookmarkStart w:id="286" w:name="_Toc144816526"/>
      <w:bookmarkStart w:id="287" w:name="_Toc144816527"/>
      <w:bookmarkStart w:id="288" w:name="_Toc144816528"/>
      <w:bookmarkStart w:id="289" w:name="_Toc144816529"/>
      <w:bookmarkStart w:id="290" w:name="_Toc149131465"/>
      <w:bookmarkEnd w:id="286"/>
      <w:bookmarkEnd w:id="287"/>
      <w:bookmarkEnd w:id="288"/>
      <w:bookmarkEnd w:id="289"/>
      <w:r>
        <w:t>Abbreviations</w:t>
      </w:r>
      <w:bookmarkEnd w:id="290"/>
    </w:p>
    <w:tbl>
      <w:tblPr>
        <w:tblStyle w:val="CustomTableplaceholder"/>
        <w:tblW w:w="0" w:type="auto"/>
        <w:tblLook w:val="04A0" w:firstRow="1" w:lastRow="0" w:firstColumn="1" w:lastColumn="0" w:noHBand="0" w:noVBand="1"/>
      </w:tblPr>
      <w:tblGrid>
        <w:gridCol w:w="2835"/>
        <w:gridCol w:w="6192"/>
      </w:tblGrid>
      <w:tr w:rsidR="00827730" w:rsidRPr="002339D8" w14:paraId="7DCD34B6" w14:textId="77777777" w:rsidTr="007524A5">
        <w:tc>
          <w:tcPr>
            <w:tcW w:w="2835" w:type="dxa"/>
          </w:tcPr>
          <w:p w14:paraId="2ECFF95D" w14:textId="7388CEB8" w:rsidR="00827730" w:rsidRPr="002339D8" w:rsidRDefault="00827730" w:rsidP="002339D8">
            <w:pPr>
              <w:pStyle w:val="TableBodyText"/>
            </w:pPr>
            <w:r w:rsidRPr="002339D8">
              <w:t>AAS</w:t>
            </w:r>
          </w:p>
        </w:tc>
        <w:tc>
          <w:tcPr>
            <w:tcW w:w="6192" w:type="dxa"/>
          </w:tcPr>
          <w:p w14:paraId="7B9E2A64" w14:textId="6E7FE944" w:rsidR="00827730" w:rsidRPr="002339D8" w:rsidRDefault="00827730" w:rsidP="002339D8">
            <w:pPr>
              <w:pStyle w:val="TableBodyText"/>
            </w:pPr>
            <w:r w:rsidRPr="002339D8">
              <w:t>Australian Accounting Standard</w:t>
            </w:r>
          </w:p>
        </w:tc>
      </w:tr>
      <w:tr w:rsidR="00827730" w:rsidRPr="002339D8" w14:paraId="5E178990" w14:textId="77777777" w:rsidTr="007524A5">
        <w:tc>
          <w:tcPr>
            <w:tcW w:w="2835" w:type="dxa"/>
          </w:tcPr>
          <w:p w14:paraId="446C2A05" w14:textId="47B00604" w:rsidR="00827730" w:rsidRPr="002339D8" w:rsidRDefault="00827730" w:rsidP="002339D8">
            <w:pPr>
              <w:pStyle w:val="TableBodyText"/>
            </w:pPr>
            <w:r w:rsidRPr="002339D8">
              <w:t>AASB</w:t>
            </w:r>
          </w:p>
        </w:tc>
        <w:tc>
          <w:tcPr>
            <w:tcW w:w="6192" w:type="dxa"/>
          </w:tcPr>
          <w:p w14:paraId="0494DE0F" w14:textId="3C24B8AF" w:rsidR="00827730" w:rsidRPr="002339D8" w:rsidRDefault="00827730" w:rsidP="002339D8">
            <w:pPr>
              <w:pStyle w:val="TableBodyText"/>
            </w:pPr>
            <w:r w:rsidRPr="002339D8">
              <w:t>Australian Accounting Standards Board</w:t>
            </w:r>
          </w:p>
        </w:tc>
      </w:tr>
      <w:tr w:rsidR="00827730" w:rsidRPr="002339D8" w14:paraId="65EFB508" w14:textId="77777777" w:rsidTr="007524A5">
        <w:tc>
          <w:tcPr>
            <w:tcW w:w="2835" w:type="dxa"/>
          </w:tcPr>
          <w:p w14:paraId="2A06428F" w14:textId="0DACE2F7" w:rsidR="00827730" w:rsidRPr="002339D8" w:rsidRDefault="00827730" w:rsidP="002339D8">
            <w:pPr>
              <w:pStyle w:val="TableBodyText"/>
            </w:pPr>
            <w:r w:rsidRPr="002339D8">
              <w:t>AM</w:t>
            </w:r>
          </w:p>
        </w:tc>
        <w:tc>
          <w:tcPr>
            <w:tcW w:w="6192" w:type="dxa"/>
          </w:tcPr>
          <w:p w14:paraId="4D342EAE" w14:textId="66016399" w:rsidR="00827730" w:rsidRPr="002339D8" w:rsidRDefault="00827730" w:rsidP="002339D8">
            <w:pPr>
              <w:pStyle w:val="TableBodyText"/>
            </w:pPr>
            <w:r w:rsidRPr="002339D8">
              <w:t xml:space="preserve">Order </w:t>
            </w:r>
            <w:r w:rsidR="00735B3A">
              <w:t>o</w:t>
            </w:r>
            <w:r w:rsidR="00735B3A" w:rsidRPr="002339D8">
              <w:t xml:space="preserve">f </w:t>
            </w:r>
            <w:r w:rsidRPr="002339D8">
              <w:t>Australia</w:t>
            </w:r>
            <w:r w:rsidR="00735B3A">
              <w:t>, Member</w:t>
            </w:r>
          </w:p>
        </w:tc>
      </w:tr>
      <w:tr w:rsidR="00827730" w:rsidRPr="002339D8" w14:paraId="49E9A996" w14:textId="77777777" w:rsidTr="007524A5">
        <w:tc>
          <w:tcPr>
            <w:tcW w:w="2835" w:type="dxa"/>
          </w:tcPr>
          <w:p w14:paraId="1A7C8FDF" w14:textId="2E060C58" w:rsidR="00827730" w:rsidRPr="002339D8" w:rsidRDefault="00827730" w:rsidP="002339D8">
            <w:pPr>
              <w:pStyle w:val="TableBodyText"/>
            </w:pPr>
            <w:r w:rsidRPr="002339D8">
              <w:t>BAU</w:t>
            </w:r>
          </w:p>
        </w:tc>
        <w:tc>
          <w:tcPr>
            <w:tcW w:w="6192" w:type="dxa"/>
          </w:tcPr>
          <w:p w14:paraId="37A82D96" w14:textId="1F1346A5" w:rsidR="00827730" w:rsidRPr="002339D8" w:rsidRDefault="00827730" w:rsidP="002339D8">
            <w:pPr>
              <w:pStyle w:val="TableBodyText"/>
            </w:pPr>
            <w:r w:rsidRPr="002339D8">
              <w:t>business as usual</w:t>
            </w:r>
          </w:p>
        </w:tc>
      </w:tr>
      <w:tr w:rsidR="00BA7EC1" w:rsidRPr="002339D8" w14:paraId="47164E2A" w14:textId="77777777" w:rsidTr="007524A5">
        <w:tc>
          <w:tcPr>
            <w:tcW w:w="2835" w:type="dxa"/>
          </w:tcPr>
          <w:p w14:paraId="4F480444" w14:textId="3F5D17D6" w:rsidR="00BA7EC1" w:rsidRPr="002339D8" w:rsidRDefault="00BA7EC1" w:rsidP="002339D8">
            <w:pPr>
              <w:pStyle w:val="TableBodyText"/>
            </w:pPr>
            <w:r w:rsidRPr="00BA7EC1">
              <w:t>BP3</w:t>
            </w:r>
          </w:p>
        </w:tc>
        <w:tc>
          <w:tcPr>
            <w:tcW w:w="6192" w:type="dxa"/>
          </w:tcPr>
          <w:p w14:paraId="18D88FEE" w14:textId="7EAF8462" w:rsidR="00BA7EC1" w:rsidRPr="002339D8" w:rsidRDefault="00BA7EC1" w:rsidP="002339D8">
            <w:pPr>
              <w:pStyle w:val="TableBodyText"/>
            </w:pPr>
            <w:r w:rsidRPr="00BA7EC1">
              <w:t>Budget Paper No. 3</w:t>
            </w:r>
          </w:p>
        </w:tc>
      </w:tr>
      <w:tr w:rsidR="00DB024E" w:rsidRPr="002339D8" w14:paraId="7862714C" w14:textId="77777777" w:rsidTr="007524A5">
        <w:tc>
          <w:tcPr>
            <w:tcW w:w="2835" w:type="dxa"/>
          </w:tcPr>
          <w:p w14:paraId="31537891" w14:textId="61071337" w:rsidR="00DB024E" w:rsidRPr="002339D8" w:rsidRDefault="00DB024E" w:rsidP="002339D8">
            <w:pPr>
              <w:pStyle w:val="TableBodyText"/>
            </w:pPr>
            <w:r w:rsidRPr="00DB024E">
              <w:t>CCO</w:t>
            </w:r>
          </w:p>
        </w:tc>
        <w:tc>
          <w:tcPr>
            <w:tcW w:w="6192" w:type="dxa"/>
          </w:tcPr>
          <w:p w14:paraId="6A451C7A" w14:textId="42EF5018" w:rsidR="00DB024E" w:rsidRDefault="00DB024E" w:rsidP="002339D8">
            <w:pPr>
              <w:pStyle w:val="TableBodyText"/>
            </w:pPr>
            <w:r w:rsidRPr="00DB024E">
              <w:t>community corrections order</w:t>
            </w:r>
          </w:p>
        </w:tc>
      </w:tr>
      <w:tr w:rsidR="00827730" w:rsidRPr="002339D8" w14:paraId="55376CB0" w14:textId="77777777" w:rsidTr="007524A5">
        <w:tc>
          <w:tcPr>
            <w:tcW w:w="2835" w:type="dxa"/>
          </w:tcPr>
          <w:p w14:paraId="0ACBC51B" w14:textId="05C905AE" w:rsidR="00827730" w:rsidRPr="002339D8" w:rsidRDefault="00827730" w:rsidP="002339D8">
            <w:pPr>
              <w:pStyle w:val="TableBodyText"/>
            </w:pPr>
            <w:r w:rsidRPr="002339D8">
              <w:t>CEO</w:t>
            </w:r>
          </w:p>
        </w:tc>
        <w:tc>
          <w:tcPr>
            <w:tcW w:w="6192" w:type="dxa"/>
          </w:tcPr>
          <w:p w14:paraId="46556603" w14:textId="3633D803" w:rsidR="00827730" w:rsidRPr="002339D8" w:rsidRDefault="00D5338B" w:rsidP="002339D8">
            <w:pPr>
              <w:pStyle w:val="TableBodyText"/>
            </w:pPr>
            <w:r>
              <w:t>c</w:t>
            </w:r>
            <w:r w:rsidR="00827730" w:rsidRPr="002339D8">
              <w:t xml:space="preserve">hief </w:t>
            </w:r>
            <w:r>
              <w:t>e</w:t>
            </w:r>
            <w:r w:rsidR="00827730" w:rsidRPr="002339D8">
              <w:t xml:space="preserve">xecutive </w:t>
            </w:r>
            <w:r>
              <w:t>o</w:t>
            </w:r>
            <w:r w:rsidR="00827730" w:rsidRPr="002339D8">
              <w:t>fficer</w:t>
            </w:r>
          </w:p>
        </w:tc>
      </w:tr>
      <w:tr w:rsidR="0000209F" w:rsidRPr="002339D8" w14:paraId="01DA4CC4" w14:textId="77777777" w:rsidTr="007524A5">
        <w:tc>
          <w:tcPr>
            <w:tcW w:w="2835" w:type="dxa"/>
          </w:tcPr>
          <w:p w14:paraId="31809257" w14:textId="69B2B873" w:rsidR="0000209F" w:rsidRPr="002339D8" w:rsidRDefault="0000209F" w:rsidP="002339D8">
            <w:pPr>
              <w:pStyle w:val="TableBodyText"/>
            </w:pPr>
            <w:r>
              <w:t>CIRT</w:t>
            </w:r>
          </w:p>
        </w:tc>
        <w:tc>
          <w:tcPr>
            <w:tcW w:w="6192" w:type="dxa"/>
          </w:tcPr>
          <w:p w14:paraId="2C7AE61A" w14:textId="3C4695F2" w:rsidR="0000209F" w:rsidRDefault="0000209F" w:rsidP="002339D8">
            <w:pPr>
              <w:pStyle w:val="TableBodyText"/>
            </w:pPr>
            <w:r>
              <w:t>Critical Incident Response Team</w:t>
            </w:r>
          </w:p>
        </w:tc>
      </w:tr>
      <w:tr w:rsidR="00827730" w:rsidRPr="002339D8" w14:paraId="2AD1DC2B" w14:textId="77777777" w:rsidTr="007524A5">
        <w:tc>
          <w:tcPr>
            <w:tcW w:w="2835" w:type="dxa"/>
          </w:tcPr>
          <w:p w14:paraId="671C324D" w14:textId="394DCDEF" w:rsidR="00827730" w:rsidRPr="002339D8" w:rsidRDefault="00827730" w:rsidP="002339D8">
            <w:pPr>
              <w:pStyle w:val="TableBodyText"/>
            </w:pPr>
            <w:r w:rsidRPr="002339D8">
              <w:t>CMS</w:t>
            </w:r>
          </w:p>
        </w:tc>
        <w:tc>
          <w:tcPr>
            <w:tcW w:w="6192" w:type="dxa"/>
          </w:tcPr>
          <w:p w14:paraId="3FC2AF74" w14:textId="78E2A319" w:rsidR="00827730" w:rsidRPr="002339D8" w:rsidRDefault="00827730" w:rsidP="002339D8">
            <w:pPr>
              <w:pStyle w:val="TableBodyText"/>
            </w:pPr>
            <w:r w:rsidRPr="002339D8">
              <w:t>case management system</w:t>
            </w:r>
          </w:p>
        </w:tc>
      </w:tr>
      <w:tr w:rsidR="00C6398C" w:rsidRPr="002339D8" w14:paraId="41CFF1AA" w14:textId="77777777" w:rsidTr="007524A5">
        <w:tc>
          <w:tcPr>
            <w:tcW w:w="2835" w:type="dxa"/>
          </w:tcPr>
          <w:p w14:paraId="0378D7E3" w14:textId="09B65F04" w:rsidR="00C6398C" w:rsidRDefault="00C6398C" w:rsidP="002339D8">
            <w:pPr>
              <w:pStyle w:val="TableBodyText"/>
            </w:pPr>
            <w:r w:rsidRPr="00C6398C">
              <w:t>DHHS</w:t>
            </w:r>
          </w:p>
        </w:tc>
        <w:tc>
          <w:tcPr>
            <w:tcW w:w="6192" w:type="dxa"/>
          </w:tcPr>
          <w:p w14:paraId="4DFEC4C7" w14:textId="145F802F" w:rsidR="00C6398C" w:rsidRDefault="00C6398C" w:rsidP="002339D8">
            <w:pPr>
              <w:pStyle w:val="TableBodyText"/>
            </w:pPr>
            <w:r w:rsidRPr="00C6398C">
              <w:t>Department of Health and Human Services</w:t>
            </w:r>
          </w:p>
        </w:tc>
      </w:tr>
      <w:tr w:rsidR="00C6398C" w:rsidRPr="002339D8" w14:paraId="3B4D1B37" w14:textId="77777777" w:rsidTr="007524A5">
        <w:tc>
          <w:tcPr>
            <w:tcW w:w="2835" w:type="dxa"/>
          </w:tcPr>
          <w:p w14:paraId="5FFB30BE" w14:textId="06D69078" w:rsidR="00C6398C" w:rsidRPr="00C6398C" w:rsidRDefault="00C6398C" w:rsidP="00C6398C">
            <w:pPr>
              <w:pStyle w:val="TableBodyText"/>
            </w:pPr>
            <w:r w:rsidRPr="00C6398C">
              <w:t>DPC</w:t>
            </w:r>
          </w:p>
        </w:tc>
        <w:tc>
          <w:tcPr>
            <w:tcW w:w="6192" w:type="dxa"/>
          </w:tcPr>
          <w:p w14:paraId="4289CB68" w14:textId="1144D356" w:rsidR="00C6398C" w:rsidRPr="00C6398C" w:rsidRDefault="00C6398C" w:rsidP="00C6398C">
            <w:pPr>
              <w:pStyle w:val="TableBodyText"/>
            </w:pPr>
            <w:r w:rsidRPr="00C6398C">
              <w:t>Department of Premier and Cabinet</w:t>
            </w:r>
          </w:p>
        </w:tc>
      </w:tr>
      <w:tr w:rsidR="00827730" w:rsidRPr="002339D8" w14:paraId="355CEA5F" w14:textId="77777777" w:rsidTr="007524A5">
        <w:tc>
          <w:tcPr>
            <w:tcW w:w="2835" w:type="dxa"/>
          </w:tcPr>
          <w:p w14:paraId="758C0FB1" w14:textId="01014554" w:rsidR="00827730" w:rsidRPr="002339D8" w:rsidRDefault="00827730" w:rsidP="002339D8">
            <w:pPr>
              <w:pStyle w:val="TableBodyText"/>
            </w:pPr>
            <w:r w:rsidRPr="002339D8">
              <w:t>EO</w:t>
            </w:r>
          </w:p>
        </w:tc>
        <w:tc>
          <w:tcPr>
            <w:tcW w:w="6192" w:type="dxa"/>
          </w:tcPr>
          <w:p w14:paraId="1942DE75" w14:textId="63A80515" w:rsidR="00827730" w:rsidRPr="002339D8" w:rsidRDefault="00D5338B" w:rsidP="002339D8">
            <w:pPr>
              <w:pStyle w:val="TableBodyText"/>
            </w:pPr>
            <w:r>
              <w:t>e</w:t>
            </w:r>
            <w:r w:rsidR="00827730" w:rsidRPr="002339D8">
              <w:t xml:space="preserve">xecutive </w:t>
            </w:r>
            <w:r>
              <w:t>o</w:t>
            </w:r>
            <w:r w:rsidR="00827730" w:rsidRPr="002339D8">
              <w:t>fficer</w:t>
            </w:r>
          </w:p>
        </w:tc>
      </w:tr>
      <w:tr w:rsidR="0008553B" w:rsidRPr="002339D8" w14:paraId="60687518" w14:textId="77777777" w:rsidTr="007524A5">
        <w:tc>
          <w:tcPr>
            <w:tcW w:w="2835" w:type="dxa"/>
          </w:tcPr>
          <w:p w14:paraId="4B38FDB8" w14:textId="31D4FAB1" w:rsidR="0008553B" w:rsidRPr="00ED1FFB" w:rsidRDefault="0008553B" w:rsidP="002339D8">
            <w:pPr>
              <w:pStyle w:val="TableBodyText"/>
            </w:pPr>
            <w:r>
              <w:t>FBT</w:t>
            </w:r>
          </w:p>
        </w:tc>
        <w:tc>
          <w:tcPr>
            <w:tcW w:w="6192" w:type="dxa"/>
          </w:tcPr>
          <w:p w14:paraId="646A6318" w14:textId="470C8C4A" w:rsidR="0008553B" w:rsidRPr="00ED1FFB" w:rsidRDefault="0008553B" w:rsidP="002339D8">
            <w:pPr>
              <w:pStyle w:val="TableBodyText"/>
            </w:pPr>
            <w:r>
              <w:t>Fringe benefits tax</w:t>
            </w:r>
          </w:p>
        </w:tc>
      </w:tr>
      <w:tr w:rsidR="00ED1FFB" w:rsidRPr="002339D8" w14:paraId="6B8AABBB" w14:textId="77777777" w:rsidTr="007524A5">
        <w:tc>
          <w:tcPr>
            <w:tcW w:w="2835" w:type="dxa"/>
          </w:tcPr>
          <w:p w14:paraId="020B126B" w14:textId="4CDE80B2" w:rsidR="00ED1FFB" w:rsidRPr="002339D8" w:rsidRDefault="00ED1FFB" w:rsidP="002339D8">
            <w:pPr>
              <w:pStyle w:val="TableBodyText"/>
            </w:pPr>
            <w:r w:rsidRPr="00ED1FFB">
              <w:t>FPO</w:t>
            </w:r>
          </w:p>
        </w:tc>
        <w:tc>
          <w:tcPr>
            <w:tcW w:w="6192" w:type="dxa"/>
          </w:tcPr>
          <w:p w14:paraId="7DCE39C1" w14:textId="6BE04F09" w:rsidR="00ED1FFB" w:rsidRPr="002339D8" w:rsidRDefault="00ED1FFB" w:rsidP="002339D8">
            <w:pPr>
              <w:pStyle w:val="TableBodyText"/>
            </w:pPr>
            <w:r w:rsidRPr="00ED1FFB">
              <w:t>Firearm Prohibition Order</w:t>
            </w:r>
          </w:p>
        </w:tc>
      </w:tr>
      <w:tr w:rsidR="00827730" w:rsidRPr="002339D8" w14:paraId="7AA4C3E5" w14:textId="77777777" w:rsidTr="007524A5">
        <w:tc>
          <w:tcPr>
            <w:tcW w:w="2835" w:type="dxa"/>
          </w:tcPr>
          <w:p w14:paraId="68CDD436" w14:textId="5443BCBA" w:rsidR="00827730" w:rsidRPr="002339D8" w:rsidRDefault="00827730" w:rsidP="002339D8">
            <w:pPr>
              <w:pStyle w:val="TableBodyText"/>
            </w:pPr>
            <w:r w:rsidRPr="002339D8">
              <w:t>FOI</w:t>
            </w:r>
          </w:p>
        </w:tc>
        <w:tc>
          <w:tcPr>
            <w:tcW w:w="6192" w:type="dxa"/>
          </w:tcPr>
          <w:p w14:paraId="3B5302F2" w14:textId="3180B625" w:rsidR="00827730" w:rsidRPr="002339D8" w:rsidRDefault="00827730" w:rsidP="002339D8">
            <w:pPr>
              <w:pStyle w:val="TableBodyText"/>
            </w:pPr>
            <w:r w:rsidRPr="002339D8">
              <w:t>freedom of information</w:t>
            </w:r>
          </w:p>
        </w:tc>
      </w:tr>
      <w:tr w:rsidR="0024568E" w:rsidRPr="002339D8" w14:paraId="79791836" w14:textId="77777777" w:rsidTr="007524A5">
        <w:tc>
          <w:tcPr>
            <w:tcW w:w="2835" w:type="dxa"/>
          </w:tcPr>
          <w:p w14:paraId="6B4AC3E7" w14:textId="47279573" w:rsidR="0024568E" w:rsidRPr="002339D8" w:rsidRDefault="0024568E" w:rsidP="002339D8">
            <w:pPr>
              <w:pStyle w:val="TableBodyText"/>
            </w:pPr>
            <w:r>
              <w:t>FOI Act</w:t>
            </w:r>
          </w:p>
        </w:tc>
        <w:tc>
          <w:tcPr>
            <w:tcW w:w="6192" w:type="dxa"/>
          </w:tcPr>
          <w:p w14:paraId="2E4A750C" w14:textId="0127D5AF" w:rsidR="0024568E" w:rsidRPr="0024568E" w:rsidRDefault="0024568E" w:rsidP="002339D8">
            <w:pPr>
              <w:pStyle w:val="TableBodyText"/>
              <w:rPr>
                <w:rStyle w:val="Characteritalic"/>
              </w:rPr>
            </w:pPr>
            <w:r w:rsidRPr="0024568E">
              <w:rPr>
                <w:rStyle w:val="Characteritalic"/>
              </w:rPr>
              <w:t>Freedom of Information Act 1982</w:t>
            </w:r>
          </w:p>
        </w:tc>
      </w:tr>
      <w:tr w:rsidR="007524A5" w:rsidRPr="002339D8" w14:paraId="77D08E38" w14:textId="77777777" w:rsidTr="007524A5">
        <w:tc>
          <w:tcPr>
            <w:tcW w:w="2835" w:type="dxa"/>
          </w:tcPr>
          <w:p w14:paraId="5764E5CF" w14:textId="46198564" w:rsidR="007524A5" w:rsidRPr="002339D8" w:rsidRDefault="007524A5" w:rsidP="002339D8">
            <w:pPr>
              <w:pStyle w:val="TableBodyText"/>
            </w:pPr>
            <w:r w:rsidRPr="007524A5">
              <w:t>FRD</w:t>
            </w:r>
          </w:p>
        </w:tc>
        <w:tc>
          <w:tcPr>
            <w:tcW w:w="6192" w:type="dxa"/>
          </w:tcPr>
          <w:p w14:paraId="54D12DA2" w14:textId="4A69773D" w:rsidR="007524A5" w:rsidRPr="002339D8" w:rsidRDefault="007524A5" w:rsidP="002339D8">
            <w:pPr>
              <w:pStyle w:val="TableBodyText"/>
            </w:pPr>
            <w:r w:rsidRPr="007524A5">
              <w:t>Financial Reporting Direction</w:t>
            </w:r>
          </w:p>
        </w:tc>
      </w:tr>
      <w:tr w:rsidR="00827730" w:rsidRPr="002339D8" w14:paraId="2E087CC1" w14:textId="77777777" w:rsidTr="007524A5">
        <w:tc>
          <w:tcPr>
            <w:tcW w:w="2835" w:type="dxa"/>
          </w:tcPr>
          <w:p w14:paraId="7A0B1481" w14:textId="0DE529AD" w:rsidR="00827730" w:rsidRPr="002339D8" w:rsidRDefault="00827730" w:rsidP="002339D8">
            <w:pPr>
              <w:pStyle w:val="TableBodyText"/>
            </w:pPr>
            <w:r w:rsidRPr="002339D8">
              <w:t>FTE</w:t>
            </w:r>
          </w:p>
        </w:tc>
        <w:tc>
          <w:tcPr>
            <w:tcW w:w="6192" w:type="dxa"/>
          </w:tcPr>
          <w:p w14:paraId="161E9360" w14:textId="62671A95" w:rsidR="00827730" w:rsidRPr="002339D8" w:rsidRDefault="00827730" w:rsidP="002339D8">
            <w:pPr>
              <w:pStyle w:val="TableBodyText"/>
            </w:pPr>
            <w:r w:rsidRPr="002339D8">
              <w:t>full-time equivalent</w:t>
            </w:r>
          </w:p>
        </w:tc>
      </w:tr>
      <w:tr w:rsidR="00827730" w:rsidRPr="002339D8" w14:paraId="762D28B9" w14:textId="77777777" w:rsidTr="007524A5">
        <w:tc>
          <w:tcPr>
            <w:tcW w:w="2835" w:type="dxa"/>
          </w:tcPr>
          <w:p w14:paraId="42886725" w14:textId="7BE9296A" w:rsidR="00827730" w:rsidRPr="002339D8" w:rsidRDefault="00827730" w:rsidP="002339D8">
            <w:pPr>
              <w:pStyle w:val="TableBodyText"/>
            </w:pPr>
            <w:r w:rsidRPr="002339D8">
              <w:t>GST</w:t>
            </w:r>
          </w:p>
        </w:tc>
        <w:tc>
          <w:tcPr>
            <w:tcW w:w="6192" w:type="dxa"/>
          </w:tcPr>
          <w:p w14:paraId="05E9D215" w14:textId="23659CB9" w:rsidR="00827730" w:rsidRPr="002339D8" w:rsidRDefault="00827730" w:rsidP="002339D8">
            <w:pPr>
              <w:pStyle w:val="TableBodyText"/>
            </w:pPr>
            <w:r w:rsidRPr="002339D8">
              <w:t>goods and services tax</w:t>
            </w:r>
          </w:p>
        </w:tc>
      </w:tr>
      <w:tr w:rsidR="007524A5" w:rsidRPr="002339D8" w14:paraId="71871F02" w14:textId="77777777" w:rsidTr="007524A5">
        <w:tc>
          <w:tcPr>
            <w:tcW w:w="2835" w:type="dxa"/>
          </w:tcPr>
          <w:p w14:paraId="322CAB76" w14:textId="5CE36E55" w:rsidR="007524A5" w:rsidRDefault="007524A5" w:rsidP="002339D8">
            <w:pPr>
              <w:pStyle w:val="TableBodyText"/>
            </w:pPr>
            <w:r w:rsidRPr="007524A5">
              <w:t>HEF</w:t>
            </w:r>
          </w:p>
        </w:tc>
        <w:tc>
          <w:tcPr>
            <w:tcW w:w="6192" w:type="dxa"/>
          </w:tcPr>
          <w:p w14:paraId="76BAA634" w14:textId="7063953A" w:rsidR="007524A5" w:rsidRDefault="007524A5" w:rsidP="002339D8">
            <w:pPr>
              <w:pStyle w:val="TableBodyText"/>
            </w:pPr>
            <w:r w:rsidRPr="007524A5">
              <w:t>Health Education Federation</w:t>
            </w:r>
          </w:p>
        </w:tc>
      </w:tr>
      <w:tr w:rsidR="0000209F" w:rsidRPr="002339D8" w14:paraId="59B3AAEA" w14:textId="77777777" w:rsidTr="007524A5">
        <w:tc>
          <w:tcPr>
            <w:tcW w:w="2835" w:type="dxa"/>
          </w:tcPr>
          <w:p w14:paraId="47542A71" w14:textId="447180D5" w:rsidR="0000209F" w:rsidRPr="002339D8" w:rsidRDefault="0000209F" w:rsidP="002339D8">
            <w:pPr>
              <w:pStyle w:val="TableBodyText"/>
            </w:pPr>
            <w:r>
              <w:t>HSR</w:t>
            </w:r>
          </w:p>
        </w:tc>
        <w:tc>
          <w:tcPr>
            <w:tcW w:w="6192" w:type="dxa"/>
          </w:tcPr>
          <w:p w14:paraId="02ED03B3" w14:textId="43E71591" w:rsidR="0000209F" w:rsidRPr="002339D8" w:rsidRDefault="0000209F" w:rsidP="002339D8">
            <w:pPr>
              <w:pStyle w:val="TableBodyText"/>
            </w:pPr>
            <w:r>
              <w:t>health and safety representative</w:t>
            </w:r>
          </w:p>
        </w:tc>
      </w:tr>
      <w:tr w:rsidR="00827730" w:rsidRPr="002339D8" w14:paraId="0733CB42" w14:textId="77777777" w:rsidTr="007524A5">
        <w:tc>
          <w:tcPr>
            <w:tcW w:w="2835" w:type="dxa"/>
          </w:tcPr>
          <w:p w14:paraId="68C29A53" w14:textId="30E1774E" w:rsidR="00827730" w:rsidRPr="002339D8" w:rsidRDefault="00827730" w:rsidP="002339D8">
            <w:pPr>
              <w:pStyle w:val="TableBodyText"/>
            </w:pPr>
            <w:r w:rsidRPr="002339D8">
              <w:t>IBAC</w:t>
            </w:r>
          </w:p>
        </w:tc>
        <w:tc>
          <w:tcPr>
            <w:tcW w:w="6192" w:type="dxa"/>
          </w:tcPr>
          <w:p w14:paraId="0CA73F4B" w14:textId="0A9EA7BC" w:rsidR="00827730" w:rsidRPr="002339D8" w:rsidRDefault="00827730" w:rsidP="002339D8">
            <w:pPr>
              <w:pStyle w:val="TableBodyText"/>
            </w:pPr>
            <w:r w:rsidRPr="002339D8">
              <w:t>Independent Broad-based Anti-corruption Commission</w:t>
            </w:r>
          </w:p>
        </w:tc>
      </w:tr>
      <w:tr w:rsidR="00827730" w:rsidRPr="002339D8" w14:paraId="036D4ADA" w14:textId="77777777" w:rsidTr="007524A5">
        <w:tc>
          <w:tcPr>
            <w:tcW w:w="2835" w:type="dxa"/>
          </w:tcPr>
          <w:p w14:paraId="30647F4D" w14:textId="4C9F0168" w:rsidR="00827730" w:rsidRPr="002339D8" w:rsidRDefault="00827730" w:rsidP="002339D8">
            <w:pPr>
              <w:pStyle w:val="TableBodyText"/>
            </w:pPr>
            <w:r w:rsidRPr="002339D8">
              <w:t>IBAC Act</w:t>
            </w:r>
          </w:p>
        </w:tc>
        <w:tc>
          <w:tcPr>
            <w:tcW w:w="6192" w:type="dxa"/>
          </w:tcPr>
          <w:p w14:paraId="1A74870A" w14:textId="2C55B754" w:rsidR="00827730" w:rsidRPr="002339D8" w:rsidRDefault="00827730" w:rsidP="002339D8">
            <w:pPr>
              <w:pStyle w:val="TableBodyText"/>
              <w:rPr>
                <w:rStyle w:val="Characteritalic"/>
              </w:rPr>
            </w:pPr>
            <w:r w:rsidRPr="002339D8">
              <w:rPr>
                <w:rStyle w:val="Characteritalic"/>
              </w:rPr>
              <w:t xml:space="preserve">Independent Broad-based Anti-corruption Commission Act 2011 </w:t>
            </w:r>
          </w:p>
        </w:tc>
      </w:tr>
      <w:tr w:rsidR="008F31CB" w:rsidRPr="002339D8" w14:paraId="35943C9F" w14:textId="77777777" w:rsidTr="007524A5">
        <w:tc>
          <w:tcPr>
            <w:tcW w:w="2835" w:type="dxa"/>
          </w:tcPr>
          <w:p w14:paraId="67F61F54" w14:textId="160B5B17" w:rsidR="008F31CB" w:rsidRPr="002339D8" w:rsidRDefault="008F31CB" w:rsidP="002339D8">
            <w:pPr>
              <w:pStyle w:val="TableBodyText"/>
            </w:pPr>
            <w:r w:rsidRPr="002339D8">
              <w:t>ICT</w:t>
            </w:r>
          </w:p>
        </w:tc>
        <w:tc>
          <w:tcPr>
            <w:tcW w:w="6192" w:type="dxa"/>
          </w:tcPr>
          <w:p w14:paraId="681CD7EB" w14:textId="6F66E50F" w:rsidR="008F31CB" w:rsidRPr="002339D8" w:rsidRDefault="008F31CB" w:rsidP="002339D8">
            <w:pPr>
              <w:pStyle w:val="TableBodyText"/>
            </w:pPr>
            <w:r w:rsidRPr="002339D8">
              <w:t>information and communication technology</w:t>
            </w:r>
          </w:p>
        </w:tc>
      </w:tr>
      <w:tr w:rsidR="00D36355" w:rsidRPr="002339D8" w14:paraId="3E8ECB94" w14:textId="77777777" w:rsidTr="007524A5">
        <w:tc>
          <w:tcPr>
            <w:tcW w:w="2835" w:type="dxa"/>
          </w:tcPr>
          <w:p w14:paraId="574856D6" w14:textId="2753F6BA" w:rsidR="00D36355" w:rsidRPr="002339D8" w:rsidRDefault="00D36355" w:rsidP="002339D8">
            <w:pPr>
              <w:pStyle w:val="TableBodyText"/>
            </w:pPr>
            <w:r>
              <w:t>IOC</w:t>
            </w:r>
          </w:p>
        </w:tc>
        <w:tc>
          <w:tcPr>
            <w:tcW w:w="6192" w:type="dxa"/>
          </w:tcPr>
          <w:p w14:paraId="0D382923" w14:textId="6C3E561F" w:rsidR="00D36355" w:rsidRPr="002339D8" w:rsidRDefault="00D36355" w:rsidP="002339D8">
            <w:pPr>
              <w:pStyle w:val="TableBodyText"/>
            </w:pPr>
            <w:r>
              <w:t>Integrity and Oversight Committee</w:t>
            </w:r>
          </w:p>
        </w:tc>
      </w:tr>
      <w:tr w:rsidR="0000209F" w:rsidRPr="002339D8" w14:paraId="57BB32BB" w14:textId="77777777" w:rsidTr="007524A5">
        <w:tc>
          <w:tcPr>
            <w:tcW w:w="2835" w:type="dxa"/>
          </w:tcPr>
          <w:p w14:paraId="5143199C" w14:textId="4F23BF1E" w:rsidR="0000209F" w:rsidRDefault="0000209F" w:rsidP="002339D8">
            <w:pPr>
              <w:pStyle w:val="TableBodyText"/>
            </w:pPr>
            <w:r>
              <w:t>KC</w:t>
            </w:r>
          </w:p>
        </w:tc>
        <w:tc>
          <w:tcPr>
            <w:tcW w:w="6192" w:type="dxa"/>
          </w:tcPr>
          <w:p w14:paraId="163A5AD4" w14:textId="525750B9" w:rsidR="0000209F" w:rsidRDefault="0000209F" w:rsidP="002339D8">
            <w:pPr>
              <w:pStyle w:val="TableBodyText"/>
            </w:pPr>
            <w:r>
              <w:t>King’s Counsel</w:t>
            </w:r>
          </w:p>
        </w:tc>
      </w:tr>
      <w:tr w:rsidR="009C649E" w:rsidRPr="002339D8" w14:paraId="3E2BA78A" w14:textId="77777777" w:rsidTr="007524A5">
        <w:tc>
          <w:tcPr>
            <w:tcW w:w="2835" w:type="dxa"/>
          </w:tcPr>
          <w:p w14:paraId="29F607FA" w14:textId="252484E9" w:rsidR="009C649E" w:rsidRDefault="009C649E" w:rsidP="002339D8">
            <w:pPr>
              <w:pStyle w:val="TableBodyText"/>
            </w:pPr>
            <w:r w:rsidRPr="009C649E">
              <w:t>KPI</w:t>
            </w:r>
          </w:p>
        </w:tc>
        <w:tc>
          <w:tcPr>
            <w:tcW w:w="6192" w:type="dxa"/>
          </w:tcPr>
          <w:p w14:paraId="5E9CBDD6" w14:textId="72BC960F" w:rsidR="009C649E" w:rsidRDefault="009C649E" w:rsidP="002339D8">
            <w:pPr>
              <w:pStyle w:val="TableBodyText"/>
            </w:pPr>
            <w:r w:rsidRPr="009C649E">
              <w:t>key performance indicator</w:t>
            </w:r>
          </w:p>
        </w:tc>
      </w:tr>
      <w:tr w:rsidR="009C649E" w:rsidRPr="002339D8" w14:paraId="2E2C3170" w14:textId="77777777" w:rsidTr="007524A5">
        <w:tc>
          <w:tcPr>
            <w:tcW w:w="2835" w:type="dxa"/>
          </w:tcPr>
          <w:p w14:paraId="075E9ED7" w14:textId="298DCF66" w:rsidR="009C649E" w:rsidRDefault="009C649E" w:rsidP="002339D8">
            <w:pPr>
              <w:pStyle w:val="TableBodyText"/>
            </w:pPr>
            <w:r w:rsidRPr="009C649E">
              <w:t>LMR</w:t>
            </w:r>
          </w:p>
        </w:tc>
        <w:tc>
          <w:tcPr>
            <w:tcW w:w="6192" w:type="dxa"/>
          </w:tcPr>
          <w:p w14:paraId="540064E9" w14:textId="69ED2A06" w:rsidR="009C649E" w:rsidRDefault="009C649E" w:rsidP="002339D8">
            <w:pPr>
              <w:pStyle w:val="TableBodyText"/>
            </w:pPr>
            <w:r w:rsidRPr="009C649E">
              <w:t>Local Management Resolution</w:t>
            </w:r>
          </w:p>
        </w:tc>
      </w:tr>
      <w:tr w:rsidR="00C2446C" w:rsidRPr="002339D8" w14:paraId="44A725EC" w14:textId="77777777" w:rsidTr="007524A5">
        <w:tc>
          <w:tcPr>
            <w:tcW w:w="2835" w:type="dxa"/>
          </w:tcPr>
          <w:p w14:paraId="61CA6A5E" w14:textId="29FE8B17" w:rsidR="00C2446C" w:rsidRPr="002339D8" w:rsidRDefault="00C2446C" w:rsidP="002339D8">
            <w:pPr>
              <w:pStyle w:val="TableBodyText"/>
            </w:pPr>
            <w:r>
              <w:t>LPG</w:t>
            </w:r>
          </w:p>
        </w:tc>
        <w:tc>
          <w:tcPr>
            <w:tcW w:w="6192" w:type="dxa"/>
          </w:tcPr>
          <w:p w14:paraId="2D5F8612" w14:textId="0C27BBBA" w:rsidR="00C2446C" w:rsidRPr="002339D8" w:rsidRDefault="00C2446C" w:rsidP="002339D8">
            <w:pPr>
              <w:pStyle w:val="TableBodyText"/>
            </w:pPr>
            <w:r>
              <w:t>liquid petroleum gas</w:t>
            </w:r>
          </w:p>
        </w:tc>
      </w:tr>
      <w:tr w:rsidR="00827730" w:rsidRPr="002339D8" w14:paraId="30711E83" w14:textId="77777777" w:rsidTr="007524A5">
        <w:tc>
          <w:tcPr>
            <w:tcW w:w="2835" w:type="dxa"/>
          </w:tcPr>
          <w:p w14:paraId="7FED414D" w14:textId="609520CC" w:rsidR="00827730" w:rsidRPr="002339D8" w:rsidRDefault="008F31CB" w:rsidP="002339D8">
            <w:pPr>
              <w:pStyle w:val="TableBodyText"/>
            </w:pPr>
            <w:r w:rsidRPr="002339D8">
              <w:t>LSL</w:t>
            </w:r>
          </w:p>
        </w:tc>
        <w:tc>
          <w:tcPr>
            <w:tcW w:w="6192" w:type="dxa"/>
          </w:tcPr>
          <w:p w14:paraId="4BEF2527" w14:textId="7CEEA192" w:rsidR="00827730" w:rsidRPr="002339D8" w:rsidRDefault="00827730" w:rsidP="002339D8">
            <w:pPr>
              <w:pStyle w:val="TableBodyText"/>
            </w:pPr>
            <w:r w:rsidRPr="002339D8">
              <w:t>long service leave</w:t>
            </w:r>
          </w:p>
        </w:tc>
      </w:tr>
      <w:tr w:rsidR="00827730" w:rsidRPr="002339D8" w14:paraId="0F79915D" w14:textId="77777777" w:rsidTr="007524A5">
        <w:tc>
          <w:tcPr>
            <w:tcW w:w="2835" w:type="dxa"/>
          </w:tcPr>
          <w:p w14:paraId="587FAE8C" w14:textId="6C151B7F" w:rsidR="00827730" w:rsidRPr="002339D8" w:rsidRDefault="008F31CB" w:rsidP="002339D8">
            <w:pPr>
              <w:pStyle w:val="TableBodyText"/>
            </w:pPr>
            <w:r w:rsidRPr="002339D8">
              <w:t>m</w:t>
            </w:r>
            <w:r w:rsidRPr="009F40B2">
              <w:rPr>
                <w:rStyle w:val="Charactersuperscript"/>
              </w:rPr>
              <w:t>2</w:t>
            </w:r>
          </w:p>
        </w:tc>
        <w:tc>
          <w:tcPr>
            <w:tcW w:w="6192" w:type="dxa"/>
          </w:tcPr>
          <w:p w14:paraId="35581710" w14:textId="69B96AD4" w:rsidR="00827730" w:rsidRPr="002339D8" w:rsidRDefault="00827730" w:rsidP="002339D8">
            <w:pPr>
              <w:pStyle w:val="TableBodyText"/>
            </w:pPr>
            <w:r w:rsidRPr="002339D8">
              <w:t>square metres</w:t>
            </w:r>
          </w:p>
        </w:tc>
      </w:tr>
      <w:tr w:rsidR="00827730" w:rsidRPr="002339D8" w14:paraId="5DE571D9" w14:textId="77777777" w:rsidTr="007524A5">
        <w:tc>
          <w:tcPr>
            <w:tcW w:w="2835" w:type="dxa"/>
          </w:tcPr>
          <w:p w14:paraId="74148064" w14:textId="1A47B68C" w:rsidR="00827730" w:rsidRPr="002339D8" w:rsidRDefault="008F31CB" w:rsidP="002339D8">
            <w:pPr>
              <w:pStyle w:val="TableBodyText"/>
            </w:pPr>
            <w:r w:rsidRPr="002339D8">
              <w:t>MJ</w:t>
            </w:r>
          </w:p>
        </w:tc>
        <w:tc>
          <w:tcPr>
            <w:tcW w:w="6192" w:type="dxa"/>
          </w:tcPr>
          <w:p w14:paraId="518E5F28" w14:textId="176DAF0F" w:rsidR="00827730" w:rsidRPr="002339D8" w:rsidRDefault="00827730" w:rsidP="002339D8">
            <w:pPr>
              <w:pStyle w:val="TableBodyText"/>
            </w:pPr>
            <w:r w:rsidRPr="002339D8">
              <w:t>megajoule</w:t>
            </w:r>
          </w:p>
        </w:tc>
      </w:tr>
      <w:tr w:rsidR="00B51056" w:rsidRPr="002339D8" w14:paraId="1EE9D671" w14:textId="77777777" w:rsidTr="007524A5">
        <w:tc>
          <w:tcPr>
            <w:tcW w:w="2835" w:type="dxa"/>
          </w:tcPr>
          <w:p w14:paraId="3B7F3C96" w14:textId="2A8E1685" w:rsidR="00B51056" w:rsidRPr="002339D8" w:rsidRDefault="00B51056" w:rsidP="002339D8">
            <w:pPr>
              <w:pStyle w:val="TableBodyText"/>
            </w:pPr>
            <w:r w:rsidRPr="00B51056">
              <w:t>MIM</w:t>
            </w:r>
          </w:p>
        </w:tc>
        <w:tc>
          <w:tcPr>
            <w:tcW w:w="6192" w:type="dxa"/>
          </w:tcPr>
          <w:p w14:paraId="1B441BC3" w14:textId="026EF4CD" w:rsidR="00B51056" w:rsidRPr="002339D8" w:rsidRDefault="00B51056" w:rsidP="002339D8">
            <w:pPr>
              <w:pStyle w:val="TableBodyText"/>
            </w:pPr>
            <w:r w:rsidRPr="00B51056">
              <w:t>Management Intervention Model</w:t>
            </w:r>
          </w:p>
        </w:tc>
      </w:tr>
      <w:tr w:rsidR="00B51056" w:rsidRPr="002339D8" w14:paraId="49B9D134" w14:textId="77777777" w:rsidTr="007524A5">
        <w:tc>
          <w:tcPr>
            <w:tcW w:w="2835" w:type="dxa"/>
          </w:tcPr>
          <w:p w14:paraId="6A17B189" w14:textId="73A32788" w:rsidR="00B51056" w:rsidRPr="00B51056" w:rsidRDefault="00B51056" w:rsidP="002339D8">
            <w:pPr>
              <w:pStyle w:val="TableBodyText"/>
            </w:pPr>
            <w:r w:rsidRPr="00B51056">
              <w:t>MTIA</w:t>
            </w:r>
          </w:p>
        </w:tc>
        <w:tc>
          <w:tcPr>
            <w:tcW w:w="6192" w:type="dxa"/>
          </w:tcPr>
          <w:p w14:paraId="2A02D533" w14:textId="4FED8DC5" w:rsidR="00B51056" w:rsidRPr="00B51056" w:rsidRDefault="00B51056" w:rsidP="002339D8">
            <w:pPr>
              <w:pStyle w:val="TableBodyText"/>
            </w:pPr>
            <w:r w:rsidRPr="00B51056">
              <w:t>Major Transport Infrastructure Authority</w:t>
            </w:r>
          </w:p>
        </w:tc>
      </w:tr>
      <w:tr w:rsidR="00525372" w:rsidRPr="002339D8" w14:paraId="57156106" w14:textId="77777777" w:rsidTr="007524A5">
        <w:tc>
          <w:tcPr>
            <w:tcW w:w="2835" w:type="dxa"/>
          </w:tcPr>
          <w:p w14:paraId="73939EC3" w14:textId="55703770" w:rsidR="00525372" w:rsidRPr="002339D8" w:rsidRDefault="00525372" w:rsidP="002339D8">
            <w:pPr>
              <w:pStyle w:val="TableBodyText"/>
            </w:pPr>
            <w:r w:rsidRPr="00525372">
              <w:t>NABERS</w:t>
            </w:r>
          </w:p>
        </w:tc>
        <w:tc>
          <w:tcPr>
            <w:tcW w:w="6192" w:type="dxa"/>
          </w:tcPr>
          <w:p w14:paraId="013E88DE" w14:textId="697603B5" w:rsidR="00525372" w:rsidRPr="002339D8" w:rsidRDefault="00525372" w:rsidP="002339D8">
            <w:pPr>
              <w:pStyle w:val="TableBodyText"/>
            </w:pPr>
            <w:r w:rsidRPr="00525372">
              <w:t>National Australian Built Environment Rating System</w:t>
            </w:r>
          </w:p>
        </w:tc>
      </w:tr>
      <w:tr w:rsidR="00525372" w:rsidRPr="002339D8" w14:paraId="7098F24F" w14:textId="77777777" w:rsidTr="007524A5">
        <w:tc>
          <w:tcPr>
            <w:tcW w:w="2835" w:type="dxa"/>
          </w:tcPr>
          <w:p w14:paraId="5A620A39" w14:textId="4D6C4739" w:rsidR="00525372" w:rsidRPr="002339D8" w:rsidRDefault="00525372" w:rsidP="002339D8">
            <w:pPr>
              <w:pStyle w:val="TableBodyText"/>
            </w:pPr>
            <w:r w:rsidRPr="00525372">
              <w:t>NSW</w:t>
            </w:r>
          </w:p>
        </w:tc>
        <w:tc>
          <w:tcPr>
            <w:tcW w:w="6192" w:type="dxa"/>
          </w:tcPr>
          <w:p w14:paraId="7E2F1DD8" w14:textId="271DB3B2" w:rsidR="00525372" w:rsidRPr="002339D8" w:rsidRDefault="00525372" w:rsidP="002339D8">
            <w:pPr>
              <w:pStyle w:val="TableBodyText"/>
            </w:pPr>
            <w:r w:rsidRPr="00525372">
              <w:t>New South Wales</w:t>
            </w:r>
          </w:p>
        </w:tc>
      </w:tr>
      <w:tr w:rsidR="00827730" w:rsidRPr="002339D8" w14:paraId="11B3A1FB" w14:textId="77777777" w:rsidTr="007524A5">
        <w:tc>
          <w:tcPr>
            <w:tcW w:w="2835" w:type="dxa"/>
          </w:tcPr>
          <w:p w14:paraId="1E6C412A" w14:textId="46AF3DB1" w:rsidR="00827730" w:rsidRPr="002339D8" w:rsidRDefault="008F31CB" w:rsidP="002339D8">
            <w:pPr>
              <w:pStyle w:val="TableBodyText"/>
            </w:pPr>
            <w:r w:rsidRPr="002339D8">
              <w:t>OHS</w:t>
            </w:r>
          </w:p>
        </w:tc>
        <w:tc>
          <w:tcPr>
            <w:tcW w:w="6192" w:type="dxa"/>
          </w:tcPr>
          <w:p w14:paraId="3A0CA21A" w14:textId="683C7AEB" w:rsidR="00827730" w:rsidRPr="002339D8" w:rsidRDefault="008F31CB" w:rsidP="002339D8">
            <w:pPr>
              <w:pStyle w:val="TableBodyText"/>
            </w:pPr>
            <w:r w:rsidRPr="002339D8">
              <w:t>o</w:t>
            </w:r>
            <w:r w:rsidR="00827730" w:rsidRPr="002339D8">
              <w:t>ccupational health and safety</w:t>
            </w:r>
          </w:p>
        </w:tc>
      </w:tr>
      <w:tr w:rsidR="000A1ED8" w:rsidRPr="002339D8" w14:paraId="16DC21CF" w14:textId="77777777" w:rsidTr="007524A5">
        <w:tc>
          <w:tcPr>
            <w:tcW w:w="2835" w:type="dxa"/>
          </w:tcPr>
          <w:p w14:paraId="7ED24CD1" w14:textId="54A03F72" w:rsidR="000A1ED8" w:rsidRPr="002339D8" w:rsidRDefault="000A1ED8" w:rsidP="002339D8">
            <w:pPr>
              <w:pStyle w:val="TableBodyText"/>
            </w:pPr>
            <w:r>
              <w:t>OVIC</w:t>
            </w:r>
          </w:p>
        </w:tc>
        <w:tc>
          <w:tcPr>
            <w:tcW w:w="6192" w:type="dxa"/>
          </w:tcPr>
          <w:p w14:paraId="64D9E968" w14:textId="319CD84A" w:rsidR="000A1ED8" w:rsidRPr="002339D8" w:rsidRDefault="000A1ED8" w:rsidP="002339D8">
            <w:pPr>
              <w:pStyle w:val="TableBodyText"/>
            </w:pPr>
            <w:r w:rsidRPr="000A1ED8">
              <w:t>Office of the Victorian Information Commissioner</w:t>
            </w:r>
          </w:p>
        </w:tc>
      </w:tr>
      <w:tr w:rsidR="00ED060E" w:rsidRPr="002339D8" w14:paraId="3B2A8F83" w14:textId="77777777" w:rsidTr="007524A5">
        <w:tc>
          <w:tcPr>
            <w:tcW w:w="2835" w:type="dxa"/>
          </w:tcPr>
          <w:p w14:paraId="12BF65E0" w14:textId="33EB206B" w:rsidR="00ED060E" w:rsidRPr="002339D8" w:rsidRDefault="00ED060E" w:rsidP="002339D8">
            <w:pPr>
              <w:pStyle w:val="TableBodyText"/>
            </w:pPr>
            <w:r w:rsidRPr="00ED060E">
              <w:t>PEA Committee</w:t>
            </w:r>
          </w:p>
        </w:tc>
        <w:tc>
          <w:tcPr>
            <w:tcW w:w="6192" w:type="dxa"/>
          </w:tcPr>
          <w:p w14:paraId="53B3FE2B" w14:textId="36618CA6" w:rsidR="00ED060E" w:rsidRDefault="00ED060E" w:rsidP="002339D8">
            <w:pPr>
              <w:pStyle w:val="TableBodyText"/>
            </w:pPr>
            <w:r w:rsidRPr="00ED060E">
              <w:t>Prevention and Education Advisory Committee</w:t>
            </w:r>
          </w:p>
        </w:tc>
      </w:tr>
      <w:tr w:rsidR="004C3E5C" w:rsidRPr="002339D8" w14:paraId="13027E39" w14:textId="77777777" w:rsidTr="007524A5">
        <w:tc>
          <w:tcPr>
            <w:tcW w:w="2835" w:type="dxa"/>
          </w:tcPr>
          <w:p w14:paraId="00DC87F7" w14:textId="2BFE4375" w:rsidR="004C3E5C" w:rsidRPr="002339D8" w:rsidRDefault="004C3E5C" w:rsidP="002339D8">
            <w:pPr>
              <w:pStyle w:val="TableBodyText"/>
            </w:pPr>
            <w:r w:rsidRPr="002339D8">
              <w:t>PID</w:t>
            </w:r>
          </w:p>
        </w:tc>
        <w:tc>
          <w:tcPr>
            <w:tcW w:w="6192" w:type="dxa"/>
          </w:tcPr>
          <w:p w14:paraId="2758C175" w14:textId="65A52ADA" w:rsidR="004C3E5C" w:rsidRPr="002339D8" w:rsidRDefault="004C3E5C" w:rsidP="002339D8">
            <w:pPr>
              <w:pStyle w:val="TableBodyText"/>
            </w:pPr>
            <w:r w:rsidRPr="002339D8">
              <w:t>public interest disclosure</w:t>
            </w:r>
          </w:p>
        </w:tc>
      </w:tr>
      <w:tr w:rsidR="0096353C" w:rsidRPr="002339D8" w14:paraId="63011C47" w14:textId="77777777" w:rsidTr="007524A5">
        <w:tc>
          <w:tcPr>
            <w:tcW w:w="2835" w:type="dxa"/>
          </w:tcPr>
          <w:p w14:paraId="11D3D138" w14:textId="557E34C5" w:rsidR="0096353C" w:rsidRPr="002339D8" w:rsidRDefault="0096353C" w:rsidP="002339D8">
            <w:pPr>
              <w:pStyle w:val="TableBodyText"/>
            </w:pPr>
            <w:r w:rsidRPr="002339D8">
              <w:t>PID Act</w:t>
            </w:r>
          </w:p>
        </w:tc>
        <w:tc>
          <w:tcPr>
            <w:tcW w:w="6192" w:type="dxa"/>
          </w:tcPr>
          <w:p w14:paraId="060E05CC" w14:textId="65BB53F6" w:rsidR="0096353C" w:rsidRPr="009F40B2" w:rsidRDefault="0096353C" w:rsidP="002339D8">
            <w:pPr>
              <w:pStyle w:val="TableBodyText"/>
              <w:rPr>
                <w:rStyle w:val="Characteritalic"/>
              </w:rPr>
            </w:pPr>
            <w:r w:rsidRPr="009F40B2">
              <w:rPr>
                <w:rStyle w:val="Characteritalic"/>
              </w:rPr>
              <w:t xml:space="preserve">Public Interest Disclosures Act 2012 </w:t>
            </w:r>
          </w:p>
        </w:tc>
      </w:tr>
      <w:tr w:rsidR="00FD38F1" w:rsidRPr="002339D8" w14:paraId="50D8223E" w14:textId="77777777" w:rsidTr="007524A5">
        <w:tc>
          <w:tcPr>
            <w:tcW w:w="2835" w:type="dxa"/>
          </w:tcPr>
          <w:p w14:paraId="2FF0416E" w14:textId="7E7D7C26" w:rsidR="00FD38F1" w:rsidRPr="002339D8" w:rsidRDefault="00FD38F1" w:rsidP="002339D8">
            <w:pPr>
              <w:pStyle w:val="TableBodyText"/>
            </w:pPr>
            <w:r>
              <w:t>PMO</w:t>
            </w:r>
          </w:p>
        </w:tc>
        <w:tc>
          <w:tcPr>
            <w:tcW w:w="6192" w:type="dxa"/>
          </w:tcPr>
          <w:p w14:paraId="2F0AEAA2" w14:textId="5E3857A9" w:rsidR="00FD38F1" w:rsidRPr="007E3C19" w:rsidRDefault="00FD38F1" w:rsidP="007E3C19">
            <w:pPr>
              <w:pStyle w:val="TableBodyText"/>
            </w:pPr>
            <w:r w:rsidRPr="007E3C19">
              <w:t>Project management office</w:t>
            </w:r>
          </w:p>
        </w:tc>
      </w:tr>
      <w:tr w:rsidR="00541834" w:rsidRPr="002339D8" w14:paraId="655ABA0A" w14:textId="77777777" w:rsidTr="007524A5">
        <w:tc>
          <w:tcPr>
            <w:tcW w:w="2835" w:type="dxa"/>
          </w:tcPr>
          <w:p w14:paraId="35D0A629" w14:textId="161FD8AB" w:rsidR="00541834" w:rsidRPr="007E3C19" w:rsidRDefault="00541834" w:rsidP="007E3C19">
            <w:pPr>
              <w:pStyle w:val="TableBodyText"/>
            </w:pPr>
            <w:r w:rsidRPr="007E3C19">
              <w:t>RAP</w:t>
            </w:r>
          </w:p>
        </w:tc>
        <w:tc>
          <w:tcPr>
            <w:tcW w:w="6192" w:type="dxa"/>
          </w:tcPr>
          <w:p w14:paraId="20833A27" w14:textId="7419286E" w:rsidR="00541834" w:rsidRPr="007E3C19" w:rsidRDefault="00541834" w:rsidP="007E3C19">
            <w:pPr>
              <w:pStyle w:val="TableBodyText"/>
            </w:pPr>
            <w:r w:rsidRPr="007E3C19">
              <w:t>Reconciliation Action Plan</w:t>
            </w:r>
          </w:p>
        </w:tc>
      </w:tr>
      <w:tr w:rsidR="0000209F" w:rsidRPr="002339D8" w14:paraId="6DE94D21" w14:textId="77777777" w:rsidTr="007524A5">
        <w:tc>
          <w:tcPr>
            <w:tcW w:w="2835" w:type="dxa"/>
          </w:tcPr>
          <w:p w14:paraId="075C973A" w14:textId="3341E925" w:rsidR="0000209F" w:rsidRPr="0000209F" w:rsidRDefault="0000209F" w:rsidP="002339D8">
            <w:pPr>
              <w:pStyle w:val="TableBodyText"/>
            </w:pPr>
            <w:r>
              <w:t>RTW</w:t>
            </w:r>
          </w:p>
        </w:tc>
        <w:tc>
          <w:tcPr>
            <w:tcW w:w="6192" w:type="dxa"/>
          </w:tcPr>
          <w:p w14:paraId="0622537B" w14:textId="51B48912" w:rsidR="0000209F" w:rsidRPr="007E3C19" w:rsidRDefault="0000209F" w:rsidP="007E3C19">
            <w:pPr>
              <w:pStyle w:val="TableBodyText"/>
            </w:pPr>
            <w:r w:rsidRPr="007E3C19">
              <w:t>return to work</w:t>
            </w:r>
          </w:p>
        </w:tc>
      </w:tr>
      <w:tr w:rsidR="0000209F" w:rsidRPr="002339D8" w14:paraId="1DEEE97F" w14:textId="77777777" w:rsidTr="007524A5">
        <w:tc>
          <w:tcPr>
            <w:tcW w:w="2835" w:type="dxa"/>
          </w:tcPr>
          <w:p w14:paraId="08DA1682" w14:textId="1F79E17B" w:rsidR="0000209F" w:rsidRPr="0000209F" w:rsidRDefault="0000209F" w:rsidP="0000209F">
            <w:pPr>
              <w:pStyle w:val="TableBodyText"/>
            </w:pPr>
            <w:r w:rsidRPr="0000209F">
              <w:t>RCMPI</w:t>
            </w:r>
          </w:p>
        </w:tc>
        <w:tc>
          <w:tcPr>
            <w:tcW w:w="6192" w:type="dxa"/>
          </w:tcPr>
          <w:p w14:paraId="319E389F" w14:textId="21CBEE12" w:rsidR="0000209F" w:rsidRPr="007E3C19" w:rsidRDefault="0000209F" w:rsidP="007E3C19">
            <w:pPr>
              <w:pStyle w:val="TableBodyText"/>
            </w:pPr>
            <w:r w:rsidRPr="007E3C19">
              <w:t>Royal Commission into the Management of Police Informants</w:t>
            </w:r>
          </w:p>
        </w:tc>
      </w:tr>
      <w:tr w:rsidR="00827730" w:rsidRPr="002339D8" w14:paraId="34F11917" w14:textId="77777777" w:rsidTr="007524A5">
        <w:tc>
          <w:tcPr>
            <w:tcW w:w="2835" w:type="dxa"/>
          </w:tcPr>
          <w:p w14:paraId="1AF2F15C" w14:textId="0B16E940" w:rsidR="00827730" w:rsidRPr="002339D8" w:rsidRDefault="008F31CB" w:rsidP="002339D8">
            <w:pPr>
              <w:pStyle w:val="TableBodyText"/>
            </w:pPr>
            <w:r w:rsidRPr="002339D8">
              <w:t>STS</w:t>
            </w:r>
          </w:p>
        </w:tc>
        <w:tc>
          <w:tcPr>
            <w:tcW w:w="6192" w:type="dxa"/>
          </w:tcPr>
          <w:p w14:paraId="7522039A" w14:textId="35FD92BA" w:rsidR="00827730" w:rsidRPr="002339D8" w:rsidRDefault="008F31CB" w:rsidP="002339D8">
            <w:pPr>
              <w:pStyle w:val="TableBodyText"/>
            </w:pPr>
            <w:r w:rsidRPr="002339D8">
              <w:t>s</w:t>
            </w:r>
            <w:r w:rsidR="00827730" w:rsidRPr="002339D8">
              <w:t>enior technical specialist</w:t>
            </w:r>
          </w:p>
        </w:tc>
      </w:tr>
      <w:tr w:rsidR="00827730" w:rsidRPr="002339D8" w14:paraId="44CF4764" w14:textId="77777777" w:rsidTr="007524A5">
        <w:tc>
          <w:tcPr>
            <w:tcW w:w="2835" w:type="dxa"/>
          </w:tcPr>
          <w:p w14:paraId="56C29742" w14:textId="3AE65C03" w:rsidR="00827730" w:rsidRPr="002339D8" w:rsidRDefault="008F31CB" w:rsidP="002339D8">
            <w:pPr>
              <w:pStyle w:val="TableBodyText"/>
            </w:pPr>
            <w:r w:rsidRPr="002339D8">
              <w:t>VPS</w:t>
            </w:r>
          </w:p>
        </w:tc>
        <w:tc>
          <w:tcPr>
            <w:tcW w:w="6192" w:type="dxa"/>
          </w:tcPr>
          <w:p w14:paraId="02319FE2" w14:textId="6C7ADB69" w:rsidR="00827730" w:rsidRPr="002339D8" w:rsidRDefault="00827730" w:rsidP="002339D8">
            <w:pPr>
              <w:pStyle w:val="TableBodyText"/>
            </w:pPr>
            <w:r w:rsidRPr="002339D8">
              <w:t xml:space="preserve">Victorian </w:t>
            </w:r>
            <w:r w:rsidR="00C2446C" w:rsidRPr="002339D8">
              <w:t>Public Service</w:t>
            </w:r>
          </w:p>
        </w:tc>
      </w:tr>
      <w:tr w:rsidR="00A97503" w:rsidRPr="002339D8" w14:paraId="11756974" w14:textId="77777777" w:rsidTr="007524A5">
        <w:tc>
          <w:tcPr>
            <w:tcW w:w="2835" w:type="dxa"/>
          </w:tcPr>
          <w:p w14:paraId="3593BA25" w14:textId="7E7CF5D6" w:rsidR="00A97503" w:rsidRPr="002339D8" w:rsidRDefault="00A97503" w:rsidP="002339D8">
            <w:pPr>
              <w:pStyle w:val="TableBodyText"/>
            </w:pPr>
            <w:r w:rsidRPr="00A97503">
              <w:t>VPSC</w:t>
            </w:r>
          </w:p>
        </w:tc>
        <w:tc>
          <w:tcPr>
            <w:tcW w:w="6192" w:type="dxa"/>
          </w:tcPr>
          <w:p w14:paraId="7F58EC7D" w14:textId="7B1C1A17" w:rsidR="00A97503" w:rsidRPr="002339D8" w:rsidRDefault="00A97503" w:rsidP="002339D8">
            <w:pPr>
              <w:pStyle w:val="TableBodyText"/>
            </w:pPr>
            <w:r w:rsidRPr="00A97503">
              <w:t>Victorian Public Sector Commission</w:t>
            </w:r>
          </w:p>
        </w:tc>
      </w:tr>
    </w:tbl>
    <w:p w14:paraId="4E647473" w14:textId="77777777" w:rsidR="00CD2872" w:rsidRDefault="00CD2872" w:rsidP="00254C0B">
      <w:pPr>
        <w:pStyle w:val="TableNote"/>
      </w:pPr>
      <w:r>
        <w:br w:type="page"/>
      </w:r>
    </w:p>
    <w:p w14:paraId="261EAFAB" w14:textId="77777777" w:rsidR="004F35CA" w:rsidRPr="00F973A1" w:rsidRDefault="004F35CA" w:rsidP="004F35CA">
      <w:pPr>
        <w:pStyle w:val="ImprintText"/>
        <w:rPr>
          <w:rStyle w:val="Characterbold"/>
        </w:rPr>
      </w:pPr>
      <w:r w:rsidRPr="00F973A1">
        <w:rPr>
          <w:rStyle w:val="Characterbold"/>
        </w:rPr>
        <w:t>Independent Broad-based Anti-corruption Commission</w:t>
      </w:r>
    </w:p>
    <w:p w14:paraId="40CD2D33" w14:textId="77777777" w:rsidR="00F14070" w:rsidRDefault="004F35CA" w:rsidP="004F35CA">
      <w:pPr>
        <w:pStyle w:val="ImprintText"/>
      </w:pPr>
      <w:r w:rsidRPr="002F6765">
        <w:t xml:space="preserve">Level 1, </w:t>
      </w:r>
      <w:r w:rsidR="00635612">
        <w:t>North Tower</w:t>
      </w:r>
    </w:p>
    <w:p w14:paraId="69DCEAF7" w14:textId="77777777" w:rsidR="00F14070" w:rsidRDefault="004F35CA" w:rsidP="004F35CA">
      <w:pPr>
        <w:pStyle w:val="ImprintText"/>
      </w:pPr>
      <w:r w:rsidRPr="002F6765">
        <w:t>459 Collins Street</w:t>
      </w:r>
    </w:p>
    <w:p w14:paraId="024608FE" w14:textId="1A4BD2A6" w:rsidR="004F35CA" w:rsidRDefault="004F35CA" w:rsidP="004F35CA">
      <w:pPr>
        <w:pStyle w:val="ImprintText"/>
      </w:pPr>
      <w:r w:rsidRPr="002F6765">
        <w:t>Melbourne VIC 3000</w:t>
      </w:r>
    </w:p>
    <w:p w14:paraId="349C23AA" w14:textId="77777777" w:rsidR="00F14070" w:rsidRDefault="00635612" w:rsidP="00635612">
      <w:pPr>
        <w:pStyle w:val="ImprintText"/>
      </w:pPr>
      <w:r>
        <w:t xml:space="preserve">GPO Box 24234 </w:t>
      </w:r>
    </w:p>
    <w:p w14:paraId="42AAB74B" w14:textId="5B2EFC91" w:rsidR="00635612" w:rsidRDefault="00635612" w:rsidP="00635612">
      <w:pPr>
        <w:pStyle w:val="ImprintText"/>
      </w:pPr>
      <w:r>
        <w:t>Melbourne VIC 3001</w:t>
      </w:r>
    </w:p>
    <w:p w14:paraId="5674E7EC" w14:textId="77777777" w:rsidR="00F14070" w:rsidRDefault="00635612" w:rsidP="00635612">
      <w:pPr>
        <w:pStyle w:val="ImprintText"/>
      </w:pPr>
      <w:r>
        <w:t xml:space="preserve">Phone: 1300 735 135 </w:t>
      </w:r>
    </w:p>
    <w:p w14:paraId="2A4689FF" w14:textId="6510F431" w:rsidR="00635612" w:rsidRDefault="00635612" w:rsidP="00635612">
      <w:pPr>
        <w:pStyle w:val="ImprintText"/>
      </w:pPr>
      <w:r>
        <w:t>Email: info@ibac.vic.gov.au</w:t>
      </w:r>
    </w:p>
    <w:p w14:paraId="59F97BA5" w14:textId="6F28B5A1" w:rsidR="00635612" w:rsidRPr="002F6765" w:rsidRDefault="00635612" w:rsidP="00635612">
      <w:pPr>
        <w:pStyle w:val="ImprintText"/>
      </w:pPr>
      <w:r>
        <w:t>www.ibac.vic.gov.au</w:t>
      </w:r>
    </w:p>
    <w:p w14:paraId="315AB3A0" w14:textId="77777777" w:rsidR="00635612" w:rsidRDefault="00635612" w:rsidP="00635612">
      <w:pPr>
        <w:pStyle w:val="ImprintText"/>
        <w:rPr>
          <w:lang w:eastAsia="en-AU"/>
        </w:rPr>
      </w:pPr>
    </w:p>
    <w:p w14:paraId="00E2C3F0" w14:textId="75113CE9" w:rsidR="00CD2872" w:rsidRDefault="004F35CA" w:rsidP="00635612">
      <w:pPr>
        <w:pStyle w:val="ImprintText"/>
        <w:rPr>
          <w:lang w:eastAsia="en-AU"/>
        </w:rPr>
      </w:pPr>
      <w:r w:rsidRPr="004F35CA">
        <w:rPr>
          <w:lang w:eastAsia="en-AU"/>
        </w:rPr>
        <w:t>An accessible version and other formats of this document can be found on our website www.ibac.vic.gov.au</w:t>
      </w:r>
    </w:p>
    <w:p w14:paraId="75842C48" w14:textId="77777777" w:rsidR="00CD2872" w:rsidRDefault="00CD2872" w:rsidP="00635612">
      <w:pPr>
        <w:pStyle w:val="ImprintText"/>
        <w:rPr>
          <w:lang w:eastAsia="en-AU"/>
        </w:rPr>
      </w:pPr>
    </w:p>
    <w:p w14:paraId="3958EFDE" w14:textId="77777777" w:rsidR="004F35CA" w:rsidRPr="00F973A1" w:rsidRDefault="004F35CA" w:rsidP="00635612">
      <w:pPr>
        <w:pStyle w:val="ImprintText"/>
        <w:rPr>
          <w:rStyle w:val="Characterbold"/>
        </w:rPr>
      </w:pPr>
      <w:r w:rsidRPr="00635612">
        <w:rPr>
          <w:rStyle w:val="Characterbold"/>
        </w:rPr>
        <w:t>We value your feedback</w:t>
      </w:r>
    </w:p>
    <w:p w14:paraId="23F6F47D" w14:textId="77777777" w:rsidR="004F35CA" w:rsidRPr="002F6765" w:rsidRDefault="004F35CA" w:rsidP="004F35CA">
      <w:pPr>
        <w:pStyle w:val="ImprintText"/>
      </w:pPr>
      <w:r w:rsidRPr="002F6765">
        <w:t xml:space="preserve">We welcome feedback on our annual report, </w:t>
      </w:r>
      <w:r w:rsidRPr="004B51C5">
        <w:t>particularly</w:t>
      </w:r>
      <w:r w:rsidRPr="002F6765">
        <w:t xml:space="preserve"> about its readability and usefulness. Please send your feedback to communications@ibac.vic.gov.au</w:t>
      </w:r>
    </w:p>
    <w:p w14:paraId="72A19F0D" w14:textId="77777777" w:rsidR="004F35CA" w:rsidRDefault="004F35CA" w:rsidP="00635612">
      <w:pPr>
        <w:pStyle w:val="ImprintText"/>
        <w:rPr>
          <w:lang w:eastAsia="en-AU"/>
        </w:rPr>
      </w:pPr>
    </w:p>
    <w:p w14:paraId="2DC34BF6" w14:textId="77777777" w:rsidR="00F14070" w:rsidRPr="007E78B5" w:rsidRDefault="004F35CA" w:rsidP="004F35CA">
      <w:pPr>
        <w:pStyle w:val="ImprintText"/>
        <w:rPr>
          <w:rStyle w:val="BodyTextChar"/>
        </w:rPr>
      </w:pPr>
      <w:r w:rsidRPr="00CD6701">
        <w:rPr>
          <w:rStyle w:val="Characterbold"/>
        </w:rPr>
        <w:t>Published by order, or under the authority, of the Parliament of Victoria</w:t>
      </w:r>
      <w:r w:rsidRPr="007E78B5">
        <w:rPr>
          <w:rStyle w:val="BodyTextChar"/>
        </w:rPr>
        <w:t xml:space="preserve"> </w:t>
      </w:r>
    </w:p>
    <w:p w14:paraId="3B44FCA5" w14:textId="5DF226B1" w:rsidR="004F35CA" w:rsidRPr="007E78B5" w:rsidRDefault="004F35CA" w:rsidP="004F35CA">
      <w:pPr>
        <w:pStyle w:val="ImprintText"/>
        <w:rPr>
          <w:rStyle w:val="BodyTextChar"/>
        </w:rPr>
      </w:pPr>
      <w:r w:rsidRPr="00971224">
        <w:t>[</w:t>
      </w:r>
      <w:r w:rsidR="00635612">
        <w:t>October</w:t>
      </w:r>
      <w:r w:rsidRPr="002F6765">
        <w:t xml:space="preserve"> </w:t>
      </w:r>
      <w:r>
        <w:t>2023</w:t>
      </w:r>
      <w:r w:rsidRPr="00971224">
        <w:t>]</w:t>
      </w:r>
    </w:p>
    <w:p w14:paraId="0ABDECF7" w14:textId="77777777" w:rsidR="00880D85" w:rsidRDefault="00880D85" w:rsidP="00880D85">
      <w:pPr>
        <w:pStyle w:val="ImprintText"/>
      </w:pPr>
      <w:r>
        <w:t>ISBN &lt;978-1-922349-49-1&gt; (print)</w:t>
      </w:r>
    </w:p>
    <w:p w14:paraId="0A84C5A6" w14:textId="77777777" w:rsidR="00880D85" w:rsidRDefault="00880D85" w:rsidP="00880D85">
      <w:pPr>
        <w:pStyle w:val="ImprintText"/>
      </w:pPr>
      <w:r>
        <w:t>ISBN &lt;978-1-922349-48-4&gt; (digital)</w:t>
      </w:r>
      <w:r w:rsidRPr="002F6765">
        <w:t xml:space="preserve"> </w:t>
      </w:r>
    </w:p>
    <w:p w14:paraId="075A6783" w14:textId="5CF051F3" w:rsidR="004F35CA" w:rsidRPr="002F6765" w:rsidRDefault="004F35CA" w:rsidP="00880D85">
      <w:pPr>
        <w:pStyle w:val="ImprintText"/>
      </w:pPr>
      <w:r w:rsidRPr="002F6765">
        <w:t>We used Australian-made, FSC certified paper.</w:t>
      </w:r>
    </w:p>
    <w:p w14:paraId="3241C5FC" w14:textId="77777777" w:rsidR="004F35CA" w:rsidRPr="004B51C5" w:rsidRDefault="004F35CA" w:rsidP="004F35CA">
      <w:pPr>
        <w:pStyle w:val="ImprintText"/>
      </w:pPr>
      <w:r w:rsidRPr="002F6765">
        <w:t>© State of Victoria 202</w:t>
      </w:r>
      <w:r>
        <w:t>3</w:t>
      </w:r>
    </w:p>
    <w:p w14:paraId="205533A2" w14:textId="77777777" w:rsidR="004F35CA" w:rsidRPr="005C634F" w:rsidRDefault="004F35CA" w:rsidP="005C634F">
      <w:pPr>
        <w:pStyle w:val="ImprintText"/>
      </w:pPr>
      <w:r w:rsidRPr="005C634F">
        <w:t>(Independent Broad-based Anti-corruption Commission)</w:t>
      </w:r>
    </w:p>
    <w:p w14:paraId="7FAA9495" w14:textId="77777777" w:rsidR="004F35CA" w:rsidRPr="001541AB" w:rsidRDefault="004F35CA" w:rsidP="001541AB">
      <w:pPr>
        <w:pStyle w:val="ImprintText"/>
      </w:pPr>
    </w:p>
    <w:p w14:paraId="4E1303F3" w14:textId="77777777" w:rsidR="004F35CA" w:rsidRPr="002F6765" w:rsidRDefault="004F35CA" w:rsidP="004F35CA">
      <w:pPr>
        <w:pStyle w:val="Image"/>
      </w:pPr>
      <w:r w:rsidRPr="002F6765">
        <w:rPr>
          <w:noProof/>
        </w:rPr>
        <w:drawing>
          <wp:inline distT="0" distB="0" distL="0" distR="0" wp14:anchorId="6166C638" wp14:editId="11C8A8A0">
            <wp:extent cx="1227411" cy="429442"/>
            <wp:effectExtent l="0" t="0" r="0" b="889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1DE2ED0" w14:textId="7082377D" w:rsidR="004F35CA" w:rsidRPr="002F6765" w:rsidRDefault="004F35CA" w:rsidP="00635612">
      <w:pPr>
        <w:pStyle w:val="BodyText"/>
        <w:rPr>
          <w:lang w:eastAsia="en-AU"/>
        </w:rPr>
      </w:pPr>
      <w:r w:rsidRPr="002F6765">
        <w:t xml:space="preserve">You are welcome to </w:t>
      </w:r>
      <w:r w:rsidRPr="0026288D">
        <w:t>re</w:t>
      </w:r>
      <w:r w:rsidRPr="002F6765">
        <w:t xml:space="preserve">-use this work under a Creative Commons Attribution 4.0 licence, provided you credit the State of Victoria (Independent Broad-based Anti-corruption Commission) as author, indicate if changes were made and comply with the other licence terms. The licence does not apply to any branding, including </w:t>
      </w:r>
      <w:r>
        <w:t>g</w:t>
      </w:r>
      <w:r w:rsidRPr="002F6765">
        <w:t>overnment logo</w:t>
      </w:r>
      <w:r>
        <w:t>s.</w:t>
      </w:r>
    </w:p>
    <w:sectPr w:rsidR="004F35CA" w:rsidRPr="002F6765" w:rsidSect="0045554A">
      <w:headerReference w:type="even" r:id="rId90"/>
      <w:headerReference w:type="default" r:id="rId91"/>
      <w:headerReference w:type="first" r:id="rId92"/>
      <w:footerReference w:type="first" r:id="rId9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3FD51" w14:textId="77777777" w:rsidR="00870A85" w:rsidRDefault="00870A85" w:rsidP="00E12845">
      <w:pPr>
        <w:spacing w:before="0" w:after="0"/>
      </w:pPr>
      <w:r>
        <w:separator/>
      </w:r>
    </w:p>
  </w:endnote>
  <w:endnote w:type="continuationSeparator" w:id="0">
    <w:p w14:paraId="2B3A9FE5" w14:textId="77777777" w:rsidR="00870A85" w:rsidRDefault="00870A85" w:rsidP="00E12845">
      <w:pPr>
        <w:spacing w:before="0" w:after="0"/>
      </w:pPr>
      <w:r>
        <w:continuationSeparator/>
      </w:r>
    </w:p>
  </w:endnote>
  <w:endnote w:type="continuationNotice" w:id="1">
    <w:p w14:paraId="544A4298" w14:textId="77777777" w:rsidR="00870A85" w:rsidRDefault="00870A8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Hiragino Sans W3">
    <w:charset w:val="80"/>
    <w:family w:val="swiss"/>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152A" w14:textId="0136BB93" w:rsidR="000D453E" w:rsidRPr="00E12845" w:rsidRDefault="008A3822" w:rsidP="00CE49B6">
    <w:pPr>
      <w:pStyle w:val="Footer"/>
    </w:pPr>
    <w:r>
      <w:t xml:space="preserve">IBAC </w:t>
    </w:r>
    <w:sdt>
      <w:sdtPr>
        <w:id w:val="188259457"/>
        <w:docPartObj>
          <w:docPartGallery w:val="Page Numbers (Bottom of Page)"/>
          <w:docPartUnique/>
        </w:docPartObj>
      </w:sdtPr>
      <w:sdtEndPr>
        <w:rPr>
          <w:noProof/>
        </w:rPr>
      </w:sdtEndPr>
      <w:sdtContent>
        <w:r w:rsidRPr="00BF6A3C">
          <w:t xml:space="preserve">Annual </w:t>
        </w:r>
        <w:r w:rsidR="00407B43" w:rsidRPr="00BF6A3C">
          <w:t>R</w:t>
        </w:r>
        <w:r w:rsidRPr="00BF6A3C">
          <w:t xml:space="preserve">eport </w:t>
        </w:r>
        <w:r w:rsidR="000A1691">
          <w:t>2022/23</w:t>
        </w:r>
        <w:r>
          <w:tab/>
        </w:r>
        <w:r>
          <w:fldChar w:fldCharType="begin"/>
        </w:r>
        <w:r>
          <w:instrText xml:space="preserve"> PAGE   \* MERGEFORMAT </w:instrText>
        </w:r>
        <w:r>
          <w:fldChar w:fldCharType="separate"/>
        </w:r>
        <w:r>
          <w:t>7</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88060" w14:textId="77777777" w:rsidR="0058789F" w:rsidRDefault="0058789F">
    <w:pPr>
      <w:pStyle w:val="Footer"/>
    </w:pPr>
    <w:r w:rsidRPr="0044535A">
      <w:t>IBAC Annual report 2021/22</w:t>
    </w:r>
    <w:r w:rsidRPr="0044535A">
      <w:tab/>
    </w:r>
    <w:r>
      <w:t>83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E4BA" w14:textId="77777777" w:rsidR="00877A25" w:rsidRDefault="00877A25">
    <w:pPr>
      <w:pStyle w:val="Footer"/>
    </w:pPr>
    <w:r w:rsidRPr="0044535A">
      <w:t>IBAC Annual report 2021/22</w:t>
    </w:r>
    <w:r w:rsidRPr="0044535A">
      <w:tab/>
    </w:r>
    <w:r>
      <w:t>83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3F878" w14:textId="77777777" w:rsidR="00870A85" w:rsidRDefault="00870A85" w:rsidP="00E12845">
      <w:pPr>
        <w:spacing w:before="0" w:after="0"/>
      </w:pPr>
      <w:r>
        <w:separator/>
      </w:r>
    </w:p>
  </w:footnote>
  <w:footnote w:type="continuationSeparator" w:id="0">
    <w:p w14:paraId="06CB560D" w14:textId="77777777" w:rsidR="00870A85" w:rsidRDefault="00870A85" w:rsidP="00E12845">
      <w:pPr>
        <w:spacing w:before="0" w:after="0"/>
      </w:pPr>
      <w:r>
        <w:continuationSeparator/>
      </w:r>
    </w:p>
  </w:footnote>
  <w:footnote w:type="continuationNotice" w:id="1">
    <w:p w14:paraId="3D1AA893" w14:textId="77777777" w:rsidR="00870A85" w:rsidRDefault="00870A8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CEF0" w14:textId="04F77C7F" w:rsidR="000A3171" w:rsidRDefault="0023360E">
    <w:pPr>
      <w:pStyle w:val="Header"/>
    </w:pPr>
    <w:r>
      <w:rPr>
        <w:noProof/>
      </w:rPr>
      <mc:AlternateContent>
        <mc:Choice Requires="wps">
          <w:drawing>
            <wp:anchor distT="0" distB="0" distL="0" distR="0" simplePos="0" relativeHeight="251663398" behindDoc="0" locked="0" layoutInCell="1" allowOverlap="1" wp14:anchorId="256FD002" wp14:editId="42E07995">
              <wp:simplePos x="635" y="635"/>
              <wp:positionH relativeFrom="page">
                <wp:align>center</wp:align>
              </wp:positionH>
              <wp:positionV relativeFrom="page">
                <wp:align>top</wp:align>
              </wp:positionV>
              <wp:extent cx="443865" cy="443865"/>
              <wp:effectExtent l="0" t="0" r="4445" b="5080"/>
              <wp:wrapNone/>
              <wp:docPr id="102080852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883E5" w14:textId="3918E061"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FD002" id="_x0000_t202" coordsize="21600,21600" o:spt="202" path="m,l,21600r21600,l21600,xe">
              <v:stroke joinstyle="miter"/>
              <v:path gradientshapeok="t" o:connecttype="rect"/>
            </v:shapetype>
            <v:shape id="Text Box 5" o:spid="_x0000_s1026" type="#_x0000_t202" alt="OFFICIAL" style="position:absolute;margin-left:0;margin-top:0;width:34.95pt;height:34.95pt;z-index:2516633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EE883E5" w14:textId="3918E061"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9AD2" w14:textId="143192F0" w:rsidR="00C52B63" w:rsidRDefault="0023360E">
    <w:pPr>
      <w:pStyle w:val="Header"/>
    </w:pPr>
    <w:r>
      <w:rPr>
        <w:noProof/>
      </w:rPr>
      <mc:AlternateContent>
        <mc:Choice Requires="wps">
          <w:drawing>
            <wp:anchor distT="0" distB="0" distL="0" distR="0" simplePos="0" relativeHeight="251672614" behindDoc="0" locked="0" layoutInCell="1" allowOverlap="1" wp14:anchorId="4CDEBDF4" wp14:editId="6D6686A2">
              <wp:simplePos x="635" y="635"/>
              <wp:positionH relativeFrom="page">
                <wp:align>center</wp:align>
              </wp:positionH>
              <wp:positionV relativeFrom="page">
                <wp:align>top</wp:align>
              </wp:positionV>
              <wp:extent cx="443865" cy="443865"/>
              <wp:effectExtent l="0" t="0" r="4445" b="5080"/>
              <wp:wrapNone/>
              <wp:docPr id="1979810575"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0332CB" w14:textId="4CC06C1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DEBDF4" id="_x0000_t202" coordsize="21600,21600" o:spt="202" path="m,l,21600r21600,l21600,xe">
              <v:stroke joinstyle="miter"/>
              <v:path gradientshapeok="t" o:connecttype="rect"/>
            </v:shapetype>
            <v:shape id="Text Box 14" o:spid="_x0000_s1035" type="#_x0000_t202" alt="OFFICIAL" style="position:absolute;margin-left:0;margin-top:0;width:34.95pt;height:34.95pt;z-index:2516726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30332CB" w14:textId="4CC06C1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F207" w14:textId="0D4F5157" w:rsidR="00C52B63" w:rsidRDefault="0023360E">
    <w:pPr>
      <w:pStyle w:val="Header"/>
    </w:pPr>
    <w:r>
      <w:rPr>
        <w:noProof/>
      </w:rPr>
      <mc:AlternateContent>
        <mc:Choice Requires="wps">
          <w:drawing>
            <wp:anchor distT="0" distB="0" distL="0" distR="0" simplePos="0" relativeHeight="251673638" behindDoc="0" locked="0" layoutInCell="1" allowOverlap="1" wp14:anchorId="36F03672" wp14:editId="42B1235F">
              <wp:simplePos x="635" y="635"/>
              <wp:positionH relativeFrom="page">
                <wp:align>center</wp:align>
              </wp:positionH>
              <wp:positionV relativeFrom="page">
                <wp:align>top</wp:align>
              </wp:positionV>
              <wp:extent cx="443865" cy="443865"/>
              <wp:effectExtent l="0" t="0" r="4445" b="5080"/>
              <wp:wrapNone/>
              <wp:docPr id="24133313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45853" w14:textId="553D277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F03672" id="_x0000_t202" coordsize="21600,21600" o:spt="202" path="m,l,21600r21600,l21600,xe">
              <v:stroke joinstyle="miter"/>
              <v:path gradientshapeok="t" o:connecttype="rect"/>
            </v:shapetype>
            <v:shape id="Text Box 15" o:spid="_x0000_s1036" type="#_x0000_t202" alt="OFFICIAL" style="position:absolute;margin-left:0;margin-top:0;width:34.95pt;height:34.95pt;z-index:2516736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9845853" w14:textId="553D277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8341" w14:textId="11568988" w:rsidR="00C52B63" w:rsidRPr="00F14439" w:rsidRDefault="0023360E" w:rsidP="00F14439">
    <w:pPr>
      <w:pStyle w:val="Header"/>
    </w:pPr>
    <w:r>
      <w:rPr>
        <w:noProof/>
      </w:rPr>
      <mc:AlternateContent>
        <mc:Choice Requires="wps">
          <w:drawing>
            <wp:anchor distT="0" distB="0" distL="0" distR="0" simplePos="0" relativeHeight="251671590" behindDoc="0" locked="0" layoutInCell="1" allowOverlap="1" wp14:anchorId="3FE6CDD2" wp14:editId="7E2F4F7C">
              <wp:simplePos x="635" y="635"/>
              <wp:positionH relativeFrom="page">
                <wp:align>center</wp:align>
              </wp:positionH>
              <wp:positionV relativeFrom="page">
                <wp:align>top</wp:align>
              </wp:positionV>
              <wp:extent cx="443865" cy="443865"/>
              <wp:effectExtent l="0" t="0" r="4445" b="5080"/>
              <wp:wrapNone/>
              <wp:docPr id="173070451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46E0ED" w14:textId="0A2F9C5F"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E6CDD2" id="_x0000_t202" coordsize="21600,21600" o:spt="202" path="m,l,21600r21600,l21600,xe">
              <v:stroke joinstyle="miter"/>
              <v:path gradientshapeok="t" o:connecttype="rect"/>
            </v:shapetype>
            <v:shape id="Text Box 13" o:spid="_x0000_s1037" type="#_x0000_t202" alt="OFFICIAL" style="position:absolute;margin-left:0;margin-top:0;width:34.95pt;height:34.95pt;z-index:2516715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046E0ED" w14:textId="0A2F9C5F"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C52B63" w:rsidRPr="0060517F">
      <w:fldChar w:fldCharType="begin"/>
    </w:r>
    <w:r w:rsidR="00C52B63" w:rsidRPr="00971D0E">
      <w:rPr>
        <w:rStyle w:val="Characterbold"/>
      </w:rPr>
      <w:instrText xml:space="preserve"> STYLEREF  "Heading 1"  \* MERGEFORMAT </w:instrText>
    </w:r>
    <w:r w:rsidR="00C52B63" w:rsidRPr="0060517F">
      <w:rPr>
        <w:rStyle w:val="Characterbold"/>
      </w:rPr>
      <w:fldChar w:fldCharType="separate"/>
    </w:r>
    <w:r w:rsidR="00C52B63">
      <w:rPr>
        <w:rStyle w:val="Characterbold"/>
        <w:noProof/>
      </w:rPr>
      <w:t>Our performance</w:t>
    </w:r>
    <w:r w:rsidR="00C52B63" w:rsidRPr="0060517F">
      <w:fldChar w:fldCharType="end"/>
    </w:r>
    <w:r w:rsidR="00C52B63">
      <w:t xml:space="preserve"> </w:t>
    </w:r>
    <w:r w:rsidR="00C52B63" w:rsidRPr="000338A9">
      <w:rPr>
        <w:rStyle w:val="Characterpurple"/>
      </w:rPr>
      <w:t>•</w:t>
    </w:r>
    <w:r w:rsidR="00C52B63">
      <w:rPr>
        <w:rStyle w:val="Characterpurple"/>
      </w:rPr>
      <w:t xml:space="preserve"> </w:t>
    </w:r>
    <w:r w:rsidR="00F31239">
      <w:fldChar w:fldCharType="begin"/>
    </w:r>
    <w:r w:rsidR="00F31239">
      <w:instrText>STYLEREF  "Heading 2"  \* MERGEFORMAT</w:instrText>
    </w:r>
    <w:r w:rsidR="00F31239">
      <w:fldChar w:fldCharType="separate"/>
    </w:r>
    <w:r w:rsidR="00C52B63" w:rsidRPr="0060517F">
      <w:t>Financial overview</w:t>
    </w:r>
    <w:r w:rsidR="00F31239">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19F" w14:textId="05DBB62C" w:rsidR="000A3171" w:rsidRDefault="0023360E">
    <w:pPr>
      <w:pStyle w:val="Header"/>
    </w:pPr>
    <w:r>
      <w:rPr>
        <w:noProof/>
      </w:rPr>
      <mc:AlternateContent>
        <mc:Choice Requires="wps">
          <w:drawing>
            <wp:anchor distT="0" distB="0" distL="0" distR="0" simplePos="0" relativeHeight="251675686" behindDoc="0" locked="0" layoutInCell="1" allowOverlap="1" wp14:anchorId="58E86B1B" wp14:editId="11AD75D5">
              <wp:simplePos x="635" y="635"/>
              <wp:positionH relativeFrom="page">
                <wp:align>center</wp:align>
              </wp:positionH>
              <wp:positionV relativeFrom="page">
                <wp:align>top</wp:align>
              </wp:positionV>
              <wp:extent cx="443865" cy="443865"/>
              <wp:effectExtent l="0" t="0" r="4445" b="5080"/>
              <wp:wrapNone/>
              <wp:docPr id="18282703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42921E" w14:textId="61EC5F5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E86B1B" id="_x0000_t202" coordsize="21600,21600" o:spt="202" path="m,l,21600r21600,l21600,xe">
              <v:stroke joinstyle="miter"/>
              <v:path gradientshapeok="t" o:connecttype="rect"/>
            </v:shapetype>
            <v:shape id="Text Box 17" o:spid="_x0000_s1038" type="#_x0000_t202" alt="OFFICIAL" style="position:absolute;margin-left:0;margin-top:0;width:34.95pt;height:34.95pt;z-index:2516756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142921E" w14:textId="61EC5F5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97C9" w14:textId="53AE3A25" w:rsidR="000A3171" w:rsidRDefault="0023360E">
    <w:pPr>
      <w:pStyle w:val="Header"/>
    </w:pPr>
    <w:r>
      <w:rPr>
        <w:noProof/>
      </w:rPr>
      <mc:AlternateContent>
        <mc:Choice Requires="wps">
          <w:drawing>
            <wp:anchor distT="0" distB="0" distL="0" distR="0" simplePos="0" relativeHeight="251676710" behindDoc="0" locked="0" layoutInCell="1" allowOverlap="1" wp14:anchorId="5DF98BA9" wp14:editId="67619437">
              <wp:simplePos x="635" y="635"/>
              <wp:positionH relativeFrom="page">
                <wp:align>center</wp:align>
              </wp:positionH>
              <wp:positionV relativeFrom="page">
                <wp:align>top</wp:align>
              </wp:positionV>
              <wp:extent cx="443865" cy="443865"/>
              <wp:effectExtent l="0" t="0" r="4445" b="5080"/>
              <wp:wrapNone/>
              <wp:docPr id="1203316694"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BDEAA" w14:textId="42AA0729"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F98BA9" id="_x0000_t202" coordsize="21600,21600" o:spt="202" path="m,l,21600r21600,l21600,xe">
              <v:stroke joinstyle="miter"/>
              <v:path gradientshapeok="t" o:connecttype="rect"/>
            </v:shapetype>
            <v:shape id="Text Box 18" o:spid="_x0000_s1039" type="#_x0000_t202" alt="OFFICIAL" style="position:absolute;margin-left:0;margin-top:0;width:34.95pt;height:34.95pt;z-index:2516767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D4BDEAA" w14:textId="42AA0729"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E5C4" w14:textId="3C1AB09B" w:rsidR="00F14439" w:rsidRPr="00F14439" w:rsidRDefault="0023360E" w:rsidP="00F14439">
    <w:pPr>
      <w:pStyle w:val="Header"/>
    </w:pPr>
    <w:r>
      <w:rPr>
        <w:noProof/>
      </w:rPr>
      <mc:AlternateContent>
        <mc:Choice Requires="wps">
          <w:drawing>
            <wp:anchor distT="0" distB="0" distL="0" distR="0" simplePos="0" relativeHeight="251674662" behindDoc="0" locked="0" layoutInCell="1" allowOverlap="1" wp14:anchorId="66F6074B" wp14:editId="28E67733">
              <wp:simplePos x="635" y="635"/>
              <wp:positionH relativeFrom="page">
                <wp:align>center</wp:align>
              </wp:positionH>
              <wp:positionV relativeFrom="page">
                <wp:align>top</wp:align>
              </wp:positionV>
              <wp:extent cx="443865" cy="443865"/>
              <wp:effectExtent l="0" t="0" r="4445" b="5080"/>
              <wp:wrapNone/>
              <wp:docPr id="31496753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F53C1E" w14:textId="4A1028DC"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F6074B" id="_x0000_t202" coordsize="21600,21600" o:spt="202" path="m,l,21600r21600,l21600,xe">
              <v:stroke joinstyle="miter"/>
              <v:path gradientshapeok="t" o:connecttype="rect"/>
            </v:shapetype>
            <v:shape id="Text Box 16" o:spid="_x0000_s1040" type="#_x0000_t202" alt="OFFICIAL" style="position:absolute;margin-left:0;margin-top:0;width:34.95pt;height:34.95pt;z-index:2516746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BF53C1E" w14:textId="4A1028DC"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F14439" w:rsidRPr="0060517F">
      <w:fldChar w:fldCharType="begin"/>
    </w:r>
    <w:r w:rsidR="00F14439" w:rsidRPr="00971D0E">
      <w:rPr>
        <w:rStyle w:val="Characterbold"/>
      </w:rPr>
      <w:instrText xml:space="preserve"> STYLEREF  "Heading 1"  \* MERGEFORMAT </w:instrText>
    </w:r>
    <w:r w:rsidR="00F14439" w:rsidRPr="0060517F">
      <w:rPr>
        <w:rStyle w:val="Characterbold"/>
      </w:rPr>
      <w:fldChar w:fldCharType="separate"/>
    </w:r>
    <w:r w:rsidR="000A3171">
      <w:rPr>
        <w:rStyle w:val="Characterbold"/>
        <w:noProof/>
      </w:rPr>
      <w:t>Our performance</w:t>
    </w:r>
    <w:r w:rsidR="00F14439" w:rsidRPr="0060517F">
      <w:fldChar w:fldCharType="end"/>
    </w:r>
    <w:r w:rsidR="00F14439">
      <w:t xml:space="preserve"> </w:t>
    </w:r>
    <w:r w:rsidR="00F14439" w:rsidRPr="000338A9">
      <w:rPr>
        <w:rStyle w:val="Characterpurple"/>
      </w:rPr>
      <w:t>•</w:t>
    </w:r>
    <w:r w:rsidR="00F14439">
      <w:rPr>
        <w:rStyle w:val="Characterpurple"/>
      </w:rPr>
      <w:t xml:space="preserve"> </w:t>
    </w:r>
    <w:r w:rsidR="00F31239">
      <w:fldChar w:fldCharType="begin"/>
    </w:r>
    <w:r w:rsidR="00F31239">
      <w:instrText>STYLEREF  "Heading 2"  \* MERGEFORMAT</w:instrText>
    </w:r>
    <w:r w:rsidR="00F31239">
      <w:fldChar w:fldCharType="separate"/>
    </w:r>
    <w:r w:rsidR="000A3171" w:rsidRPr="0060517F">
      <w:t>Financial overview</w:t>
    </w:r>
    <w:r w:rsidR="00F31239">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AAAA" w14:textId="63974B8F" w:rsidR="0023360E" w:rsidRDefault="0023360E">
    <w:pPr>
      <w:pStyle w:val="Header"/>
    </w:pPr>
    <w:r>
      <w:rPr>
        <w:noProof/>
      </w:rPr>
      <mc:AlternateContent>
        <mc:Choice Requires="wps">
          <w:drawing>
            <wp:anchor distT="0" distB="0" distL="0" distR="0" simplePos="0" relativeHeight="251678758" behindDoc="0" locked="0" layoutInCell="1" allowOverlap="1" wp14:anchorId="3E3AA582" wp14:editId="16053042">
              <wp:simplePos x="635" y="635"/>
              <wp:positionH relativeFrom="page">
                <wp:align>center</wp:align>
              </wp:positionH>
              <wp:positionV relativeFrom="page">
                <wp:align>top</wp:align>
              </wp:positionV>
              <wp:extent cx="443865" cy="443865"/>
              <wp:effectExtent l="0" t="0" r="4445" b="5080"/>
              <wp:wrapNone/>
              <wp:docPr id="137942231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C71AA7" w14:textId="1F5620C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3AA582" id="_x0000_t202" coordsize="21600,21600" o:spt="202" path="m,l,21600r21600,l21600,xe">
              <v:stroke joinstyle="miter"/>
              <v:path gradientshapeok="t" o:connecttype="rect"/>
            </v:shapetype>
            <v:shape id="Text Box 20" o:spid="_x0000_s1041" type="#_x0000_t202" alt="OFFICIAL" style="position:absolute;margin-left:0;margin-top:0;width:34.95pt;height:34.95pt;z-index:2516787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06C71AA7" w14:textId="1F5620C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CF83" w14:textId="68B18F06" w:rsidR="00B75142" w:rsidRDefault="0023360E">
    <w:pPr>
      <w:pStyle w:val="Header"/>
    </w:pPr>
    <w:r>
      <w:rPr>
        <w:b/>
        <w:noProof/>
      </w:rPr>
      <mc:AlternateContent>
        <mc:Choice Requires="wps">
          <w:drawing>
            <wp:anchor distT="0" distB="0" distL="0" distR="0" simplePos="0" relativeHeight="251679782" behindDoc="0" locked="0" layoutInCell="1" allowOverlap="1" wp14:anchorId="3F16C807" wp14:editId="74DA5B07">
              <wp:simplePos x="635" y="635"/>
              <wp:positionH relativeFrom="page">
                <wp:align>center</wp:align>
              </wp:positionH>
              <wp:positionV relativeFrom="page">
                <wp:align>top</wp:align>
              </wp:positionV>
              <wp:extent cx="443865" cy="443865"/>
              <wp:effectExtent l="0" t="0" r="4445" b="5080"/>
              <wp:wrapNone/>
              <wp:docPr id="668984863"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0209D4" w14:textId="503FB673"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16C807" id="_x0000_t202" coordsize="21600,21600" o:spt="202" path="m,l,21600r21600,l21600,xe">
              <v:stroke joinstyle="miter"/>
              <v:path gradientshapeok="t" o:connecttype="rect"/>
            </v:shapetype>
            <v:shape id="Text Box 21" o:spid="_x0000_s1042" type="#_x0000_t202" alt="OFFICIAL" style="position:absolute;margin-left:0;margin-top:0;width:34.95pt;height:34.95pt;z-index:2516797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30209D4" w14:textId="503FB673"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B75142" w:rsidRPr="00B75142">
      <w:rPr>
        <w:rStyle w:val="Characterbold"/>
      </w:rPr>
      <w:t xml:space="preserve">Section </w:t>
    </w:r>
    <w:r w:rsidR="00B75142">
      <w:rPr>
        <w:rStyle w:val="Characterbold"/>
      </w:rPr>
      <w:t>1</w:t>
    </w:r>
    <w:r w:rsidR="00B75142">
      <w:t xml:space="preserve"> </w:t>
    </w:r>
    <w:r w:rsidR="00B75142" w:rsidRPr="000338A9">
      <w:rPr>
        <w:rStyle w:val="Characterpurple"/>
      </w:rPr>
      <w:t>•</w:t>
    </w:r>
    <w:r w:rsidR="00B75142">
      <w:t xml:space="preserve"> </w:t>
    </w:r>
    <w:r w:rsidR="00F31239">
      <w:fldChar w:fldCharType="begin"/>
    </w:r>
    <w:r w:rsidR="00F31239">
      <w:instrText xml:space="preserve"> STYLEREF  "Heading 1"  \* MERGEFORMAT </w:instrText>
    </w:r>
    <w:r w:rsidR="00F31239">
      <w:fldChar w:fldCharType="separate"/>
    </w:r>
    <w:r w:rsidR="0060611D">
      <w:rPr>
        <w:noProof/>
      </w:rPr>
      <w:t>Year in review</w:t>
    </w:r>
    <w:r w:rsidR="00F31239">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B8F2" w14:textId="5C0DAB12" w:rsidR="0023360E" w:rsidRDefault="0023360E">
    <w:pPr>
      <w:pStyle w:val="Header"/>
    </w:pPr>
    <w:r>
      <w:rPr>
        <w:noProof/>
      </w:rPr>
      <mc:AlternateContent>
        <mc:Choice Requires="wps">
          <w:drawing>
            <wp:anchor distT="0" distB="0" distL="0" distR="0" simplePos="0" relativeHeight="251677734" behindDoc="0" locked="0" layoutInCell="1" allowOverlap="1" wp14:anchorId="1368B2CD" wp14:editId="624E4209">
              <wp:simplePos x="635" y="635"/>
              <wp:positionH relativeFrom="page">
                <wp:align>center</wp:align>
              </wp:positionH>
              <wp:positionV relativeFrom="page">
                <wp:align>top</wp:align>
              </wp:positionV>
              <wp:extent cx="443865" cy="443865"/>
              <wp:effectExtent l="0" t="0" r="4445" b="5080"/>
              <wp:wrapNone/>
              <wp:docPr id="98632930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962482" w14:textId="4F035D0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68B2CD" id="_x0000_t202" coordsize="21600,21600" o:spt="202" path="m,l,21600r21600,l21600,xe">
              <v:stroke joinstyle="miter"/>
              <v:path gradientshapeok="t" o:connecttype="rect"/>
            </v:shapetype>
            <v:shape id="Text Box 19" o:spid="_x0000_s1043" type="#_x0000_t202" alt="OFFICIAL" style="position:absolute;margin-left:0;margin-top:0;width:34.95pt;height:34.95pt;z-index:2516777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4962482" w14:textId="4F035D0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B8A9" w14:textId="4FE1E2F5" w:rsidR="000A3171" w:rsidRDefault="0023360E">
    <w:pPr>
      <w:pStyle w:val="Header"/>
    </w:pPr>
    <w:r>
      <w:rPr>
        <w:noProof/>
      </w:rPr>
      <mc:AlternateContent>
        <mc:Choice Requires="wps">
          <w:drawing>
            <wp:anchor distT="0" distB="0" distL="0" distR="0" simplePos="0" relativeHeight="251681830" behindDoc="0" locked="0" layoutInCell="1" allowOverlap="1" wp14:anchorId="27CCB2CA" wp14:editId="07DD6AB2">
              <wp:simplePos x="635" y="635"/>
              <wp:positionH relativeFrom="page">
                <wp:align>center</wp:align>
              </wp:positionH>
              <wp:positionV relativeFrom="page">
                <wp:align>top</wp:align>
              </wp:positionV>
              <wp:extent cx="443865" cy="443865"/>
              <wp:effectExtent l="0" t="0" r="4445" b="5080"/>
              <wp:wrapNone/>
              <wp:docPr id="186644927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800E2" w14:textId="50468763"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CB2CA" id="_x0000_t202" coordsize="21600,21600" o:spt="202" path="m,l,21600r21600,l21600,xe">
              <v:stroke joinstyle="miter"/>
              <v:path gradientshapeok="t" o:connecttype="rect"/>
            </v:shapetype>
            <v:shape id="Text Box 23" o:spid="_x0000_s1044" type="#_x0000_t202" alt="OFFICIAL" style="position:absolute;margin-left:0;margin-top:0;width:34.95pt;height:34.95pt;z-index:2516818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7F800E2" w14:textId="50468763"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15000" w14:textId="32131794" w:rsidR="00C1232B" w:rsidRPr="00806199" w:rsidRDefault="0023360E" w:rsidP="00806199">
    <w:pPr>
      <w:pStyle w:val="Header"/>
    </w:pPr>
    <w:r>
      <w:rPr>
        <w:noProof/>
      </w:rPr>
      <mc:AlternateContent>
        <mc:Choice Requires="wps">
          <w:drawing>
            <wp:anchor distT="0" distB="0" distL="0" distR="0" simplePos="0" relativeHeight="251664422" behindDoc="0" locked="0" layoutInCell="1" allowOverlap="1" wp14:anchorId="217C4F20" wp14:editId="31AC7729">
              <wp:simplePos x="914400" y="457200"/>
              <wp:positionH relativeFrom="page">
                <wp:align>center</wp:align>
              </wp:positionH>
              <wp:positionV relativeFrom="page">
                <wp:align>top</wp:align>
              </wp:positionV>
              <wp:extent cx="443865" cy="443865"/>
              <wp:effectExtent l="0" t="0" r="4445" b="5080"/>
              <wp:wrapNone/>
              <wp:docPr id="192779419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6BDC01" w14:textId="5AE3CBE8"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7C4F20"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644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E6BDC01" w14:textId="5AE3CBE8"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B652" w14:textId="40C733AC" w:rsidR="007014E7" w:rsidRPr="00F14439" w:rsidRDefault="0023360E" w:rsidP="00B75142">
    <w:pPr>
      <w:pStyle w:val="Header"/>
    </w:pPr>
    <w:r>
      <w:rPr>
        <w:b/>
        <w:noProof/>
      </w:rPr>
      <mc:AlternateContent>
        <mc:Choice Requires="wps">
          <w:drawing>
            <wp:anchor distT="0" distB="0" distL="0" distR="0" simplePos="0" relativeHeight="251682854" behindDoc="0" locked="0" layoutInCell="1" allowOverlap="1" wp14:anchorId="1E9AA94A" wp14:editId="56A33D8F">
              <wp:simplePos x="635" y="635"/>
              <wp:positionH relativeFrom="page">
                <wp:align>center</wp:align>
              </wp:positionH>
              <wp:positionV relativeFrom="page">
                <wp:align>top</wp:align>
              </wp:positionV>
              <wp:extent cx="443865" cy="443865"/>
              <wp:effectExtent l="0" t="0" r="4445" b="5080"/>
              <wp:wrapNone/>
              <wp:docPr id="1724249885"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956698" w14:textId="268DA5C5"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9AA94A" id="_x0000_t202" coordsize="21600,21600" o:spt="202" path="m,l,21600r21600,l21600,xe">
              <v:stroke joinstyle="miter"/>
              <v:path gradientshapeok="t" o:connecttype="rect"/>
            </v:shapetype>
            <v:shape id="Text Box 24" o:spid="_x0000_s1045" type="#_x0000_t202" alt="OFFICIAL" style="position:absolute;margin-left:0;margin-top:0;width:34.95pt;height:34.95pt;z-index:2516828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8956698" w14:textId="268DA5C5"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E17351" w:rsidRPr="00B75142">
      <w:rPr>
        <w:rStyle w:val="Characterbold"/>
      </w:rPr>
      <w:t xml:space="preserve">Section </w:t>
    </w:r>
    <w:r w:rsidR="00E17351">
      <w:rPr>
        <w:rStyle w:val="Characterbold"/>
      </w:rPr>
      <w:t>2</w:t>
    </w:r>
    <w:r w:rsidR="00E17351">
      <w:t xml:space="preserve"> </w:t>
    </w:r>
    <w:r w:rsidR="00E17351" w:rsidRPr="000338A9">
      <w:rPr>
        <w:rStyle w:val="Characterpurple"/>
      </w:rPr>
      <w:t>•</w:t>
    </w:r>
    <w:r w:rsidR="00E17351">
      <w:t xml:space="preserve"> </w:t>
    </w:r>
    <w:r w:rsidR="00F31239">
      <w:fldChar w:fldCharType="begin"/>
    </w:r>
    <w:r w:rsidR="00F31239">
      <w:instrText xml:space="preserve"> STYLEREF  "Heading 1"  \* MERGEFORMAT </w:instrText>
    </w:r>
    <w:r w:rsidR="00F31239">
      <w:fldChar w:fldCharType="separate"/>
    </w:r>
    <w:r w:rsidR="0060611D">
      <w:rPr>
        <w:noProof/>
      </w:rPr>
      <w:t>Our performance</w:t>
    </w:r>
    <w:r w:rsidR="00F31239">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773D" w14:textId="670978EA" w:rsidR="000A3171" w:rsidRDefault="0023360E">
    <w:pPr>
      <w:pStyle w:val="Header"/>
    </w:pPr>
    <w:r>
      <w:rPr>
        <w:b/>
        <w:noProof/>
      </w:rPr>
      <mc:AlternateContent>
        <mc:Choice Requires="wps">
          <w:drawing>
            <wp:anchor distT="0" distB="0" distL="0" distR="0" simplePos="0" relativeHeight="251680806" behindDoc="0" locked="0" layoutInCell="1" allowOverlap="1" wp14:anchorId="5BFB5653" wp14:editId="6A4A4578">
              <wp:simplePos x="635" y="635"/>
              <wp:positionH relativeFrom="page">
                <wp:align>center</wp:align>
              </wp:positionH>
              <wp:positionV relativeFrom="page">
                <wp:align>top</wp:align>
              </wp:positionV>
              <wp:extent cx="443865" cy="443865"/>
              <wp:effectExtent l="0" t="0" r="4445" b="5080"/>
              <wp:wrapNone/>
              <wp:docPr id="1033934535"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95F09" w14:textId="678FB07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B5653" id="_x0000_t202" coordsize="21600,21600" o:spt="202" path="m,l,21600r21600,l21600,xe">
              <v:stroke joinstyle="miter"/>
              <v:path gradientshapeok="t" o:connecttype="rect"/>
            </v:shapetype>
            <v:shape id="Text Box 22" o:spid="_x0000_s1046" type="#_x0000_t202" alt="OFFICIAL" style="position:absolute;margin-left:0;margin-top:0;width:34.95pt;height:34.95pt;z-index:2516808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9095F09" w14:textId="678FB07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B75142" w:rsidRPr="00B75142">
      <w:rPr>
        <w:rStyle w:val="Characterbold"/>
      </w:rPr>
      <w:t>Section 2</w:t>
    </w:r>
    <w:r w:rsidR="00B75142">
      <w:t xml:space="preserve"> </w:t>
    </w:r>
    <w:r w:rsidR="00B75142" w:rsidRPr="000338A9">
      <w:rPr>
        <w:rStyle w:val="Characterpurple"/>
      </w:rPr>
      <w:t>•</w:t>
    </w:r>
    <w:r w:rsidR="00B75142">
      <w:t xml:space="preserve"> </w:t>
    </w:r>
    <w:r w:rsidR="00F31239">
      <w:fldChar w:fldCharType="begin"/>
    </w:r>
    <w:r w:rsidR="00F31239">
      <w:instrText xml:space="preserve"> STYLEREF  "Heading 1"  \* MERGEFORMAT </w:instrText>
    </w:r>
    <w:r w:rsidR="00F31239">
      <w:fldChar w:fldCharType="separate"/>
    </w:r>
    <w:r w:rsidR="0060611D">
      <w:rPr>
        <w:noProof/>
      </w:rPr>
      <w:t>Our performance</w:t>
    </w:r>
    <w:r w:rsidR="00F31239">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E5BA" w14:textId="2D66472C" w:rsidR="0023360E" w:rsidRDefault="0023360E">
    <w:pPr>
      <w:pStyle w:val="Header"/>
    </w:pPr>
    <w:r>
      <w:rPr>
        <w:noProof/>
      </w:rPr>
      <mc:AlternateContent>
        <mc:Choice Requires="wps">
          <w:drawing>
            <wp:anchor distT="0" distB="0" distL="0" distR="0" simplePos="0" relativeHeight="251684902" behindDoc="0" locked="0" layoutInCell="1" allowOverlap="1" wp14:anchorId="47C5209D" wp14:editId="29914040">
              <wp:simplePos x="635" y="635"/>
              <wp:positionH relativeFrom="page">
                <wp:align>center</wp:align>
              </wp:positionH>
              <wp:positionV relativeFrom="page">
                <wp:align>top</wp:align>
              </wp:positionV>
              <wp:extent cx="443865" cy="443865"/>
              <wp:effectExtent l="0" t="0" r="4445" b="5080"/>
              <wp:wrapNone/>
              <wp:docPr id="1400964160"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7759AC" w14:textId="40B7DF7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C5209D" id="_x0000_t202" coordsize="21600,21600" o:spt="202" path="m,l,21600r21600,l21600,xe">
              <v:stroke joinstyle="miter"/>
              <v:path gradientshapeok="t" o:connecttype="rect"/>
            </v:shapetype>
            <v:shape id="Text Box 26" o:spid="_x0000_s1047" type="#_x0000_t202" alt="OFFICIAL" style="position:absolute;margin-left:0;margin-top:0;width:34.95pt;height:34.95pt;z-index:2516849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F7759AC" w14:textId="40B7DF7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4392" w14:textId="780A1C97" w:rsidR="00E17351" w:rsidRPr="00F14439" w:rsidRDefault="0023360E" w:rsidP="00B75142">
    <w:pPr>
      <w:pStyle w:val="Header"/>
    </w:pPr>
    <w:r>
      <w:rPr>
        <w:b/>
        <w:noProof/>
      </w:rPr>
      <mc:AlternateContent>
        <mc:Choice Requires="wps">
          <w:drawing>
            <wp:anchor distT="0" distB="0" distL="0" distR="0" simplePos="0" relativeHeight="251685926" behindDoc="0" locked="0" layoutInCell="1" allowOverlap="1" wp14:anchorId="1EB62B63" wp14:editId="58E38328">
              <wp:simplePos x="635" y="635"/>
              <wp:positionH relativeFrom="page">
                <wp:align>center</wp:align>
              </wp:positionH>
              <wp:positionV relativeFrom="page">
                <wp:align>top</wp:align>
              </wp:positionV>
              <wp:extent cx="443865" cy="443865"/>
              <wp:effectExtent l="0" t="0" r="4445" b="5080"/>
              <wp:wrapNone/>
              <wp:docPr id="1855492770"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ED80B4" w14:textId="446F5FD1"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B62B63" id="_x0000_t202" coordsize="21600,21600" o:spt="202" path="m,l,21600r21600,l21600,xe">
              <v:stroke joinstyle="miter"/>
              <v:path gradientshapeok="t" o:connecttype="rect"/>
            </v:shapetype>
            <v:shape id="Text Box 27" o:spid="_x0000_s1048" type="#_x0000_t202" alt="OFFICIAL" style="position:absolute;margin-left:0;margin-top:0;width:34.95pt;height:34.95pt;z-index:2516859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AED80B4" w14:textId="446F5FD1"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E17351" w:rsidRPr="00B75142">
      <w:rPr>
        <w:rStyle w:val="Characterbold"/>
      </w:rPr>
      <w:t xml:space="preserve">Section </w:t>
    </w:r>
    <w:r w:rsidR="00E17351">
      <w:rPr>
        <w:rStyle w:val="Characterbold"/>
      </w:rPr>
      <w:t>3</w:t>
    </w:r>
    <w:r w:rsidR="00E17351">
      <w:t xml:space="preserve"> </w:t>
    </w:r>
    <w:r w:rsidR="00E17351" w:rsidRPr="000338A9">
      <w:rPr>
        <w:rStyle w:val="Characterpurple"/>
      </w:rPr>
      <w:t>•</w:t>
    </w:r>
    <w:r w:rsidR="00E17351">
      <w:t xml:space="preserve"> </w:t>
    </w:r>
    <w:r w:rsidR="00F31239">
      <w:fldChar w:fldCharType="begin"/>
    </w:r>
    <w:r w:rsidR="00F31239">
      <w:instrText xml:space="preserve"> STYLEREF  "Heading 1"  \* MERGEFORMAT </w:instrText>
    </w:r>
    <w:r w:rsidR="00F31239">
      <w:fldChar w:fldCharType="separate"/>
    </w:r>
    <w:r w:rsidR="0060611D">
      <w:rPr>
        <w:noProof/>
      </w:rPr>
      <w:t>Our people and organisation</w:t>
    </w:r>
    <w:r w:rsidR="00F31239">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73AB" w14:textId="2C79BDA3" w:rsidR="00B75142" w:rsidRDefault="0023360E">
    <w:pPr>
      <w:pStyle w:val="Header"/>
    </w:pPr>
    <w:r>
      <w:rPr>
        <w:b/>
        <w:noProof/>
      </w:rPr>
      <mc:AlternateContent>
        <mc:Choice Requires="wps">
          <w:drawing>
            <wp:anchor distT="0" distB="0" distL="0" distR="0" simplePos="0" relativeHeight="251683878" behindDoc="0" locked="0" layoutInCell="1" allowOverlap="1" wp14:anchorId="6AABAC0C" wp14:editId="28840107">
              <wp:simplePos x="635" y="635"/>
              <wp:positionH relativeFrom="page">
                <wp:align>center</wp:align>
              </wp:positionH>
              <wp:positionV relativeFrom="page">
                <wp:align>top</wp:align>
              </wp:positionV>
              <wp:extent cx="443865" cy="443865"/>
              <wp:effectExtent l="0" t="0" r="4445" b="5080"/>
              <wp:wrapNone/>
              <wp:docPr id="1273315159"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1DEA2D" w14:textId="00ADA9C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ABAC0C" id="_x0000_t202" coordsize="21600,21600" o:spt="202" path="m,l,21600r21600,l21600,xe">
              <v:stroke joinstyle="miter"/>
              <v:path gradientshapeok="t" o:connecttype="rect"/>
            </v:shapetype>
            <v:shape id="Text Box 25" o:spid="_x0000_s1049" type="#_x0000_t202" alt="OFFICIAL" style="position:absolute;margin-left:0;margin-top:0;width:34.95pt;height:34.95pt;z-index:2516838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21DEA2D" w14:textId="00ADA9C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B75142" w:rsidRPr="00B75142">
      <w:rPr>
        <w:rStyle w:val="Characterbold"/>
      </w:rPr>
      <w:t xml:space="preserve">Section </w:t>
    </w:r>
    <w:r w:rsidR="00B75142">
      <w:rPr>
        <w:rStyle w:val="Characterbold"/>
      </w:rPr>
      <w:t>3</w:t>
    </w:r>
    <w:r w:rsidR="00B75142">
      <w:t xml:space="preserve"> </w:t>
    </w:r>
    <w:r w:rsidR="00B75142" w:rsidRPr="000338A9">
      <w:rPr>
        <w:rStyle w:val="Characterpurple"/>
      </w:rPr>
      <w:t>•</w:t>
    </w:r>
    <w:r w:rsidR="00B75142">
      <w:t xml:space="preserve"> </w:t>
    </w:r>
    <w:r w:rsidR="00F31239">
      <w:fldChar w:fldCharType="begin"/>
    </w:r>
    <w:r w:rsidR="00F31239">
      <w:instrText xml:space="preserve"> STYLEREF  "Heading 1"  \* MERGEFORMAT </w:instrText>
    </w:r>
    <w:r w:rsidR="00F31239">
      <w:fldChar w:fldCharType="separate"/>
    </w:r>
    <w:r w:rsidR="0060611D">
      <w:rPr>
        <w:noProof/>
      </w:rPr>
      <w:t>Our people and organisation</w:t>
    </w:r>
    <w:r w:rsidR="00F31239">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F170" w14:textId="4A6416C5" w:rsidR="0058789F" w:rsidRDefault="0023360E">
    <w:pPr>
      <w:pStyle w:val="Header"/>
    </w:pPr>
    <w:r>
      <w:rPr>
        <w:noProof/>
      </w:rPr>
      <mc:AlternateContent>
        <mc:Choice Requires="wps">
          <w:drawing>
            <wp:anchor distT="0" distB="0" distL="0" distR="0" simplePos="0" relativeHeight="251687974" behindDoc="0" locked="0" layoutInCell="1" allowOverlap="1" wp14:anchorId="7CCA6917" wp14:editId="5A931EB7">
              <wp:simplePos x="635" y="635"/>
              <wp:positionH relativeFrom="page">
                <wp:align>center</wp:align>
              </wp:positionH>
              <wp:positionV relativeFrom="page">
                <wp:align>top</wp:align>
              </wp:positionV>
              <wp:extent cx="443865" cy="443865"/>
              <wp:effectExtent l="0" t="0" r="4445" b="5080"/>
              <wp:wrapNone/>
              <wp:docPr id="682765366"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2E32A0" w14:textId="3E58EE14"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CA6917" id="_x0000_t202" coordsize="21600,21600" o:spt="202" path="m,l,21600r21600,l21600,xe">
              <v:stroke joinstyle="miter"/>
              <v:path gradientshapeok="t" o:connecttype="rect"/>
            </v:shapetype>
            <v:shape id="Text Box 29" o:spid="_x0000_s1050" type="#_x0000_t202" alt="OFFICIAL" style="position:absolute;margin-left:0;margin-top:0;width:34.95pt;height:34.95pt;z-index:2516879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232E32A0" w14:textId="3E58EE14"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04A5" w14:textId="489B4868" w:rsidR="0058789F" w:rsidRDefault="0023360E">
    <w:pPr>
      <w:pStyle w:val="Header"/>
    </w:pPr>
    <w:r>
      <w:rPr>
        <w:b/>
        <w:noProof/>
      </w:rPr>
      <mc:AlternateContent>
        <mc:Choice Requires="wps">
          <w:drawing>
            <wp:anchor distT="0" distB="0" distL="0" distR="0" simplePos="0" relativeHeight="251688998" behindDoc="0" locked="0" layoutInCell="1" allowOverlap="1" wp14:anchorId="69AFAC8E" wp14:editId="10DA53F1">
              <wp:simplePos x="635" y="635"/>
              <wp:positionH relativeFrom="page">
                <wp:align>center</wp:align>
              </wp:positionH>
              <wp:positionV relativeFrom="page">
                <wp:align>top</wp:align>
              </wp:positionV>
              <wp:extent cx="443865" cy="443865"/>
              <wp:effectExtent l="0" t="0" r="4445" b="5080"/>
              <wp:wrapNone/>
              <wp:docPr id="677212177"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FFA883" w14:textId="52F071E5"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AFAC8E" id="_x0000_t202" coordsize="21600,21600" o:spt="202" path="m,l,21600r21600,l21600,xe">
              <v:stroke joinstyle="miter"/>
              <v:path gradientshapeok="t" o:connecttype="rect"/>
            </v:shapetype>
            <v:shape id="Text Box 30" o:spid="_x0000_s1051" type="#_x0000_t202" alt="OFFICIAL" style="position:absolute;margin-left:0;margin-top:0;width:34.95pt;height:34.95pt;z-index:2516889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8FFA883" w14:textId="52F071E5"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8E4C71" w:rsidRPr="00B75142">
      <w:rPr>
        <w:rStyle w:val="Characterbold"/>
      </w:rPr>
      <w:t xml:space="preserve">Section </w:t>
    </w:r>
    <w:r w:rsidR="008E4C71">
      <w:rPr>
        <w:rStyle w:val="Characterbold"/>
      </w:rPr>
      <w:t>4</w:t>
    </w:r>
    <w:r w:rsidR="008E4C71">
      <w:t xml:space="preserve"> </w:t>
    </w:r>
    <w:r w:rsidR="008E4C71" w:rsidRPr="000338A9">
      <w:rPr>
        <w:rStyle w:val="Characterpurple"/>
      </w:rPr>
      <w:t>•</w:t>
    </w:r>
    <w:r w:rsidR="008E4C71">
      <w:t xml:space="preserve"> </w:t>
    </w:r>
    <w:r w:rsidR="00F31239">
      <w:fldChar w:fldCharType="begin"/>
    </w:r>
    <w:r w:rsidR="00F31239">
      <w:instrText xml:space="preserve"> STYLEREF  "Heading 1"  \* MERGEFORMAT </w:instrText>
    </w:r>
    <w:r w:rsidR="00F31239">
      <w:fldChar w:fldCharType="separate"/>
    </w:r>
    <w:r w:rsidR="0060611D">
      <w:rPr>
        <w:noProof/>
      </w:rPr>
      <w:t>Financial report</w:t>
    </w:r>
    <w:r w:rsidR="00F31239">
      <w:rPr>
        <w:noProof/>
      </w:rPr>
      <w:fldChar w:fldCharType="end"/>
    </w:r>
    <w:r w:rsidR="0058789F">
      <w:rPr>
        <w:noProof/>
      </w:rPr>
      <mc:AlternateContent>
        <mc:Choice Requires="wps">
          <w:drawing>
            <wp:anchor distT="0" distB="0" distL="114300" distR="114300" simplePos="0" relativeHeight="251658277" behindDoc="0" locked="0" layoutInCell="0" allowOverlap="1" wp14:anchorId="15DC7210" wp14:editId="45107BCC">
              <wp:simplePos x="0" y="0"/>
              <wp:positionH relativeFrom="margin">
                <wp:align>center</wp:align>
              </wp:positionH>
              <wp:positionV relativeFrom="topMargin">
                <wp:align>bottom</wp:align>
              </wp:positionV>
              <wp:extent cx="264795" cy="31305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13055"/>
                      </a:xfrm>
                      <a:prstGeom prst="rect">
                        <a:avLst/>
                      </a:prstGeom>
                      <a:noFill/>
                      <a:ln w="6350">
                        <a:noFill/>
                      </a:ln>
                    </wps:spPr>
                    <wps:txbx>
                      <w:txbxContent>
                        <w:p w14:paraId="72870C7C" w14:textId="77777777" w:rsidR="0058789F" w:rsidRDefault="0058789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5DC7210" id="_x0000_s1052" type="#_x0000_t202" style="position:absolute;margin-left:0;margin-top:0;width:20.85pt;height:24.65pt;z-index:251658277;visibility:visible;mso-wrap-style:non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" o:allowincell="f" filled="f" stroked="f" strokeweight=".5pt">
              <v:textbox style="mso-fit-shape-to-text:t">
                <w:txbxContent>
                  <w:p w14:paraId="72870C7C" w14:textId="77777777" w:rsidR="0058789F" w:rsidRDefault="0058789F"/>
                </w:txbxContent>
              </v:textbox>
              <w10:wrap anchorx="margin"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A52B" w14:textId="402DB537" w:rsidR="0058789F" w:rsidRDefault="0023360E" w:rsidP="00DD35E1">
    <w:pPr>
      <w:pStyle w:val="Headerlandscape"/>
    </w:pPr>
    <w:r>
      <w:rPr>
        <w:noProof/>
      </w:rPr>
      <mc:AlternateContent>
        <mc:Choice Requires="wps">
          <w:drawing>
            <wp:anchor distT="0" distB="0" distL="0" distR="0" simplePos="0" relativeHeight="251686950" behindDoc="0" locked="0" layoutInCell="1" allowOverlap="1" wp14:anchorId="348DC44A" wp14:editId="5F6308F3">
              <wp:simplePos x="635" y="635"/>
              <wp:positionH relativeFrom="page">
                <wp:align>center</wp:align>
              </wp:positionH>
              <wp:positionV relativeFrom="page">
                <wp:align>top</wp:align>
              </wp:positionV>
              <wp:extent cx="443865" cy="443865"/>
              <wp:effectExtent l="0" t="0" r="4445" b="5080"/>
              <wp:wrapNone/>
              <wp:docPr id="222545829"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977DB7" w14:textId="33BEB025"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8DC44A" id="_x0000_t202" coordsize="21600,21600" o:spt="202" path="m,l,21600r21600,l21600,xe">
              <v:stroke joinstyle="miter"/>
              <v:path gradientshapeok="t" o:connecttype="rect"/>
            </v:shapetype>
            <v:shape id="Text Box 28" o:spid="_x0000_s1053" type="#_x0000_t202" alt="OFFICIAL" style="position:absolute;margin-left:0;margin-top:0;width:34.95pt;height:34.95pt;z-index:2516869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29977DB7" w14:textId="33BEB025"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58789F">
      <w:rPr>
        <w:noProof/>
      </w:rPr>
      <mc:AlternateContent>
        <mc:Choice Requires="wps">
          <w:drawing>
            <wp:anchor distT="0" distB="0" distL="114300" distR="114300" simplePos="0" relativeHeight="251658278" behindDoc="0" locked="0" layoutInCell="0" allowOverlap="1" wp14:anchorId="7A4047C4" wp14:editId="0F0E2337">
              <wp:simplePos x="0" y="0"/>
              <wp:positionH relativeFrom="page">
                <wp:align>center</wp:align>
              </wp:positionH>
              <wp:positionV relativeFrom="page">
                <wp:align>top</wp:align>
              </wp:positionV>
              <wp:extent cx="7772400" cy="4635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353987F9" w14:textId="77777777" w:rsidR="0058789F" w:rsidRPr="00AF6223" w:rsidRDefault="0058789F" w:rsidP="00D05D2F">
                          <w:pPr>
                            <w:spacing w:before="0" w:after="0"/>
                            <w:jc w:val="center"/>
                            <w:rPr>
                              <w:rFonts w:cs="Calibri"/>
                              <w:color w:val="000000"/>
                              <w:sz w:val="24"/>
                            </w:rPr>
                          </w:pPr>
                          <w:r w:rsidRPr="00AF6223">
                            <w:rPr>
                              <w:rFonts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4047C4" id="_x0000_s1054" type="#_x0000_t202" style="position:absolute;margin-left:0;margin-top:0;width:612pt;height:36.5pt;z-index:25165827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" o:allowincell="f" filled="f" stroked="f" strokeweight=".5pt">
              <v:textbox inset=",0,,0">
                <w:txbxContent>
                  <w:p w14:paraId="353987F9" w14:textId="77777777" w:rsidR="0058789F" w:rsidRPr="00AF6223" w:rsidRDefault="0058789F" w:rsidP="00D05D2F">
                    <w:pPr>
                      <w:spacing w:before="0" w:after="0"/>
                      <w:jc w:val="center"/>
                      <w:rPr>
                        <w:rFonts w:cs="Calibri"/>
                        <w:color w:val="000000"/>
                        <w:sz w:val="24"/>
                      </w:rPr>
                    </w:pPr>
                    <w:r w:rsidRPr="00AF6223">
                      <w:rPr>
                        <w:rFonts w:cs="Calibri"/>
                        <w:color w:val="000000"/>
                        <w:sz w:val="24"/>
                      </w:rPr>
                      <w:t>OFFICIAL</w:t>
                    </w:r>
                  </w:p>
                </w:txbxContent>
              </v:textbox>
              <w10:wrap anchorx="page" anchory="page"/>
            </v:shape>
          </w:pict>
        </mc:Fallback>
      </mc:AlternateContent>
    </w:r>
    <w:r w:rsidR="0058789F">
      <w:t>Header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CBDB" w14:textId="3BF17EFB" w:rsidR="0058789F" w:rsidRDefault="0023360E">
    <w:pPr>
      <w:pStyle w:val="Header"/>
    </w:pPr>
    <w:r>
      <w:rPr>
        <w:noProof/>
      </w:rPr>
      <mc:AlternateContent>
        <mc:Choice Requires="wps">
          <w:drawing>
            <wp:anchor distT="0" distB="0" distL="0" distR="0" simplePos="0" relativeHeight="251691046" behindDoc="0" locked="0" layoutInCell="1" allowOverlap="1" wp14:anchorId="3AA128F1" wp14:editId="3ABCA132">
              <wp:simplePos x="635" y="635"/>
              <wp:positionH relativeFrom="page">
                <wp:align>center</wp:align>
              </wp:positionH>
              <wp:positionV relativeFrom="page">
                <wp:align>top</wp:align>
              </wp:positionV>
              <wp:extent cx="443865" cy="443865"/>
              <wp:effectExtent l="0" t="0" r="4445" b="5080"/>
              <wp:wrapNone/>
              <wp:docPr id="1658123090"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3E09E4" w14:textId="130E2661"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A128F1" id="_x0000_t202" coordsize="21600,21600" o:spt="202" path="m,l,21600r21600,l21600,xe">
              <v:stroke joinstyle="miter"/>
              <v:path gradientshapeok="t" o:connecttype="rect"/>
            </v:shapetype>
            <v:shape id="Text Box 32" o:spid="_x0000_s1055" type="#_x0000_t202" alt="OFFICIAL" style="position:absolute;margin-left:0;margin-top:0;width:34.95pt;height:34.95pt;z-index:2516910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C3E09E4" w14:textId="130E2661"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F09C" w14:textId="7E911269" w:rsidR="0058789F" w:rsidRPr="00F14439" w:rsidRDefault="0023360E" w:rsidP="00F14439">
    <w:pPr>
      <w:pStyle w:val="Header"/>
    </w:pPr>
    <w:r>
      <w:rPr>
        <w:b/>
        <w:noProof/>
      </w:rPr>
      <mc:AlternateContent>
        <mc:Choice Requires="wps">
          <w:drawing>
            <wp:anchor distT="0" distB="0" distL="0" distR="0" simplePos="0" relativeHeight="251692070" behindDoc="0" locked="0" layoutInCell="1" allowOverlap="1" wp14:anchorId="7C09A140" wp14:editId="48C1AF32">
              <wp:simplePos x="635" y="635"/>
              <wp:positionH relativeFrom="page">
                <wp:align>center</wp:align>
              </wp:positionH>
              <wp:positionV relativeFrom="page">
                <wp:align>top</wp:align>
              </wp:positionV>
              <wp:extent cx="443865" cy="443865"/>
              <wp:effectExtent l="0" t="0" r="4445" b="5080"/>
              <wp:wrapNone/>
              <wp:docPr id="1913460779"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AAFD93" w14:textId="3CCEECA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09A140" id="_x0000_t202" coordsize="21600,21600" o:spt="202" path="m,l,21600r21600,l21600,xe">
              <v:stroke joinstyle="miter"/>
              <v:path gradientshapeok="t" o:connecttype="rect"/>
            </v:shapetype>
            <v:shape id="Text Box 33" o:spid="_x0000_s1056" type="#_x0000_t202" alt="OFFICIAL" style="position:absolute;margin-left:0;margin-top:0;width:34.95pt;height:34.95pt;z-index:2516920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AAAFD93" w14:textId="3CCEECA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8E4C71" w:rsidRPr="00B75142">
      <w:rPr>
        <w:rStyle w:val="Characterbold"/>
      </w:rPr>
      <w:t xml:space="preserve">Section </w:t>
    </w:r>
    <w:r w:rsidR="008E4C71">
      <w:rPr>
        <w:rStyle w:val="Characterbold"/>
      </w:rPr>
      <w:t>4</w:t>
    </w:r>
    <w:r w:rsidR="008E4C71">
      <w:t xml:space="preserve"> </w:t>
    </w:r>
    <w:r w:rsidR="008E4C71" w:rsidRPr="000338A9">
      <w:rPr>
        <w:rStyle w:val="Characterpurple"/>
      </w:rPr>
      <w:t>•</w:t>
    </w:r>
    <w:r w:rsidR="008E4C71">
      <w:t xml:space="preserve"> </w:t>
    </w:r>
    <w:r w:rsidR="00F31239">
      <w:fldChar w:fldCharType="begin"/>
    </w:r>
    <w:r w:rsidR="00F31239">
      <w:instrText xml:space="preserve"> STYLEREF  "Heading 1"  \* MERGEFORMAT </w:instrText>
    </w:r>
    <w:r w:rsidR="00F31239">
      <w:fldChar w:fldCharType="separate"/>
    </w:r>
    <w:r w:rsidR="0060611D">
      <w:rPr>
        <w:noProof/>
      </w:rPr>
      <w:t>Financial report</w:t>
    </w:r>
    <w:r w:rsidR="00F31239">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7DE2" w14:textId="542972B1" w:rsidR="000A3171" w:rsidRDefault="0023360E">
    <w:pPr>
      <w:pStyle w:val="Header"/>
    </w:pPr>
    <w:r>
      <w:rPr>
        <w:noProof/>
      </w:rPr>
      <mc:AlternateContent>
        <mc:Choice Requires="wps">
          <w:drawing>
            <wp:anchor distT="0" distB="0" distL="0" distR="0" simplePos="0" relativeHeight="251662374" behindDoc="0" locked="0" layoutInCell="1" allowOverlap="1" wp14:anchorId="5521CBB6" wp14:editId="00C9E856">
              <wp:simplePos x="635" y="635"/>
              <wp:positionH relativeFrom="page">
                <wp:align>center</wp:align>
              </wp:positionH>
              <wp:positionV relativeFrom="page">
                <wp:align>top</wp:align>
              </wp:positionV>
              <wp:extent cx="443865" cy="443865"/>
              <wp:effectExtent l="0" t="0" r="4445" b="5080"/>
              <wp:wrapNone/>
              <wp:docPr id="45676647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B86D8" w14:textId="76B0E28F"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21CBB6" id="_x0000_t202" coordsize="21600,21600" o:spt="202" path="m,l,21600r21600,l21600,xe">
              <v:stroke joinstyle="miter"/>
              <v:path gradientshapeok="t" o:connecttype="rect"/>
            </v:shapetype>
            <v:shape id="Text Box 4" o:spid="_x0000_s1028" type="#_x0000_t202" alt="OFFICIAL" style="position:absolute;margin-left:0;margin-top:0;width:34.95pt;height:34.95pt;z-index:2516623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03B86D8" w14:textId="76B0E28F"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0F5D" w14:textId="15451667" w:rsidR="0058789F" w:rsidRDefault="0023360E" w:rsidP="00DD35E1">
    <w:pPr>
      <w:pStyle w:val="Headerlandscape"/>
    </w:pPr>
    <w:r>
      <w:rPr>
        <w:b/>
        <w:noProof/>
      </w:rPr>
      <mc:AlternateContent>
        <mc:Choice Requires="wps">
          <w:drawing>
            <wp:anchor distT="0" distB="0" distL="0" distR="0" simplePos="0" relativeHeight="251690022" behindDoc="0" locked="0" layoutInCell="1" allowOverlap="1" wp14:anchorId="1679367A" wp14:editId="03493CC9">
              <wp:simplePos x="635" y="635"/>
              <wp:positionH relativeFrom="page">
                <wp:align>center</wp:align>
              </wp:positionH>
              <wp:positionV relativeFrom="page">
                <wp:align>top</wp:align>
              </wp:positionV>
              <wp:extent cx="443865" cy="443865"/>
              <wp:effectExtent l="0" t="0" r="4445" b="5080"/>
              <wp:wrapNone/>
              <wp:docPr id="1952240245"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4A922F" w14:textId="76D7027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79367A" id="_x0000_t202" coordsize="21600,21600" o:spt="202" path="m,l,21600r21600,l21600,xe">
              <v:stroke joinstyle="miter"/>
              <v:path gradientshapeok="t" o:connecttype="rect"/>
            </v:shapetype>
            <v:shape id="Text Box 31" o:spid="_x0000_s1057" type="#_x0000_t202" alt="OFFICIAL" style="position:absolute;margin-left:0;margin-top:0;width:34.95pt;height:34.95pt;z-index:2516900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B4A922F" w14:textId="76D7027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58789F" w:rsidRPr="0076660F">
      <w:rPr>
        <w:rStyle w:val="Characterbold"/>
      </w:rPr>
      <w:t>Appendix A:</w:t>
    </w:r>
    <w:r w:rsidR="0058789F">
      <w:t xml:space="preserve"> Disclosure index</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EBB6" w14:textId="280B9BC1" w:rsidR="0058789F" w:rsidRDefault="0023360E">
    <w:pPr>
      <w:pStyle w:val="Header"/>
    </w:pPr>
    <w:r>
      <w:rPr>
        <w:noProof/>
      </w:rPr>
      <mc:AlternateContent>
        <mc:Choice Requires="wps">
          <w:drawing>
            <wp:anchor distT="0" distB="0" distL="0" distR="0" simplePos="0" relativeHeight="251694118" behindDoc="0" locked="0" layoutInCell="1" allowOverlap="1" wp14:anchorId="6062F5EE" wp14:editId="6E7A53D1">
              <wp:simplePos x="635" y="635"/>
              <wp:positionH relativeFrom="page">
                <wp:align>center</wp:align>
              </wp:positionH>
              <wp:positionV relativeFrom="page">
                <wp:align>top</wp:align>
              </wp:positionV>
              <wp:extent cx="443865" cy="443865"/>
              <wp:effectExtent l="0" t="0" r="4445" b="5080"/>
              <wp:wrapNone/>
              <wp:docPr id="543363864"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44E5B8" w14:textId="002D906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2F5EE" id="_x0000_t202" coordsize="21600,21600" o:spt="202" path="m,l,21600r21600,l21600,xe">
              <v:stroke joinstyle="miter"/>
              <v:path gradientshapeok="t" o:connecttype="rect"/>
            </v:shapetype>
            <v:shape id="Text Box 35" o:spid="_x0000_s1058" type="#_x0000_t202" alt="OFFICIAL" style="position:absolute;margin-left:0;margin-top:0;width:34.95pt;height:34.95pt;z-index:2516941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A44E5B8" w14:textId="002D906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2B80" w14:textId="36196835" w:rsidR="0058789F" w:rsidRPr="00130D68" w:rsidRDefault="0023360E" w:rsidP="00130D68">
    <w:pPr>
      <w:pStyle w:val="Header"/>
    </w:pPr>
    <w:r>
      <w:rPr>
        <w:b/>
        <w:noProof/>
      </w:rPr>
      <mc:AlternateContent>
        <mc:Choice Requires="wps">
          <w:drawing>
            <wp:anchor distT="0" distB="0" distL="0" distR="0" simplePos="0" relativeHeight="251695142" behindDoc="0" locked="0" layoutInCell="1" allowOverlap="1" wp14:anchorId="663B17D8" wp14:editId="02980B17">
              <wp:simplePos x="635" y="635"/>
              <wp:positionH relativeFrom="page">
                <wp:align>center</wp:align>
              </wp:positionH>
              <wp:positionV relativeFrom="page">
                <wp:align>top</wp:align>
              </wp:positionV>
              <wp:extent cx="443865" cy="443865"/>
              <wp:effectExtent l="0" t="0" r="4445" b="5080"/>
              <wp:wrapNone/>
              <wp:docPr id="129926249"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2CE14" w14:textId="09B8ABD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3B17D8" id="_x0000_t202" coordsize="21600,21600" o:spt="202" path="m,l,21600r21600,l21600,xe">
              <v:stroke joinstyle="miter"/>
              <v:path gradientshapeok="t" o:connecttype="rect"/>
            </v:shapetype>
            <v:shape id="Text Box 36" o:spid="_x0000_s1059" type="#_x0000_t202" alt="OFFICIAL" style="position:absolute;margin-left:0;margin-top:0;width:34.95pt;height:34.95pt;z-index:2516951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E52CE14" w14:textId="09B8ABD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8E4C71" w:rsidRPr="00B75142">
      <w:rPr>
        <w:rStyle w:val="Characterbold"/>
      </w:rPr>
      <w:t xml:space="preserve">Section </w:t>
    </w:r>
    <w:r w:rsidR="008E4C71">
      <w:rPr>
        <w:rStyle w:val="Characterbold"/>
      </w:rPr>
      <w:t>4</w:t>
    </w:r>
    <w:r w:rsidR="008E4C71">
      <w:t xml:space="preserve"> </w:t>
    </w:r>
    <w:r w:rsidR="008E4C71" w:rsidRPr="000338A9">
      <w:rPr>
        <w:rStyle w:val="Characterpurple"/>
      </w:rPr>
      <w:t>•</w:t>
    </w:r>
    <w:r w:rsidR="008E4C71">
      <w:t xml:space="preserve"> </w:t>
    </w:r>
    <w:r w:rsidR="00F31239">
      <w:fldChar w:fldCharType="begin"/>
    </w:r>
    <w:r w:rsidR="00F31239">
      <w:instrText xml:space="preserve"> STYLEREF  "Heading 1"  \* MERGEFORMAT </w:instrText>
    </w:r>
    <w:r w:rsidR="00F31239">
      <w:fldChar w:fldCharType="separate"/>
    </w:r>
    <w:r w:rsidR="0060611D">
      <w:rPr>
        <w:noProof/>
      </w:rPr>
      <w:t>Financial report</w:t>
    </w:r>
    <w:r w:rsidR="00F31239">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5589" w14:textId="26DA4A9F" w:rsidR="0058789F" w:rsidRPr="001A64B2" w:rsidRDefault="0023360E" w:rsidP="001A64B2">
    <w:pPr>
      <w:pStyle w:val="Header"/>
    </w:pPr>
    <w:r>
      <w:rPr>
        <w:noProof/>
      </w:rPr>
      <mc:AlternateContent>
        <mc:Choice Requires="wps">
          <w:drawing>
            <wp:anchor distT="0" distB="0" distL="0" distR="0" simplePos="0" relativeHeight="251693094" behindDoc="0" locked="0" layoutInCell="1" allowOverlap="1" wp14:anchorId="1F6D832A" wp14:editId="0319237A">
              <wp:simplePos x="635" y="635"/>
              <wp:positionH relativeFrom="page">
                <wp:align>center</wp:align>
              </wp:positionH>
              <wp:positionV relativeFrom="page">
                <wp:align>top</wp:align>
              </wp:positionV>
              <wp:extent cx="443865" cy="443865"/>
              <wp:effectExtent l="0" t="0" r="4445" b="5080"/>
              <wp:wrapNone/>
              <wp:docPr id="703369186"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1C54F1" w14:textId="7BF357F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6D832A" id="_x0000_t202" coordsize="21600,21600" o:spt="202" path="m,l,21600r21600,l21600,xe">
              <v:stroke joinstyle="miter"/>
              <v:path gradientshapeok="t" o:connecttype="rect"/>
            </v:shapetype>
            <v:shape id="Text Box 34" o:spid="_x0000_s1060" type="#_x0000_t202" alt="OFFICIAL" style="position:absolute;margin-left:0;margin-top:0;width:34.95pt;height:34.95pt;z-index:2516930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A1C54F1" w14:textId="7BF357F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5F78" w14:textId="2BECA32D" w:rsidR="00334485" w:rsidRDefault="0023360E">
    <w:pPr>
      <w:pStyle w:val="Header"/>
    </w:pPr>
    <w:r>
      <w:rPr>
        <w:noProof/>
      </w:rPr>
      <mc:AlternateContent>
        <mc:Choice Requires="wps">
          <w:drawing>
            <wp:anchor distT="0" distB="0" distL="0" distR="0" simplePos="0" relativeHeight="251697190" behindDoc="0" locked="0" layoutInCell="1" allowOverlap="1" wp14:anchorId="303CD0E9" wp14:editId="0AA35E0D">
              <wp:simplePos x="635" y="635"/>
              <wp:positionH relativeFrom="page">
                <wp:align>center</wp:align>
              </wp:positionH>
              <wp:positionV relativeFrom="page">
                <wp:align>top</wp:align>
              </wp:positionV>
              <wp:extent cx="443865" cy="443865"/>
              <wp:effectExtent l="0" t="0" r="4445" b="5080"/>
              <wp:wrapNone/>
              <wp:docPr id="103301538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D2D0D" w14:textId="19A5FC34"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CD0E9" id="_x0000_t202" coordsize="21600,21600" o:spt="202" path="m,l,21600r21600,l21600,xe">
              <v:stroke joinstyle="miter"/>
              <v:path gradientshapeok="t" o:connecttype="rect"/>
            </v:shapetype>
            <v:shape id="Text Box 38" o:spid="_x0000_s1061" type="#_x0000_t202" alt="OFFICIAL" style="position:absolute;margin-left:0;margin-top:0;width:34.95pt;height:34.95pt;z-index:2516971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07AD2D0D" w14:textId="19A5FC34"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49A8" w14:textId="6AF3F6AC" w:rsidR="00334485" w:rsidRPr="00F14439" w:rsidRDefault="0023360E" w:rsidP="00F14439">
    <w:pPr>
      <w:pStyle w:val="Header"/>
    </w:pPr>
    <w:r>
      <w:rPr>
        <w:b/>
        <w:noProof/>
      </w:rPr>
      <mc:AlternateContent>
        <mc:Choice Requires="wps">
          <w:drawing>
            <wp:anchor distT="0" distB="0" distL="0" distR="0" simplePos="0" relativeHeight="251698214" behindDoc="0" locked="0" layoutInCell="1" allowOverlap="1" wp14:anchorId="61CB458F" wp14:editId="03671494">
              <wp:simplePos x="635" y="635"/>
              <wp:positionH relativeFrom="page">
                <wp:align>center</wp:align>
              </wp:positionH>
              <wp:positionV relativeFrom="page">
                <wp:align>top</wp:align>
              </wp:positionV>
              <wp:extent cx="443865" cy="443865"/>
              <wp:effectExtent l="0" t="0" r="4445" b="5080"/>
              <wp:wrapNone/>
              <wp:docPr id="1228309072"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4D9A07" w14:textId="271AFCA6"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CB458F" id="_x0000_t202" coordsize="21600,21600" o:spt="202" path="m,l,21600r21600,l21600,xe">
              <v:stroke joinstyle="miter"/>
              <v:path gradientshapeok="t" o:connecttype="rect"/>
            </v:shapetype>
            <v:shape id="Text Box 39" o:spid="_x0000_s1062" type="#_x0000_t202" alt="OFFICIAL" style="position:absolute;margin-left:0;margin-top:0;width:34.95pt;height:34.95pt;z-index:2516982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674D9A07" w14:textId="271AFCA6"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C4678A" w:rsidRPr="00B75142">
      <w:rPr>
        <w:rStyle w:val="Characterbold"/>
      </w:rPr>
      <w:t xml:space="preserve">Section </w:t>
    </w:r>
    <w:r w:rsidR="00C4678A">
      <w:rPr>
        <w:rStyle w:val="Characterbold"/>
      </w:rPr>
      <w:t>4</w:t>
    </w:r>
    <w:r w:rsidR="00C4678A">
      <w:t xml:space="preserve"> </w:t>
    </w:r>
    <w:r w:rsidR="00C4678A" w:rsidRPr="000338A9">
      <w:rPr>
        <w:rStyle w:val="Characterpurple"/>
      </w:rPr>
      <w:t>•</w:t>
    </w:r>
    <w:r w:rsidR="00C4678A">
      <w:t xml:space="preserve"> </w:t>
    </w:r>
    <w:r w:rsidR="00F31239">
      <w:fldChar w:fldCharType="begin"/>
    </w:r>
    <w:r w:rsidR="00F31239">
      <w:instrText xml:space="preserve"> STYLEREF  "Heading 1"  \* MERGEFORMAT </w:instrText>
    </w:r>
    <w:r w:rsidR="00F31239">
      <w:fldChar w:fldCharType="separate"/>
    </w:r>
    <w:r w:rsidR="0060611D">
      <w:rPr>
        <w:noProof/>
      </w:rPr>
      <w:t>Financial report</w:t>
    </w:r>
    <w:r w:rsidR="00F31239">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B40D" w14:textId="545E0D2C" w:rsidR="00334485" w:rsidRDefault="0023360E" w:rsidP="00DD35E1">
    <w:pPr>
      <w:pStyle w:val="Headerlandscape"/>
    </w:pPr>
    <w:r>
      <w:rPr>
        <w:b/>
        <w:noProof/>
      </w:rPr>
      <mc:AlternateContent>
        <mc:Choice Requires="wps">
          <w:drawing>
            <wp:anchor distT="0" distB="0" distL="0" distR="0" simplePos="0" relativeHeight="251696166" behindDoc="0" locked="0" layoutInCell="1" allowOverlap="1" wp14:anchorId="372C38D6" wp14:editId="79FBE29A">
              <wp:simplePos x="635" y="635"/>
              <wp:positionH relativeFrom="page">
                <wp:align>center</wp:align>
              </wp:positionH>
              <wp:positionV relativeFrom="page">
                <wp:align>top</wp:align>
              </wp:positionV>
              <wp:extent cx="443865" cy="443865"/>
              <wp:effectExtent l="0" t="0" r="4445" b="5080"/>
              <wp:wrapNone/>
              <wp:docPr id="261936378"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FC4D18" w14:textId="04267FA4"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C38D6" id="_x0000_t202" coordsize="21600,21600" o:spt="202" path="m,l,21600r21600,l21600,xe">
              <v:stroke joinstyle="miter"/>
              <v:path gradientshapeok="t" o:connecttype="rect"/>
            </v:shapetype>
            <v:shape id="Text Box 37" o:spid="_x0000_s1063" type="#_x0000_t202" alt="OFFICIAL" style="position:absolute;margin-left:0;margin-top:0;width:34.95pt;height:34.95pt;z-index:2516961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2FC4D18" w14:textId="04267FA4"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76660F" w:rsidRPr="0076660F">
      <w:rPr>
        <w:rStyle w:val="Characterbold"/>
      </w:rPr>
      <w:t>Appendix A:</w:t>
    </w:r>
    <w:r w:rsidR="0076660F">
      <w:t xml:space="preserve"> Disclosure index</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8283" w14:textId="7FA22804" w:rsidR="005A27EE" w:rsidRDefault="0023360E">
    <w:pPr>
      <w:pStyle w:val="Header"/>
    </w:pPr>
    <w:r>
      <w:rPr>
        <w:noProof/>
      </w:rPr>
      <mc:AlternateContent>
        <mc:Choice Requires="wps">
          <w:drawing>
            <wp:anchor distT="0" distB="0" distL="0" distR="0" simplePos="0" relativeHeight="251700262" behindDoc="0" locked="0" layoutInCell="1" allowOverlap="1" wp14:anchorId="0AE612F9" wp14:editId="60C4DC53">
              <wp:simplePos x="635" y="635"/>
              <wp:positionH relativeFrom="page">
                <wp:align>center</wp:align>
              </wp:positionH>
              <wp:positionV relativeFrom="page">
                <wp:align>top</wp:align>
              </wp:positionV>
              <wp:extent cx="443865" cy="443865"/>
              <wp:effectExtent l="0" t="0" r="4445" b="5080"/>
              <wp:wrapNone/>
              <wp:docPr id="164191050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CFCF15" w14:textId="5C48260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612F9" id="_x0000_t202" coordsize="21600,21600" o:spt="202" path="m,l,21600r21600,l21600,xe">
              <v:stroke joinstyle="miter"/>
              <v:path gradientshapeok="t" o:connecttype="rect"/>
            </v:shapetype>
            <v:shape id="Text Box 41" o:spid="_x0000_s1064" type="#_x0000_t202" alt="OFFICIAL" style="position:absolute;margin-left:0;margin-top:0;width:34.95pt;height:34.95pt;z-index:251700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C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HJqfwfViabyMCw8OLluqfZGBHwWnjZMg5Bq8YmO&#10;WkNXchgtzhrwP/7mj/lEPEU560gxJbckac70N0sLieJKxvxzfp3TzU/u3WTYg7kH0uGcnoSTyYx5&#10;qCez9mBeSc+rWIhCwkoqV3KczHscpEvvQarVKiWRjpzAjd06GaEjX5HMl/5VeDcyjrSqR5jkJIp3&#10;xA+58c/gVgck+tNWIrcDkSPlpMG01/G9RJH/ek9Z51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l1DcC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1CFCF15" w14:textId="5C48260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6BFA" w14:textId="1EDB6EF7" w:rsidR="005A27EE" w:rsidRPr="0044535A" w:rsidRDefault="0023360E" w:rsidP="0044535A">
    <w:pPr>
      <w:pStyle w:val="Header"/>
    </w:pPr>
    <w:r>
      <w:rPr>
        <w:b/>
        <w:noProof/>
      </w:rPr>
      <mc:AlternateContent>
        <mc:Choice Requires="wps">
          <w:drawing>
            <wp:anchor distT="0" distB="0" distL="0" distR="0" simplePos="0" relativeHeight="251701286" behindDoc="0" locked="0" layoutInCell="1" allowOverlap="1" wp14:anchorId="56689EC9" wp14:editId="0000C47F">
              <wp:simplePos x="635" y="635"/>
              <wp:positionH relativeFrom="page">
                <wp:align>center</wp:align>
              </wp:positionH>
              <wp:positionV relativeFrom="page">
                <wp:align>top</wp:align>
              </wp:positionV>
              <wp:extent cx="443865" cy="443865"/>
              <wp:effectExtent l="0" t="0" r="4445" b="5080"/>
              <wp:wrapNone/>
              <wp:docPr id="1390186875"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7924F" w14:textId="7624C3E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689EC9" id="_x0000_t202" coordsize="21600,21600" o:spt="202" path="m,l,21600r21600,l21600,xe">
              <v:stroke joinstyle="miter"/>
              <v:path gradientshapeok="t" o:connecttype="rect"/>
            </v:shapetype>
            <v:shape id="Text Box 42" o:spid="_x0000_s1065" type="#_x0000_t202" alt="OFFICIAL" style="position:absolute;margin-left:0;margin-top:0;width:34.95pt;height:34.95pt;z-index:2517012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5127924F" w14:textId="7624C3E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8E4C71">
      <w:rPr>
        <w:rStyle w:val="Characterbold"/>
      </w:rPr>
      <w:t>Appendices</w:t>
    </w:r>
    <w:r w:rsidR="008E4C71">
      <w:t xml:space="preserve"> </w:t>
    </w:r>
    <w:r w:rsidR="008E4C71" w:rsidRPr="000338A9">
      <w:rPr>
        <w:rStyle w:val="Characterpurple"/>
      </w:rPr>
      <w:t>•</w:t>
    </w:r>
    <w:r w:rsidR="008E4C71">
      <w:t xml:space="preserve"> </w:t>
    </w:r>
    <w:r w:rsidR="00F31239">
      <w:fldChar w:fldCharType="begin"/>
    </w:r>
    <w:r w:rsidR="00F31239">
      <w:instrText xml:space="preserve"> STYLEREF  "Appendix Heading 1"  \* MERGEFORMAT </w:instrText>
    </w:r>
    <w:r w:rsidR="00F31239">
      <w:fldChar w:fldCharType="separate"/>
    </w:r>
    <w:r w:rsidR="0060611D" w:rsidRPr="0060611D">
      <w:rPr>
        <w:noProof/>
        <w:lang w:val="en-US"/>
      </w:rPr>
      <w:t>Workforce data</w:t>
    </w:r>
    <w:r w:rsidR="00F31239">
      <w:rPr>
        <w:noProof/>
        <w:lang w:val="en-US"/>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AD17" w14:textId="54340035" w:rsidR="005A27EE" w:rsidRDefault="0023360E">
    <w:pPr>
      <w:pStyle w:val="Header"/>
    </w:pPr>
    <w:r>
      <w:rPr>
        <w:noProof/>
      </w:rPr>
      <mc:AlternateContent>
        <mc:Choice Requires="wps">
          <w:drawing>
            <wp:anchor distT="0" distB="0" distL="0" distR="0" simplePos="0" relativeHeight="251699238" behindDoc="0" locked="0" layoutInCell="1" allowOverlap="1" wp14:anchorId="69F8C2A0" wp14:editId="6A04C88D">
              <wp:simplePos x="635" y="635"/>
              <wp:positionH relativeFrom="page">
                <wp:align>center</wp:align>
              </wp:positionH>
              <wp:positionV relativeFrom="page">
                <wp:align>top</wp:align>
              </wp:positionV>
              <wp:extent cx="443865" cy="443865"/>
              <wp:effectExtent l="0" t="0" r="4445" b="5080"/>
              <wp:wrapNone/>
              <wp:docPr id="640755826"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EFFD14" w14:textId="56CC8C28"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F8C2A0" id="_x0000_t202" coordsize="21600,21600" o:spt="202" path="m,l,21600r21600,l21600,xe">
              <v:stroke joinstyle="miter"/>
              <v:path gradientshapeok="t" o:connecttype="rect"/>
            </v:shapetype>
            <v:shape id="Text Box 40" o:spid="_x0000_s1066" type="#_x0000_t202" alt="OFFICIAL" style="position:absolute;margin-left:0;margin-top:0;width:34.95pt;height:34.95pt;z-index:2516992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9EFFD14" w14:textId="56CC8C28"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C71B" w14:textId="49000005" w:rsidR="000A3171" w:rsidRDefault="0023360E">
    <w:pPr>
      <w:pStyle w:val="Header"/>
    </w:pPr>
    <w:r>
      <w:rPr>
        <w:noProof/>
      </w:rPr>
      <mc:AlternateContent>
        <mc:Choice Requires="wps">
          <w:drawing>
            <wp:anchor distT="0" distB="0" distL="0" distR="0" simplePos="0" relativeHeight="251666470" behindDoc="0" locked="0" layoutInCell="1" allowOverlap="1" wp14:anchorId="200D9DEE" wp14:editId="242982AE">
              <wp:simplePos x="635" y="635"/>
              <wp:positionH relativeFrom="page">
                <wp:align>center</wp:align>
              </wp:positionH>
              <wp:positionV relativeFrom="page">
                <wp:align>top</wp:align>
              </wp:positionV>
              <wp:extent cx="443865" cy="443865"/>
              <wp:effectExtent l="0" t="0" r="4445" b="5080"/>
              <wp:wrapNone/>
              <wp:docPr id="60703610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F8CD8D" w14:textId="57F2577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D9DEE" id="_x0000_t202" coordsize="21600,21600" o:spt="202" path="m,l,21600r21600,l21600,xe">
              <v:stroke joinstyle="miter"/>
              <v:path gradientshapeok="t" o:connecttype="rect"/>
            </v:shapetype>
            <v:shape id="Text Box 8" o:spid="_x0000_s1029" type="#_x0000_t202" alt="OFFICIAL" style="position:absolute;margin-left:0;margin-top:0;width:34.95pt;height:34.95pt;z-index:2516664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4F8CD8D" w14:textId="57F2577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773E" w14:textId="1DC5C4DF" w:rsidR="009C2188" w:rsidRDefault="0023360E">
    <w:pPr>
      <w:pStyle w:val="Header"/>
    </w:pPr>
    <w:r>
      <w:rPr>
        <w:noProof/>
      </w:rPr>
      <mc:AlternateContent>
        <mc:Choice Requires="wps">
          <w:drawing>
            <wp:anchor distT="0" distB="0" distL="0" distR="0" simplePos="0" relativeHeight="251703334" behindDoc="0" locked="0" layoutInCell="1" allowOverlap="1" wp14:anchorId="471E6E4A" wp14:editId="510E5C0C">
              <wp:simplePos x="635" y="635"/>
              <wp:positionH relativeFrom="page">
                <wp:align>center</wp:align>
              </wp:positionH>
              <wp:positionV relativeFrom="page">
                <wp:align>top</wp:align>
              </wp:positionV>
              <wp:extent cx="443865" cy="443865"/>
              <wp:effectExtent l="0" t="0" r="4445" b="5080"/>
              <wp:wrapNone/>
              <wp:docPr id="42221384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A87C0" w14:textId="4946B7C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1E6E4A" id="_x0000_t202" coordsize="21600,21600" o:spt="202" path="m,l,21600r21600,l21600,xe">
              <v:stroke joinstyle="miter"/>
              <v:path gradientshapeok="t" o:connecttype="rect"/>
            </v:shapetype>
            <v:shape id="Text Box 44" o:spid="_x0000_s1067" type="#_x0000_t202" alt="OFFICIAL" style="position:absolute;margin-left:0;margin-top:0;width:34.95pt;height:34.95pt;z-index:2517033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F4A87C0" w14:textId="4946B7C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9EA3" w14:textId="60FAEFC2" w:rsidR="009C2188" w:rsidRPr="00F14439" w:rsidRDefault="0023360E" w:rsidP="00F14439">
    <w:pPr>
      <w:pStyle w:val="Header"/>
    </w:pPr>
    <w:r>
      <w:rPr>
        <w:b/>
        <w:noProof/>
      </w:rPr>
      <mc:AlternateContent>
        <mc:Choice Requires="wps">
          <w:drawing>
            <wp:anchor distT="0" distB="0" distL="0" distR="0" simplePos="0" relativeHeight="251704358" behindDoc="0" locked="0" layoutInCell="1" allowOverlap="1" wp14:anchorId="7D63B372" wp14:editId="66816D2B">
              <wp:simplePos x="635" y="635"/>
              <wp:positionH relativeFrom="page">
                <wp:align>center</wp:align>
              </wp:positionH>
              <wp:positionV relativeFrom="page">
                <wp:align>top</wp:align>
              </wp:positionV>
              <wp:extent cx="443865" cy="443865"/>
              <wp:effectExtent l="0" t="0" r="4445" b="5080"/>
              <wp:wrapNone/>
              <wp:docPr id="1556948007"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1AC81E" w14:textId="6F7BE35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63B372" id="_x0000_t202" coordsize="21600,21600" o:spt="202" path="m,l,21600r21600,l21600,xe">
              <v:stroke joinstyle="miter"/>
              <v:path gradientshapeok="t" o:connecttype="rect"/>
            </v:shapetype>
            <v:shape id="Text Box 45" o:spid="_x0000_s1068" type="#_x0000_t202" alt="OFFICIAL" style="position:absolute;margin-left:0;margin-top:0;width:34.95pt;height:34.95pt;z-index:2517043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51AC81E" w14:textId="6F7BE35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C4678A" w:rsidRPr="00C4678A">
      <w:rPr>
        <w:rStyle w:val="Characterbold"/>
      </w:rPr>
      <w:t xml:space="preserve"> </w:t>
    </w:r>
    <w:r w:rsidR="00C4678A">
      <w:rPr>
        <w:rStyle w:val="Characterbold"/>
      </w:rPr>
      <w:t>Appendices</w:t>
    </w:r>
    <w:r w:rsidR="00C4678A">
      <w:t xml:space="preserve"> </w:t>
    </w:r>
    <w:r w:rsidR="00C4678A" w:rsidRPr="000338A9">
      <w:rPr>
        <w:rStyle w:val="Characterpurple"/>
      </w:rPr>
      <w:t>•</w:t>
    </w:r>
    <w:r w:rsidR="00C4678A">
      <w:t xml:space="preserve"> </w:t>
    </w:r>
    <w:r w:rsidR="00F31239">
      <w:fldChar w:fldCharType="begin"/>
    </w:r>
    <w:r w:rsidR="00F31239">
      <w:instrText xml:space="preserve"> STYLEREF  "Appendix Heading 1"  \* MERGEFORMAT </w:instrText>
    </w:r>
    <w:r w:rsidR="00F31239">
      <w:fldChar w:fldCharType="separate"/>
    </w:r>
    <w:r w:rsidR="0060611D" w:rsidRPr="0060611D">
      <w:rPr>
        <w:noProof/>
        <w:lang w:val="en-US"/>
      </w:rPr>
      <w:t>Workforce data</w:t>
    </w:r>
    <w:r w:rsidR="00F31239">
      <w:rPr>
        <w:noProof/>
        <w:lang w:val="en-US"/>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D98A" w14:textId="77FA945F" w:rsidR="009C2188" w:rsidRDefault="0023360E" w:rsidP="00DD35E1">
    <w:pPr>
      <w:pStyle w:val="Headerlandscape"/>
    </w:pPr>
    <w:r>
      <w:rPr>
        <w:noProof/>
      </w:rPr>
      <mc:AlternateContent>
        <mc:Choice Requires="wps">
          <w:drawing>
            <wp:anchor distT="0" distB="0" distL="0" distR="0" simplePos="0" relativeHeight="251702310" behindDoc="0" locked="0" layoutInCell="1" allowOverlap="1" wp14:anchorId="631AEF41" wp14:editId="7BD0570E">
              <wp:simplePos x="635" y="635"/>
              <wp:positionH relativeFrom="page">
                <wp:align>center</wp:align>
              </wp:positionH>
              <wp:positionV relativeFrom="page">
                <wp:align>top</wp:align>
              </wp:positionV>
              <wp:extent cx="443865" cy="443865"/>
              <wp:effectExtent l="0" t="0" r="4445" b="5080"/>
              <wp:wrapNone/>
              <wp:docPr id="1981991664"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0796C6" w14:textId="65300BB6"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1AEF41" id="_x0000_t202" coordsize="21600,21600" o:spt="202" path="m,l,21600r21600,l21600,xe">
              <v:stroke joinstyle="miter"/>
              <v:path gradientshapeok="t" o:connecttype="rect"/>
            </v:shapetype>
            <v:shape id="Text Box 43" o:spid="_x0000_s1069" type="#_x0000_t202" alt="OFFICIAL" style="position:absolute;margin-left:0;margin-top:0;width:34.95pt;height:34.95pt;z-index:2517023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iP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GxsfwvVkabycFp4cHLVUO21CPgiPG2YBiHV4jMd&#10;2kBXchgszmrwP/7mj/lEPEU560gxJbckac7MN0sLieJKxvQun+V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1eYj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30796C6" w14:textId="65300BB6"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9C2188">
      <w:t>Header</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4CE5" w14:textId="534269D3" w:rsidR="009C2188" w:rsidRDefault="0023360E">
    <w:pPr>
      <w:pStyle w:val="Header"/>
    </w:pPr>
    <w:r>
      <w:rPr>
        <w:noProof/>
      </w:rPr>
      <mc:AlternateContent>
        <mc:Choice Requires="wps">
          <w:drawing>
            <wp:anchor distT="0" distB="0" distL="0" distR="0" simplePos="0" relativeHeight="251706406" behindDoc="0" locked="0" layoutInCell="1" allowOverlap="1" wp14:anchorId="35E2934D" wp14:editId="6F6D6A8A">
              <wp:simplePos x="635" y="635"/>
              <wp:positionH relativeFrom="page">
                <wp:align>center</wp:align>
              </wp:positionH>
              <wp:positionV relativeFrom="page">
                <wp:align>top</wp:align>
              </wp:positionV>
              <wp:extent cx="443865" cy="443865"/>
              <wp:effectExtent l="0" t="0" r="4445" b="5080"/>
              <wp:wrapNone/>
              <wp:docPr id="94428715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A1F9AC" w14:textId="64F4237C"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E2934D" id="_x0000_t202" coordsize="21600,21600" o:spt="202" path="m,l,21600r21600,l21600,xe">
              <v:stroke joinstyle="miter"/>
              <v:path gradientshapeok="t" o:connecttype="rect"/>
            </v:shapetype>
            <v:shape id="Text Box 47" o:spid="_x0000_s1070" type="#_x0000_t202" alt="OFFICIAL" style="position:absolute;margin-left:0;margin-top:0;width:34.95pt;height:34.95pt;z-index:2517064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4A1F9AC" w14:textId="64F4237C"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1894" w14:textId="57E022FC" w:rsidR="009C2188" w:rsidRPr="00F14439" w:rsidRDefault="0023360E" w:rsidP="00F14439">
    <w:pPr>
      <w:pStyle w:val="Header"/>
    </w:pPr>
    <w:r>
      <w:rPr>
        <w:b/>
        <w:noProof/>
      </w:rPr>
      <mc:AlternateContent>
        <mc:Choice Requires="wps">
          <w:drawing>
            <wp:anchor distT="0" distB="0" distL="0" distR="0" simplePos="0" relativeHeight="251707430" behindDoc="0" locked="0" layoutInCell="1" allowOverlap="1" wp14:anchorId="430FDBED" wp14:editId="465C5A18">
              <wp:simplePos x="635" y="635"/>
              <wp:positionH relativeFrom="page">
                <wp:align>center</wp:align>
              </wp:positionH>
              <wp:positionV relativeFrom="page">
                <wp:align>top</wp:align>
              </wp:positionV>
              <wp:extent cx="443865" cy="443865"/>
              <wp:effectExtent l="0" t="0" r="4445" b="5080"/>
              <wp:wrapNone/>
              <wp:docPr id="1743463895"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987A83" w14:textId="53A0DC9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FDBED" id="_x0000_t202" coordsize="21600,21600" o:spt="202" path="m,l,21600r21600,l21600,xe">
              <v:stroke joinstyle="miter"/>
              <v:path gradientshapeok="t" o:connecttype="rect"/>
            </v:shapetype>
            <v:shape id="Text Box 48" o:spid="_x0000_s1071" type="#_x0000_t202" alt="OFFICIAL" style="position:absolute;margin-left:0;margin-top:0;width:34.95pt;height:34.95pt;z-index:2517074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53CgIAAB0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8Sn9G1hepIW3k4ER6cXLXUey0CvghPDNMipFp8&#10;pqPW0JUcBouzBvyPv/ljPgFPUc46UkzJLUmaM/3NEiFRXMmY3uWz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ut53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6B987A83" w14:textId="53A0DC90"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C4678A" w:rsidRPr="00C4678A">
      <w:rPr>
        <w:rStyle w:val="Characterbold"/>
      </w:rPr>
      <w:t xml:space="preserve"> </w:t>
    </w:r>
    <w:r w:rsidR="00C4678A">
      <w:rPr>
        <w:rStyle w:val="Characterbold"/>
      </w:rPr>
      <w:t>Appendices</w:t>
    </w:r>
    <w:r w:rsidR="00C4678A">
      <w:t xml:space="preserve"> </w:t>
    </w:r>
    <w:r w:rsidR="00C4678A" w:rsidRPr="000338A9">
      <w:rPr>
        <w:rStyle w:val="Characterpurple"/>
      </w:rPr>
      <w:t>•</w:t>
    </w:r>
    <w:r w:rsidR="00C4678A">
      <w:t xml:space="preserve"> </w:t>
    </w:r>
    <w:r w:rsidR="00F31239">
      <w:fldChar w:fldCharType="begin"/>
    </w:r>
    <w:r w:rsidR="00F31239">
      <w:instrText xml:space="preserve"> STYLEREF  "Appendix Heading 1"  \* MERGEFORMAT </w:instrText>
    </w:r>
    <w:r w:rsidR="00F31239">
      <w:fldChar w:fldCharType="separate"/>
    </w:r>
    <w:r w:rsidR="0060611D" w:rsidRPr="0060611D">
      <w:rPr>
        <w:noProof/>
        <w:lang w:val="en-US"/>
      </w:rPr>
      <w:t>Workforce data</w:t>
    </w:r>
    <w:r w:rsidR="00F31239">
      <w:rPr>
        <w:noProof/>
        <w:lang w:val="en-US"/>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0E7B" w14:textId="2EF1FFA5" w:rsidR="009C2188" w:rsidRDefault="0023360E" w:rsidP="00DD35E1">
    <w:pPr>
      <w:pStyle w:val="Headerlandscape"/>
    </w:pPr>
    <w:r>
      <w:rPr>
        <w:noProof/>
      </w:rPr>
      <mc:AlternateContent>
        <mc:Choice Requires="wps">
          <w:drawing>
            <wp:anchor distT="0" distB="0" distL="0" distR="0" simplePos="0" relativeHeight="251705382" behindDoc="0" locked="0" layoutInCell="1" allowOverlap="1" wp14:anchorId="14E938CE" wp14:editId="1D4B652C">
              <wp:simplePos x="635" y="635"/>
              <wp:positionH relativeFrom="page">
                <wp:align>center</wp:align>
              </wp:positionH>
              <wp:positionV relativeFrom="page">
                <wp:align>top</wp:align>
              </wp:positionV>
              <wp:extent cx="443865" cy="443865"/>
              <wp:effectExtent l="0" t="0" r="4445" b="5080"/>
              <wp:wrapNone/>
              <wp:docPr id="776323557"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762F4" w14:textId="516C02FB"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E938CE" id="_x0000_t202" coordsize="21600,21600" o:spt="202" path="m,l,21600r21600,l21600,xe">
              <v:stroke joinstyle="miter"/>
              <v:path gradientshapeok="t" o:connecttype="rect"/>
            </v:shapetype>
            <v:shape id="Text Box 46" o:spid="_x0000_s1072" type="#_x0000_t202" alt="OFFICIAL" style="position:absolute;margin-left:0;margin-top:0;width:34.95pt;height:34.95pt;z-index:2517053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Ry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Ec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70762F4" w14:textId="516C02FB"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9C2188">
      <w:t>Header</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DBE7" w14:textId="37E30D60" w:rsidR="000A3171" w:rsidRDefault="0023360E">
    <w:pPr>
      <w:pStyle w:val="Header"/>
    </w:pPr>
    <w:r>
      <w:rPr>
        <w:noProof/>
      </w:rPr>
      <mc:AlternateContent>
        <mc:Choice Requires="wps">
          <w:drawing>
            <wp:anchor distT="0" distB="0" distL="0" distR="0" simplePos="0" relativeHeight="251709478" behindDoc="0" locked="0" layoutInCell="1" allowOverlap="1" wp14:anchorId="1C84FFC2" wp14:editId="5BFB4504">
              <wp:simplePos x="635" y="635"/>
              <wp:positionH relativeFrom="page">
                <wp:align>center</wp:align>
              </wp:positionH>
              <wp:positionV relativeFrom="page">
                <wp:align>top</wp:align>
              </wp:positionV>
              <wp:extent cx="443865" cy="443865"/>
              <wp:effectExtent l="0" t="0" r="4445" b="5080"/>
              <wp:wrapNone/>
              <wp:docPr id="452455705"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0601E9" w14:textId="1883FB59"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84FFC2" id="_x0000_t202" coordsize="21600,21600" o:spt="202" path="m,l,21600r21600,l21600,xe">
              <v:stroke joinstyle="miter"/>
              <v:path gradientshapeok="t" o:connecttype="rect"/>
            </v:shapetype>
            <v:shape id="Text Box 50" o:spid="_x0000_s1073" type="#_x0000_t202" alt="OFFICIAL" style="position:absolute;margin-left:0;margin-top:0;width:34.95pt;height:34.95pt;z-index:2517094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30601E9" w14:textId="1883FB59"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EB1C" w14:textId="5BF2A076" w:rsidR="0076660F" w:rsidRPr="0076660F" w:rsidRDefault="0023360E" w:rsidP="0076660F">
    <w:pPr>
      <w:pStyle w:val="Headerlandscape"/>
    </w:pPr>
    <w:r>
      <w:rPr>
        <w:b/>
        <w:noProof/>
      </w:rPr>
      <mc:AlternateContent>
        <mc:Choice Requires="wps">
          <w:drawing>
            <wp:anchor distT="0" distB="0" distL="0" distR="0" simplePos="0" relativeHeight="251710502" behindDoc="0" locked="0" layoutInCell="1" allowOverlap="1" wp14:anchorId="7B9F1FA1" wp14:editId="17CE7F53">
              <wp:simplePos x="635" y="635"/>
              <wp:positionH relativeFrom="page">
                <wp:align>center</wp:align>
              </wp:positionH>
              <wp:positionV relativeFrom="page">
                <wp:align>top</wp:align>
              </wp:positionV>
              <wp:extent cx="443865" cy="443865"/>
              <wp:effectExtent l="0" t="0" r="4445" b="5080"/>
              <wp:wrapNone/>
              <wp:docPr id="1416318753"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3C65D0" w14:textId="5F1A92F5"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9F1FA1" id="_x0000_t202" coordsize="21600,21600" o:spt="202" path="m,l,21600r21600,l21600,xe">
              <v:stroke joinstyle="miter"/>
              <v:path gradientshapeok="t" o:connecttype="rect"/>
            </v:shapetype>
            <v:shape id="Text Box 51" o:spid="_x0000_s1074" type="#_x0000_t202" alt="OFFICIAL" style="position:absolute;margin-left:0;margin-top:0;width:34.95pt;height:34.95pt;z-index:2517105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P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sJM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33C65D0" w14:textId="5F1A92F5"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C4678A">
      <w:rPr>
        <w:rStyle w:val="Characterbold"/>
      </w:rPr>
      <w:t>Appendices</w:t>
    </w:r>
    <w:r w:rsidR="00C4678A">
      <w:t xml:space="preserve"> </w:t>
    </w:r>
    <w:r w:rsidR="00C4678A" w:rsidRPr="000338A9">
      <w:rPr>
        <w:rStyle w:val="Characterpurple"/>
      </w:rPr>
      <w:t>•</w:t>
    </w:r>
    <w:r w:rsidR="00C4678A">
      <w:t xml:space="preserve"> </w:t>
    </w:r>
    <w:r w:rsidR="00F31239">
      <w:fldChar w:fldCharType="begin"/>
    </w:r>
    <w:r w:rsidR="00F31239">
      <w:instrText xml:space="preserve"> STYLEREF  "Appendix Heading 1"  \* MERGEFORMAT </w:instrText>
    </w:r>
    <w:r w:rsidR="00F31239">
      <w:fldChar w:fldCharType="separate"/>
    </w:r>
    <w:r w:rsidR="0060611D" w:rsidRPr="0060611D">
      <w:rPr>
        <w:noProof/>
        <w:lang w:val="en-US"/>
      </w:rPr>
      <w:t>Disclosure index</w:t>
    </w:r>
    <w:r w:rsidR="00F31239">
      <w:rPr>
        <w:noProof/>
        <w:lang w:val="en-US"/>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9C790" w14:textId="55E44DF8" w:rsidR="0076660F" w:rsidRPr="00F14439" w:rsidRDefault="0023360E" w:rsidP="00F14439">
    <w:pPr>
      <w:pStyle w:val="Header"/>
    </w:pPr>
    <w:r>
      <w:rPr>
        <w:b/>
        <w:noProof/>
      </w:rPr>
      <mc:AlternateContent>
        <mc:Choice Requires="wps">
          <w:drawing>
            <wp:anchor distT="0" distB="0" distL="0" distR="0" simplePos="0" relativeHeight="251708454" behindDoc="0" locked="0" layoutInCell="1" allowOverlap="1" wp14:anchorId="45A23138" wp14:editId="4CB36EFA">
              <wp:simplePos x="635" y="635"/>
              <wp:positionH relativeFrom="page">
                <wp:align>center</wp:align>
              </wp:positionH>
              <wp:positionV relativeFrom="page">
                <wp:align>top</wp:align>
              </wp:positionV>
              <wp:extent cx="443865" cy="443865"/>
              <wp:effectExtent l="0" t="0" r="4445" b="5080"/>
              <wp:wrapNone/>
              <wp:docPr id="1002245506"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A7B138" w14:textId="0C465DEE"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A23138" id="_x0000_t202" coordsize="21600,21600" o:spt="202" path="m,l,21600r21600,l21600,xe">
              <v:stroke joinstyle="miter"/>
              <v:path gradientshapeok="t" o:connecttype="rect"/>
            </v:shapetype>
            <v:shape id="Text Box 49" o:spid="_x0000_s1075" type="#_x0000_t202" alt="OFFICIAL" style="position:absolute;margin-left:0;margin-top:0;width:34.95pt;height:34.95pt;z-index:2517084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xKCg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ju3v4XqSFN5OC08OLlqqPZaBHwRnjZMg5Bq8ZkO&#10;baArOQwWZzX4H3/zx3winqKcdaSYkluSNGfmm6WFRHElY3qXz3K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BWxK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0A7B138" w14:textId="0C465DEE"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C4678A">
      <w:rPr>
        <w:rStyle w:val="Characterbold"/>
      </w:rPr>
      <w:t>Appendices</w:t>
    </w:r>
    <w:r w:rsidR="00C4678A">
      <w:t xml:space="preserve"> </w:t>
    </w:r>
    <w:r w:rsidR="00C4678A" w:rsidRPr="000338A9">
      <w:rPr>
        <w:rStyle w:val="Characterpurple"/>
      </w:rPr>
      <w:t>•</w:t>
    </w:r>
    <w:r w:rsidR="00C4678A">
      <w:t xml:space="preserve"> </w:t>
    </w:r>
    <w:r w:rsidR="00F31239">
      <w:fldChar w:fldCharType="begin"/>
    </w:r>
    <w:r w:rsidR="00F31239">
      <w:instrText xml:space="preserve"> STYLEREF  "Appendix Heading 1"  \* MERGEFORMAT </w:instrText>
    </w:r>
    <w:r w:rsidR="00F31239">
      <w:fldChar w:fldCharType="separate"/>
    </w:r>
    <w:r w:rsidR="0060611D" w:rsidRPr="0060611D">
      <w:rPr>
        <w:noProof/>
        <w:lang w:val="en-US"/>
      </w:rPr>
      <w:t>Disclosure index</w:t>
    </w:r>
    <w:r w:rsidR="00F31239">
      <w:rPr>
        <w:noProof/>
        <w:lang w:val="en-US"/>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7270" w14:textId="3E85A031" w:rsidR="000A3171" w:rsidRDefault="0023360E">
    <w:pPr>
      <w:pStyle w:val="Header"/>
    </w:pPr>
    <w:r>
      <w:rPr>
        <w:noProof/>
      </w:rPr>
      <mc:AlternateContent>
        <mc:Choice Requires="wps">
          <w:drawing>
            <wp:anchor distT="0" distB="0" distL="0" distR="0" simplePos="0" relativeHeight="251712550" behindDoc="0" locked="0" layoutInCell="1" allowOverlap="1" wp14:anchorId="275F426E" wp14:editId="0B2948C0">
              <wp:simplePos x="635" y="635"/>
              <wp:positionH relativeFrom="page">
                <wp:align>center</wp:align>
              </wp:positionH>
              <wp:positionV relativeFrom="page">
                <wp:align>top</wp:align>
              </wp:positionV>
              <wp:extent cx="443865" cy="443865"/>
              <wp:effectExtent l="0" t="0" r="4445" b="5080"/>
              <wp:wrapNone/>
              <wp:docPr id="2112973480"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A5AA4" w14:textId="43F429AF"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5F426E" id="_x0000_t202" coordsize="21600,21600" o:spt="202" path="m,l,21600r21600,l21600,xe">
              <v:stroke joinstyle="miter"/>
              <v:path gradientshapeok="t" o:connecttype="rect"/>
            </v:shapetype>
            <v:shape id="Text Box 53" o:spid="_x0000_s1076" type="#_x0000_t202" alt="OFFICIAL" style="position:absolute;margin-left:0;margin-top:0;width:34.95pt;height:34.95pt;z-index:2517125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8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N7W+hOtJUHk4LD06uGqq9FgFfhKcN0yCkWnym&#10;QxvoSg6DxVkN/sff/DGfiKcoZx0ppuSWJM2Z+WZpIVFcyZje5bO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fimv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F7A5AA4" w14:textId="43F429AF"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BF40" w14:textId="41B0ABEB" w:rsidR="000D453E" w:rsidRPr="00EC6AE1" w:rsidRDefault="0023360E" w:rsidP="00EC6AE1">
    <w:pPr>
      <w:pStyle w:val="Header"/>
    </w:pPr>
    <w:r>
      <w:rPr>
        <w:noProof/>
      </w:rPr>
      <mc:AlternateContent>
        <mc:Choice Requires="wps">
          <w:drawing>
            <wp:anchor distT="0" distB="0" distL="0" distR="0" simplePos="0" relativeHeight="251667494" behindDoc="0" locked="0" layoutInCell="1" allowOverlap="1" wp14:anchorId="31C03A40" wp14:editId="2215CE1F">
              <wp:simplePos x="915035" y="457835"/>
              <wp:positionH relativeFrom="page">
                <wp:align>center</wp:align>
              </wp:positionH>
              <wp:positionV relativeFrom="page">
                <wp:align>top</wp:align>
              </wp:positionV>
              <wp:extent cx="443865" cy="443865"/>
              <wp:effectExtent l="0" t="0" r="4445" b="5080"/>
              <wp:wrapNone/>
              <wp:docPr id="29347605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77B2A0" w14:textId="730C57D3"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C03A40" id="_x0000_t202" coordsize="21600,21600" o:spt="202" path="m,l,21600r21600,l21600,xe">
              <v:stroke joinstyle="miter"/>
              <v:path gradientshapeok="t" o:connecttype="rect"/>
            </v:shapetype>
            <v:shape id="Text Box 9" o:spid="_x0000_s1030" type="#_x0000_t202" alt="OFFICIAL" style="position:absolute;margin-left:0;margin-top:0;width:34.95pt;height:34.95pt;z-index:2516674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877B2A0" w14:textId="730C57D3"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74C3" w14:textId="4E174167" w:rsidR="00037C19" w:rsidRPr="00130D68" w:rsidRDefault="0023360E" w:rsidP="00130D68">
    <w:pPr>
      <w:pStyle w:val="Header"/>
    </w:pPr>
    <w:r>
      <w:rPr>
        <w:b/>
        <w:noProof/>
      </w:rPr>
      <mc:AlternateContent>
        <mc:Choice Requires="wps">
          <w:drawing>
            <wp:anchor distT="0" distB="0" distL="0" distR="0" simplePos="0" relativeHeight="251713574" behindDoc="0" locked="0" layoutInCell="1" allowOverlap="1" wp14:anchorId="04D8E3F7" wp14:editId="02B94E39">
              <wp:simplePos x="635" y="635"/>
              <wp:positionH relativeFrom="page">
                <wp:align>center</wp:align>
              </wp:positionH>
              <wp:positionV relativeFrom="page">
                <wp:align>top</wp:align>
              </wp:positionV>
              <wp:extent cx="443865" cy="443865"/>
              <wp:effectExtent l="0" t="0" r="4445" b="5080"/>
              <wp:wrapNone/>
              <wp:docPr id="1668928459"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BC812B" w14:textId="78B4262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D8E3F7" id="_x0000_t202" coordsize="21600,21600" o:spt="202" path="m,l,21600r21600,l21600,xe">
              <v:stroke joinstyle="miter"/>
              <v:path gradientshapeok="t" o:connecttype="rect"/>
            </v:shapetype>
            <v:shape id="Text Box 54" o:spid="_x0000_s1077" type="#_x0000_t202" alt="OFFICIAL" style="position:absolute;margin-left:0;margin-top:0;width:34.95pt;height:34.95pt;z-index:2517135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6BC812B" w14:textId="78B42622"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r w:rsidR="00C4678A">
      <w:rPr>
        <w:rStyle w:val="Characterbold"/>
      </w:rPr>
      <w:t>Appendices</w:t>
    </w:r>
    <w:r w:rsidR="00C4678A">
      <w:t xml:space="preserve"> </w:t>
    </w:r>
    <w:r w:rsidR="00C4678A" w:rsidRPr="000338A9">
      <w:rPr>
        <w:rStyle w:val="Characterpurple"/>
      </w:rPr>
      <w:t>•</w:t>
    </w:r>
    <w:r w:rsidR="00C4678A">
      <w:t xml:space="preserve"> </w:t>
    </w:r>
    <w:r w:rsidR="00F31239">
      <w:fldChar w:fldCharType="begin"/>
    </w:r>
    <w:r w:rsidR="00F31239">
      <w:instrText xml:space="preserve"> STYLEREF  "Appendix Heading 1"  \* MERGEFORMAT </w:instrText>
    </w:r>
    <w:r w:rsidR="00F31239">
      <w:fldChar w:fldCharType="separate"/>
    </w:r>
    <w:r w:rsidR="0060611D" w:rsidRPr="0060611D">
      <w:rPr>
        <w:noProof/>
        <w:lang w:val="en-US"/>
      </w:rPr>
      <w:t>Other</w:t>
    </w:r>
    <w:r w:rsidR="0060611D">
      <w:rPr>
        <w:noProof/>
      </w:rPr>
      <w:t xml:space="preserve"> disclosures</w:t>
    </w:r>
    <w:r w:rsidR="00F31239">
      <w:rPr>
        <w:noProof/>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9DF4" w14:textId="152F36B9" w:rsidR="00037C19" w:rsidRPr="001A64B2" w:rsidRDefault="0023360E" w:rsidP="001A64B2">
    <w:pPr>
      <w:pStyle w:val="Header"/>
    </w:pPr>
    <w:r>
      <w:rPr>
        <w:noProof/>
      </w:rPr>
      <mc:AlternateContent>
        <mc:Choice Requires="wps">
          <w:drawing>
            <wp:anchor distT="0" distB="0" distL="0" distR="0" simplePos="0" relativeHeight="251711526" behindDoc="0" locked="0" layoutInCell="1" allowOverlap="1" wp14:anchorId="4F53104D" wp14:editId="1410471E">
              <wp:simplePos x="635" y="635"/>
              <wp:positionH relativeFrom="page">
                <wp:align>center</wp:align>
              </wp:positionH>
              <wp:positionV relativeFrom="page">
                <wp:align>top</wp:align>
              </wp:positionV>
              <wp:extent cx="443865" cy="443865"/>
              <wp:effectExtent l="0" t="0" r="4445" b="5080"/>
              <wp:wrapNone/>
              <wp:docPr id="801726964"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DA83A" w14:textId="52EB893E"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53104D" id="_x0000_t202" coordsize="21600,21600" o:spt="202" path="m,l,21600r21600,l21600,xe">
              <v:stroke joinstyle="miter"/>
              <v:path gradientshapeok="t" o:connecttype="rect"/>
            </v:shapetype>
            <v:shape id="Text Box 52" o:spid="_x0000_s1078" type="#_x0000_t202" alt="OFFICIAL" style="position:absolute;margin-left:0;margin-top:0;width:34.95pt;height:34.95pt;z-index:2517115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SBCwIAAB0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cUg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CBDA83A" w14:textId="52EB893E"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0ACE" w14:textId="5D27D413" w:rsidR="000A3171" w:rsidRDefault="0023360E">
    <w:pPr>
      <w:pStyle w:val="Header"/>
    </w:pPr>
    <w:r>
      <w:rPr>
        <w:noProof/>
      </w:rPr>
      <mc:AlternateContent>
        <mc:Choice Requires="wps">
          <w:drawing>
            <wp:anchor distT="0" distB="0" distL="0" distR="0" simplePos="0" relativeHeight="251665446" behindDoc="0" locked="0" layoutInCell="1" allowOverlap="1" wp14:anchorId="5BFFC979" wp14:editId="24E2AE67">
              <wp:simplePos x="635" y="635"/>
              <wp:positionH relativeFrom="page">
                <wp:align>center</wp:align>
              </wp:positionH>
              <wp:positionV relativeFrom="page">
                <wp:align>top</wp:align>
              </wp:positionV>
              <wp:extent cx="443865" cy="443865"/>
              <wp:effectExtent l="0" t="0" r="4445" b="5080"/>
              <wp:wrapNone/>
              <wp:docPr id="39760727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0AB6B9" w14:textId="28109014"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FC979" id="_x0000_t202" coordsize="21600,21600" o:spt="202" path="m,l,21600r21600,l21600,xe">
              <v:stroke joinstyle="miter"/>
              <v:path gradientshapeok="t" o:connecttype="rect"/>
            </v:shapetype>
            <v:shape id="Text Box 7" o:spid="_x0000_s1031" type="#_x0000_t202" alt="OFFICIAL" style="position:absolute;margin-left:0;margin-top:0;width:34.95pt;height:34.95pt;z-index:2516654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1A0AB6B9" w14:textId="28109014"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C944" w14:textId="44BDC621" w:rsidR="000A3171" w:rsidRDefault="0023360E">
    <w:pPr>
      <w:pStyle w:val="Header"/>
    </w:pPr>
    <w:r>
      <w:rPr>
        <w:noProof/>
      </w:rPr>
      <mc:AlternateContent>
        <mc:Choice Requires="wps">
          <w:drawing>
            <wp:anchor distT="0" distB="0" distL="0" distR="0" simplePos="0" relativeHeight="251669542" behindDoc="0" locked="0" layoutInCell="1" allowOverlap="1" wp14:anchorId="3F66C12C" wp14:editId="7BA9BD97">
              <wp:simplePos x="635" y="635"/>
              <wp:positionH relativeFrom="page">
                <wp:align>center</wp:align>
              </wp:positionH>
              <wp:positionV relativeFrom="page">
                <wp:align>top</wp:align>
              </wp:positionV>
              <wp:extent cx="443865" cy="443865"/>
              <wp:effectExtent l="0" t="0" r="4445" b="5080"/>
              <wp:wrapNone/>
              <wp:docPr id="184449605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E819C" w14:textId="314F309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66C12C" id="_x0000_t202" coordsize="21600,21600" o:spt="202" path="m,l,21600r21600,l21600,xe">
              <v:stroke joinstyle="miter"/>
              <v:path gradientshapeok="t" o:connecttype="rect"/>
            </v:shapetype>
            <v:shape id="Text Box 11" o:spid="_x0000_s1032" type="#_x0000_t202" alt="OFFICIAL" style="position:absolute;margin-left:0;margin-top:0;width:34.95pt;height:34.95pt;z-index:2516695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74CE819C" w14:textId="314F309D"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868C" w14:textId="2DDA2602" w:rsidR="0052591A" w:rsidRPr="00EC6AE1" w:rsidRDefault="0023360E" w:rsidP="00EC6AE1">
    <w:pPr>
      <w:pStyle w:val="Header"/>
    </w:pPr>
    <w:r>
      <w:rPr>
        <w:noProof/>
      </w:rPr>
      <mc:AlternateContent>
        <mc:Choice Requires="wps">
          <w:drawing>
            <wp:anchor distT="0" distB="0" distL="0" distR="0" simplePos="0" relativeHeight="251670566" behindDoc="0" locked="0" layoutInCell="1" allowOverlap="1" wp14:anchorId="24F0D65F" wp14:editId="5CFB0E29">
              <wp:simplePos x="635" y="635"/>
              <wp:positionH relativeFrom="page">
                <wp:align>center</wp:align>
              </wp:positionH>
              <wp:positionV relativeFrom="page">
                <wp:align>top</wp:align>
              </wp:positionV>
              <wp:extent cx="443865" cy="443865"/>
              <wp:effectExtent l="0" t="0" r="4445" b="5080"/>
              <wp:wrapNone/>
              <wp:docPr id="157796640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9EDC8" w14:textId="7C5408B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0D65F" id="_x0000_t202" coordsize="21600,21600" o:spt="202" path="m,l,21600r21600,l21600,xe">
              <v:stroke joinstyle="miter"/>
              <v:path gradientshapeok="t" o:connecttype="rect"/>
            </v:shapetype>
            <v:shape id="Text Box 12" o:spid="_x0000_s1033" type="#_x0000_t202" alt="OFFICIAL" style="position:absolute;margin-left:0;margin-top:0;width:34.95pt;height:34.95pt;z-index:2516705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FE9EDC8" w14:textId="7C5408B7"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B2581" w14:textId="11701DB3" w:rsidR="000A3171" w:rsidRDefault="0023360E">
    <w:pPr>
      <w:pStyle w:val="Header"/>
    </w:pPr>
    <w:r>
      <w:rPr>
        <w:noProof/>
      </w:rPr>
      <mc:AlternateContent>
        <mc:Choice Requires="wps">
          <w:drawing>
            <wp:anchor distT="0" distB="0" distL="0" distR="0" simplePos="0" relativeHeight="251668518" behindDoc="0" locked="0" layoutInCell="1" allowOverlap="1" wp14:anchorId="1530071D" wp14:editId="5F00C992">
              <wp:simplePos x="635" y="635"/>
              <wp:positionH relativeFrom="page">
                <wp:align>center</wp:align>
              </wp:positionH>
              <wp:positionV relativeFrom="page">
                <wp:align>top</wp:align>
              </wp:positionV>
              <wp:extent cx="443865" cy="443865"/>
              <wp:effectExtent l="0" t="0" r="4445" b="5080"/>
              <wp:wrapNone/>
              <wp:docPr id="180859248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73A268" w14:textId="2E2A3A7C"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0071D" id="_x0000_t202" coordsize="21600,21600" o:spt="202" path="m,l,21600r21600,l21600,xe">
              <v:stroke joinstyle="miter"/>
              <v:path gradientshapeok="t" o:connecttype="rect"/>
            </v:shapetype>
            <v:shape id="Text Box 10" o:spid="_x0000_s1034" type="#_x0000_t202" alt="OFFICIAL" style="position:absolute;margin-left:0;margin-top:0;width:34.95pt;height:34.95pt;z-index:2516685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4B73A268" w14:textId="2E2A3A7C" w:rsidR="0023360E" w:rsidRPr="0023360E" w:rsidRDefault="0023360E" w:rsidP="0023360E">
                    <w:pPr>
                      <w:spacing w:after="0"/>
                      <w:rPr>
                        <w:rFonts w:eastAsia="Calibri" w:cs="Calibri"/>
                        <w:noProof/>
                        <w:color w:val="FF0000"/>
                        <w:sz w:val="28"/>
                        <w:szCs w:val="28"/>
                      </w:rPr>
                    </w:pPr>
                    <w:r w:rsidRPr="0023360E">
                      <w:rPr>
                        <w:rFonts w:eastAsia="Calibri" w:cs="Calibri"/>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E17C"/>
    <w:multiLevelType w:val="hybridMultilevel"/>
    <w:tmpl w:val="62224000"/>
    <w:lvl w:ilvl="0" w:tplc="FFFFFFFF">
      <w:start w:val="1"/>
      <w:numFmt w:val="bullet"/>
      <w:lvlText w:val=""/>
      <w:lvlJc w:val="left"/>
      <w:pPr>
        <w:ind w:left="720" w:hanging="360"/>
      </w:pPr>
      <w:rPr>
        <w:rFonts w:ascii="Symbol" w:hAnsi="Symbol" w:hint="default"/>
      </w:rPr>
    </w:lvl>
    <w:lvl w:ilvl="1" w:tplc="7004E546">
      <w:start w:val="1"/>
      <w:numFmt w:val="bullet"/>
      <w:lvlText w:val="o"/>
      <w:lvlJc w:val="left"/>
      <w:pPr>
        <w:ind w:left="1440" w:hanging="360"/>
      </w:pPr>
      <w:rPr>
        <w:rFonts w:ascii="Courier New" w:hAnsi="Courier New" w:hint="default"/>
      </w:rPr>
    </w:lvl>
    <w:lvl w:ilvl="2" w:tplc="3A7897BE">
      <w:start w:val="1"/>
      <w:numFmt w:val="bullet"/>
      <w:lvlText w:val=""/>
      <w:lvlJc w:val="left"/>
      <w:pPr>
        <w:ind w:left="2160" w:hanging="360"/>
      </w:pPr>
      <w:rPr>
        <w:rFonts w:ascii="Wingdings" w:hAnsi="Wingdings" w:hint="default"/>
      </w:rPr>
    </w:lvl>
    <w:lvl w:ilvl="3" w:tplc="C57E1D76">
      <w:start w:val="1"/>
      <w:numFmt w:val="bullet"/>
      <w:lvlText w:val=""/>
      <w:lvlJc w:val="left"/>
      <w:pPr>
        <w:ind w:left="2880" w:hanging="360"/>
      </w:pPr>
      <w:rPr>
        <w:rFonts w:ascii="Symbol" w:hAnsi="Symbol" w:hint="default"/>
      </w:rPr>
    </w:lvl>
    <w:lvl w:ilvl="4" w:tplc="8332B360">
      <w:start w:val="1"/>
      <w:numFmt w:val="bullet"/>
      <w:lvlText w:val="o"/>
      <w:lvlJc w:val="left"/>
      <w:pPr>
        <w:ind w:left="3600" w:hanging="360"/>
      </w:pPr>
      <w:rPr>
        <w:rFonts w:ascii="Courier New" w:hAnsi="Courier New" w:hint="default"/>
      </w:rPr>
    </w:lvl>
    <w:lvl w:ilvl="5" w:tplc="1BFE2572">
      <w:start w:val="1"/>
      <w:numFmt w:val="bullet"/>
      <w:lvlText w:val=""/>
      <w:lvlJc w:val="left"/>
      <w:pPr>
        <w:ind w:left="4320" w:hanging="360"/>
      </w:pPr>
      <w:rPr>
        <w:rFonts w:ascii="Wingdings" w:hAnsi="Wingdings" w:hint="default"/>
      </w:rPr>
    </w:lvl>
    <w:lvl w:ilvl="6" w:tplc="DD3E29D8">
      <w:start w:val="1"/>
      <w:numFmt w:val="bullet"/>
      <w:lvlText w:val=""/>
      <w:lvlJc w:val="left"/>
      <w:pPr>
        <w:ind w:left="5040" w:hanging="360"/>
      </w:pPr>
      <w:rPr>
        <w:rFonts w:ascii="Symbol" w:hAnsi="Symbol" w:hint="default"/>
      </w:rPr>
    </w:lvl>
    <w:lvl w:ilvl="7" w:tplc="A9D246BE">
      <w:start w:val="1"/>
      <w:numFmt w:val="bullet"/>
      <w:lvlText w:val="o"/>
      <w:lvlJc w:val="left"/>
      <w:pPr>
        <w:ind w:left="5760" w:hanging="360"/>
      </w:pPr>
      <w:rPr>
        <w:rFonts w:ascii="Courier New" w:hAnsi="Courier New" w:hint="default"/>
      </w:rPr>
    </w:lvl>
    <w:lvl w:ilvl="8" w:tplc="53A2F412">
      <w:start w:val="1"/>
      <w:numFmt w:val="bullet"/>
      <w:lvlText w:val=""/>
      <w:lvlJc w:val="left"/>
      <w:pPr>
        <w:ind w:left="6480" w:hanging="360"/>
      </w:pPr>
      <w:rPr>
        <w:rFonts w:ascii="Wingdings" w:hAnsi="Wingdings" w:hint="default"/>
      </w:rPr>
    </w:lvl>
  </w:abstractNum>
  <w:abstractNum w:abstractNumId="1" w15:restartNumberingAfterBreak="0">
    <w:nsid w:val="0114A002"/>
    <w:multiLevelType w:val="hybridMultilevel"/>
    <w:tmpl w:val="FFFFFFFF"/>
    <w:lvl w:ilvl="0" w:tplc="3E327B92">
      <w:start w:val="1"/>
      <w:numFmt w:val="bullet"/>
      <w:lvlText w:val=""/>
      <w:lvlJc w:val="left"/>
      <w:pPr>
        <w:ind w:left="720" w:hanging="360"/>
      </w:pPr>
      <w:rPr>
        <w:rFonts w:ascii="Symbol" w:hAnsi="Symbol" w:hint="default"/>
      </w:rPr>
    </w:lvl>
    <w:lvl w:ilvl="1" w:tplc="2FEA9E46">
      <w:start w:val="1"/>
      <w:numFmt w:val="bullet"/>
      <w:lvlText w:val="o"/>
      <w:lvlJc w:val="left"/>
      <w:pPr>
        <w:ind w:left="1440" w:hanging="360"/>
      </w:pPr>
      <w:rPr>
        <w:rFonts w:ascii="Courier New" w:hAnsi="Courier New" w:hint="default"/>
      </w:rPr>
    </w:lvl>
    <w:lvl w:ilvl="2" w:tplc="4F865154">
      <w:start w:val="1"/>
      <w:numFmt w:val="bullet"/>
      <w:lvlText w:val=""/>
      <w:lvlJc w:val="left"/>
      <w:pPr>
        <w:ind w:left="2160" w:hanging="360"/>
      </w:pPr>
      <w:rPr>
        <w:rFonts w:ascii="Wingdings" w:hAnsi="Wingdings" w:hint="default"/>
      </w:rPr>
    </w:lvl>
    <w:lvl w:ilvl="3" w:tplc="86B2D0D2">
      <w:start w:val="1"/>
      <w:numFmt w:val="bullet"/>
      <w:lvlText w:val=""/>
      <w:lvlJc w:val="left"/>
      <w:pPr>
        <w:ind w:left="2880" w:hanging="360"/>
      </w:pPr>
      <w:rPr>
        <w:rFonts w:ascii="Symbol" w:hAnsi="Symbol" w:hint="default"/>
      </w:rPr>
    </w:lvl>
    <w:lvl w:ilvl="4" w:tplc="81AC32DC">
      <w:start w:val="1"/>
      <w:numFmt w:val="bullet"/>
      <w:lvlText w:val="o"/>
      <w:lvlJc w:val="left"/>
      <w:pPr>
        <w:ind w:left="3600" w:hanging="360"/>
      </w:pPr>
      <w:rPr>
        <w:rFonts w:ascii="Courier New" w:hAnsi="Courier New" w:hint="default"/>
      </w:rPr>
    </w:lvl>
    <w:lvl w:ilvl="5" w:tplc="7B26ED24">
      <w:start w:val="1"/>
      <w:numFmt w:val="bullet"/>
      <w:lvlText w:val=""/>
      <w:lvlJc w:val="left"/>
      <w:pPr>
        <w:ind w:left="4320" w:hanging="360"/>
      </w:pPr>
      <w:rPr>
        <w:rFonts w:ascii="Wingdings" w:hAnsi="Wingdings" w:hint="default"/>
      </w:rPr>
    </w:lvl>
    <w:lvl w:ilvl="6" w:tplc="252EB4D0">
      <w:start w:val="1"/>
      <w:numFmt w:val="bullet"/>
      <w:lvlText w:val=""/>
      <w:lvlJc w:val="left"/>
      <w:pPr>
        <w:ind w:left="5040" w:hanging="360"/>
      </w:pPr>
      <w:rPr>
        <w:rFonts w:ascii="Symbol" w:hAnsi="Symbol" w:hint="default"/>
      </w:rPr>
    </w:lvl>
    <w:lvl w:ilvl="7" w:tplc="3A424FDE">
      <w:start w:val="1"/>
      <w:numFmt w:val="bullet"/>
      <w:lvlText w:val="o"/>
      <w:lvlJc w:val="left"/>
      <w:pPr>
        <w:ind w:left="5760" w:hanging="360"/>
      </w:pPr>
      <w:rPr>
        <w:rFonts w:ascii="Courier New" w:hAnsi="Courier New" w:hint="default"/>
      </w:rPr>
    </w:lvl>
    <w:lvl w:ilvl="8" w:tplc="882A397A">
      <w:start w:val="1"/>
      <w:numFmt w:val="bullet"/>
      <w:lvlText w:val=""/>
      <w:lvlJc w:val="left"/>
      <w:pPr>
        <w:ind w:left="6480" w:hanging="360"/>
      </w:pPr>
      <w:rPr>
        <w:rFonts w:ascii="Wingdings" w:hAnsi="Wingdings" w:hint="default"/>
      </w:rPr>
    </w:lvl>
  </w:abstractNum>
  <w:abstractNum w:abstractNumId="2" w15:restartNumberingAfterBreak="0">
    <w:nsid w:val="01566DA1"/>
    <w:multiLevelType w:val="hybridMultilevel"/>
    <w:tmpl w:val="0F28C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142E15"/>
    <w:multiLevelType w:val="multilevel"/>
    <w:tmpl w:val="49B89FF0"/>
    <w:numStyleLink w:val="TableListBulletmaster"/>
  </w:abstractNum>
  <w:abstractNum w:abstractNumId="4" w15:restartNumberingAfterBreak="0">
    <w:nsid w:val="07544CDA"/>
    <w:multiLevelType w:val="multilevel"/>
    <w:tmpl w:val="A3BCDDE8"/>
    <w:styleLink w:val="NoteHeadingmaster"/>
    <w:lvl w:ilvl="0">
      <w:start w:val="1"/>
      <w:numFmt w:val="decimal"/>
      <w:pStyle w:val="NotesHeading1"/>
      <w:lvlText w:val="%1."/>
      <w:lvlJc w:val="left"/>
      <w:pPr>
        <w:ind w:left="454" w:hanging="454"/>
      </w:pPr>
      <w:rPr>
        <w:rFonts w:hint="default"/>
      </w:rPr>
    </w:lvl>
    <w:lvl w:ilvl="1">
      <w:start w:val="1"/>
      <w:numFmt w:val="decimal"/>
      <w:pStyle w:val="NotesHeading2"/>
      <w:lvlText w:val="%1.%2"/>
      <w:lvlJc w:val="left"/>
      <w:pPr>
        <w:ind w:left="596" w:hanging="454"/>
      </w:pPr>
      <w:rPr>
        <w:rFonts w:hint="default"/>
      </w:rPr>
    </w:lvl>
    <w:lvl w:ilvl="2">
      <w:start w:val="1"/>
      <w:numFmt w:val="decimal"/>
      <w:pStyle w:val="NotesHeading3"/>
      <w:lvlText w:val="%1.%2.%3"/>
      <w:lvlJc w:val="left"/>
      <w:pPr>
        <w:ind w:left="454"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7567B31"/>
    <w:multiLevelType w:val="hybridMultilevel"/>
    <w:tmpl w:val="5BC2A92E"/>
    <w:lvl w:ilvl="0" w:tplc="C6A2CABC">
      <w:start w:val="1"/>
      <w:numFmt w:val="bullet"/>
      <w:lvlText w:val="·"/>
      <w:lvlJc w:val="left"/>
      <w:pPr>
        <w:ind w:left="720" w:hanging="360"/>
      </w:pPr>
      <w:rPr>
        <w:rFonts w:ascii="Symbol" w:hAnsi="Symbol" w:hint="default"/>
      </w:rPr>
    </w:lvl>
    <w:lvl w:ilvl="1" w:tplc="1F5A3818">
      <w:start w:val="1"/>
      <w:numFmt w:val="bullet"/>
      <w:lvlText w:val="o"/>
      <w:lvlJc w:val="left"/>
      <w:pPr>
        <w:ind w:left="1440" w:hanging="360"/>
      </w:pPr>
      <w:rPr>
        <w:rFonts w:ascii="Courier New" w:hAnsi="Courier New" w:hint="default"/>
      </w:rPr>
    </w:lvl>
    <w:lvl w:ilvl="2" w:tplc="5D343108">
      <w:start w:val="1"/>
      <w:numFmt w:val="bullet"/>
      <w:lvlText w:val=""/>
      <w:lvlJc w:val="left"/>
      <w:pPr>
        <w:ind w:left="2160" w:hanging="360"/>
      </w:pPr>
      <w:rPr>
        <w:rFonts w:ascii="Wingdings" w:hAnsi="Wingdings" w:hint="default"/>
      </w:rPr>
    </w:lvl>
    <w:lvl w:ilvl="3" w:tplc="83FCED32">
      <w:start w:val="1"/>
      <w:numFmt w:val="bullet"/>
      <w:lvlText w:val=""/>
      <w:lvlJc w:val="left"/>
      <w:pPr>
        <w:ind w:left="2880" w:hanging="360"/>
      </w:pPr>
      <w:rPr>
        <w:rFonts w:ascii="Symbol" w:hAnsi="Symbol" w:hint="default"/>
      </w:rPr>
    </w:lvl>
    <w:lvl w:ilvl="4" w:tplc="4014CCC8">
      <w:start w:val="1"/>
      <w:numFmt w:val="bullet"/>
      <w:lvlText w:val="o"/>
      <w:lvlJc w:val="left"/>
      <w:pPr>
        <w:ind w:left="3600" w:hanging="360"/>
      </w:pPr>
      <w:rPr>
        <w:rFonts w:ascii="Courier New" w:hAnsi="Courier New" w:hint="default"/>
      </w:rPr>
    </w:lvl>
    <w:lvl w:ilvl="5" w:tplc="AE0A4928">
      <w:start w:val="1"/>
      <w:numFmt w:val="bullet"/>
      <w:lvlText w:val=""/>
      <w:lvlJc w:val="left"/>
      <w:pPr>
        <w:ind w:left="4320" w:hanging="360"/>
      </w:pPr>
      <w:rPr>
        <w:rFonts w:ascii="Wingdings" w:hAnsi="Wingdings" w:hint="default"/>
      </w:rPr>
    </w:lvl>
    <w:lvl w:ilvl="6" w:tplc="14C081E8">
      <w:start w:val="1"/>
      <w:numFmt w:val="bullet"/>
      <w:lvlText w:val=""/>
      <w:lvlJc w:val="left"/>
      <w:pPr>
        <w:ind w:left="5040" w:hanging="360"/>
      </w:pPr>
      <w:rPr>
        <w:rFonts w:ascii="Symbol" w:hAnsi="Symbol" w:hint="default"/>
      </w:rPr>
    </w:lvl>
    <w:lvl w:ilvl="7" w:tplc="34DC493A">
      <w:start w:val="1"/>
      <w:numFmt w:val="bullet"/>
      <w:lvlText w:val="o"/>
      <w:lvlJc w:val="left"/>
      <w:pPr>
        <w:ind w:left="5760" w:hanging="360"/>
      </w:pPr>
      <w:rPr>
        <w:rFonts w:ascii="Courier New" w:hAnsi="Courier New" w:hint="default"/>
      </w:rPr>
    </w:lvl>
    <w:lvl w:ilvl="8" w:tplc="B5F88670">
      <w:start w:val="1"/>
      <w:numFmt w:val="bullet"/>
      <w:lvlText w:val=""/>
      <w:lvlJc w:val="left"/>
      <w:pPr>
        <w:ind w:left="6480" w:hanging="360"/>
      </w:pPr>
      <w:rPr>
        <w:rFonts w:ascii="Wingdings" w:hAnsi="Wingdings" w:hint="default"/>
      </w:rPr>
    </w:lvl>
  </w:abstractNum>
  <w:abstractNum w:abstractNumId="6" w15:restartNumberingAfterBreak="0">
    <w:nsid w:val="084F7801"/>
    <w:multiLevelType w:val="multilevel"/>
    <w:tmpl w:val="904AEB3A"/>
    <w:numStyleLink w:val="TableListNumbermaster"/>
  </w:abstractNum>
  <w:abstractNum w:abstractNumId="7" w15:restartNumberingAfterBreak="0">
    <w:nsid w:val="087178D6"/>
    <w:multiLevelType w:val="hybridMultilevel"/>
    <w:tmpl w:val="FA8C7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BA0609"/>
    <w:multiLevelType w:val="hybridMultilevel"/>
    <w:tmpl w:val="79844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15CC31"/>
    <w:multiLevelType w:val="hybridMultilevel"/>
    <w:tmpl w:val="80AE15B6"/>
    <w:lvl w:ilvl="0" w:tplc="2A6A9894">
      <w:start w:val="1"/>
      <w:numFmt w:val="bullet"/>
      <w:lvlText w:val=""/>
      <w:lvlJc w:val="left"/>
      <w:pPr>
        <w:ind w:left="720" w:hanging="360"/>
      </w:pPr>
      <w:rPr>
        <w:rFonts w:ascii="Symbol" w:hAnsi="Symbol" w:hint="default"/>
      </w:rPr>
    </w:lvl>
    <w:lvl w:ilvl="1" w:tplc="CCC8CAAE">
      <w:start w:val="1"/>
      <w:numFmt w:val="bullet"/>
      <w:lvlText w:val="o"/>
      <w:lvlJc w:val="left"/>
      <w:pPr>
        <w:ind w:left="1440" w:hanging="360"/>
      </w:pPr>
      <w:rPr>
        <w:rFonts w:ascii="Courier New" w:hAnsi="Courier New" w:hint="default"/>
      </w:rPr>
    </w:lvl>
    <w:lvl w:ilvl="2" w:tplc="2A28B4EE">
      <w:start w:val="1"/>
      <w:numFmt w:val="bullet"/>
      <w:lvlText w:val=""/>
      <w:lvlJc w:val="left"/>
      <w:pPr>
        <w:ind w:left="2160" w:hanging="360"/>
      </w:pPr>
      <w:rPr>
        <w:rFonts w:ascii="Wingdings" w:hAnsi="Wingdings" w:hint="default"/>
      </w:rPr>
    </w:lvl>
    <w:lvl w:ilvl="3" w:tplc="9724BCA4">
      <w:start w:val="1"/>
      <w:numFmt w:val="bullet"/>
      <w:lvlText w:val=""/>
      <w:lvlJc w:val="left"/>
      <w:pPr>
        <w:ind w:left="2880" w:hanging="360"/>
      </w:pPr>
      <w:rPr>
        <w:rFonts w:ascii="Symbol" w:hAnsi="Symbol" w:hint="default"/>
      </w:rPr>
    </w:lvl>
    <w:lvl w:ilvl="4" w:tplc="6C8A65D2">
      <w:start w:val="1"/>
      <w:numFmt w:val="bullet"/>
      <w:lvlText w:val="o"/>
      <w:lvlJc w:val="left"/>
      <w:pPr>
        <w:ind w:left="3600" w:hanging="360"/>
      </w:pPr>
      <w:rPr>
        <w:rFonts w:ascii="Courier New" w:hAnsi="Courier New" w:hint="default"/>
      </w:rPr>
    </w:lvl>
    <w:lvl w:ilvl="5" w:tplc="B0704320">
      <w:start w:val="1"/>
      <w:numFmt w:val="bullet"/>
      <w:lvlText w:val=""/>
      <w:lvlJc w:val="left"/>
      <w:pPr>
        <w:ind w:left="4320" w:hanging="360"/>
      </w:pPr>
      <w:rPr>
        <w:rFonts w:ascii="Wingdings" w:hAnsi="Wingdings" w:hint="default"/>
      </w:rPr>
    </w:lvl>
    <w:lvl w:ilvl="6" w:tplc="87ECE64E">
      <w:start w:val="1"/>
      <w:numFmt w:val="bullet"/>
      <w:lvlText w:val=""/>
      <w:lvlJc w:val="left"/>
      <w:pPr>
        <w:ind w:left="5040" w:hanging="360"/>
      </w:pPr>
      <w:rPr>
        <w:rFonts w:ascii="Symbol" w:hAnsi="Symbol" w:hint="default"/>
      </w:rPr>
    </w:lvl>
    <w:lvl w:ilvl="7" w:tplc="DF402146">
      <w:start w:val="1"/>
      <w:numFmt w:val="bullet"/>
      <w:lvlText w:val="o"/>
      <w:lvlJc w:val="left"/>
      <w:pPr>
        <w:ind w:left="5760" w:hanging="360"/>
      </w:pPr>
      <w:rPr>
        <w:rFonts w:ascii="Courier New" w:hAnsi="Courier New" w:hint="default"/>
      </w:rPr>
    </w:lvl>
    <w:lvl w:ilvl="8" w:tplc="F2763070">
      <w:start w:val="1"/>
      <w:numFmt w:val="bullet"/>
      <w:lvlText w:val=""/>
      <w:lvlJc w:val="left"/>
      <w:pPr>
        <w:ind w:left="6480" w:hanging="360"/>
      </w:pPr>
      <w:rPr>
        <w:rFonts w:ascii="Wingdings" w:hAnsi="Wingdings" w:hint="default"/>
      </w:rPr>
    </w:lvl>
  </w:abstractNum>
  <w:abstractNum w:abstractNumId="10" w15:restartNumberingAfterBreak="0">
    <w:nsid w:val="0F167765"/>
    <w:multiLevelType w:val="multilevel"/>
    <w:tmpl w:val="A3B4BBFE"/>
    <w:styleLink w:val="AppendixHeadingmaster"/>
    <w:lvl w:ilvl="0">
      <w:start w:val="1"/>
      <w:numFmt w:val="upperLetter"/>
      <w:pStyle w:val="AppendixHeading1"/>
      <w:lvlText w:val="Appendix %1:"/>
      <w:lvlJc w:val="left"/>
      <w:pPr>
        <w:ind w:left="1900" w:hanging="1900"/>
      </w:pPr>
      <w:rPr>
        <w:rFonts w:ascii="Calibri" w:hAnsi="Calibri" w:hint="default"/>
        <w:b/>
        <w:i w:val="0"/>
        <w:color w:val="7F7F7F" w:themeColor="text1" w:themeTint="80"/>
        <w:sz w:val="3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3734939"/>
    <w:multiLevelType w:val="hybridMultilevel"/>
    <w:tmpl w:val="20D28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4913431"/>
    <w:multiLevelType w:val="multilevel"/>
    <w:tmpl w:val="28F46D40"/>
    <w:numStyleLink w:val="ListNumbermaster"/>
  </w:abstractNum>
  <w:abstractNum w:abstractNumId="13" w15:restartNumberingAfterBreak="0">
    <w:nsid w:val="15213DB3"/>
    <w:multiLevelType w:val="hybridMultilevel"/>
    <w:tmpl w:val="613CC34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 w15:restartNumberingAfterBreak="0">
    <w:nsid w:val="1A753D77"/>
    <w:multiLevelType w:val="multilevel"/>
    <w:tmpl w:val="B4A21E40"/>
    <w:styleLink w:val="Headingsmaster"/>
    <w:lvl w:ilvl="0">
      <w:start w:val="1"/>
      <w:numFmt w:val="decimal"/>
      <w:pStyle w:val="Heading1"/>
      <w:lvlText w:val="Section %1:"/>
      <w:lvlJc w:val="left"/>
      <w:pPr>
        <w:ind w:left="1786" w:hanging="1786"/>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D35555"/>
    <w:multiLevelType w:val="hybridMultilevel"/>
    <w:tmpl w:val="AFF022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BB76778"/>
    <w:multiLevelType w:val="multilevel"/>
    <w:tmpl w:val="49B89FF0"/>
    <w:numStyleLink w:val="TableListBulletmaster"/>
  </w:abstractNum>
  <w:abstractNum w:abstractNumId="17" w15:restartNumberingAfterBreak="0">
    <w:nsid w:val="1E170722"/>
    <w:multiLevelType w:val="hybridMultilevel"/>
    <w:tmpl w:val="961AF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auto"/>
      </w:rPr>
    </w:lvl>
    <w:lvl w:ilvl="1">
      <w:start w:val="1"/>
      <w:numFmt w:val="lowerLetter"/>
      <w:pStyle w:val="TableListNumber2"/>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48C935"/>
    <w:multiLevelType w:val="hybridMultilevel"/>
    <w:tmpl w:val="AE160E30"/>
    <w:lvl w:ilvl="0" w:tplc="8B9C5548">
      <w:start w:val="1"/>
      <w:numFmt w:val="bullet"/>
      <w:lvlText w:val="o"/>
      <w:lvlJc w:val="left"/>
      <w:pPr>
        <w:ind w:left="1080" w:hanging="360"/>
      </w:pPr>
      <w:rPr>
        <w:rFonts w:ascii="Courier New" w:hAnsi="Courier New" w:hint="default"/>
      </w:rPr>
    </w:lvl>
    <w:lvl w:ilvl="1" w:tplc="445841CE">
      <w:start w:val="1"/>
      <w:numFmt w:val="bullet"/>
      <w:lvlText w:val="o"/>
      <w:lvlJc w:val="left"/>
      <w:pPr>
        <w:ind w:left="1800" w:hanging="360"/>
      </w:pPr>
      <w:rPr>
        <w:rFonts w:ascii="Courier New" w:hAnsi="Courier New" w:hint="default"/>
      </w:rPr>
    </w:lvl>
    <w:lvl w:ilvl="2" w:tplc="C89800B0">
      <w:start w:val="1"/>
      <w:numFmt w:val="bullet"/>
      <w:lvlText w:val=""/>
      <w:lvlJc w:val="left"/>
      <w:pPr>
        <w:ind w:left="2520" w:hanging="360"/>
      </w:pPr>
      <w:rPr>
        <w:rFonts w:ascii="Wingdings" w:hAnsi="Wingdings" w:hint="default"/>
      </w:rPr>
    </w:lvl>
    <w:lvl w:ilvl="3" w:tplc="ACC0B808">
      <w:start w:val="1"/>
      <w:numFmt w:val="bullet"/>
      <w:lvlText w:val=""/>
      <w:lvlJc w:val="left"/>
      <w:pPr>
        <w:ind w:left="3240" w:hanging="360"/>
      </w:pPr>
      <w:rPr>
        <w:rFonts w:ascii="Symbol" w:hAnsi="Symbol" w:hint="default"/>
      </w:rPr>
    </w:lvl>
    <w:lvl w:ilvl="4" w:tplc="B9E28E1E">
      <w:start w:val="1"/>
      <w:numFmt w:val="bullet"/>
      <w:lvlText w:val="o"/>
      <w:lvlJc w:val="left"/>
      <w:pPr>
        <w:ind w:left="3960" w:hanging="360"/>
      </w:pPr>
      <w:rPr>
        <w:rFonts w:ascii="Courier New" w:hAnsi="Courier New" w:hint="default"/>
      </w:rPr>
    </w:lvl>
    <w:lvl w:ilvl="5" w:tplc="9E76BC8C">
      <w:start w:val="1"/>
      <w:numFmt w:val="bullet"/>
      <w:lvlText w:val=""/>
      <w:lvlJc w:val="left"/>
      <w:pPr>
        <w:ind w:left="4680" w:hanging="360"/>
      </w:pPr>
      <w:rPr>
        <w:rFonts w:ascii="Wingdings" w:hAnsi="Wingdings" w:hint="default"/>
      </w:rPr>
    </w:lvl>
    <w:lvl w:ilvl="6" w:tplc="F99A484A">
      <w:start w:val="1"/>
      <w:numFmt w:val="bullet"/>
      <w:lvlText w:val=""/>
      <w:lvlJc w:val="left"/>
      <w:pPr>
        <w:ind w:left="5400" w:hanging="360"/>
      </w:pPr>
      <w:rPr>
        <w:rFonts w:ascii="Symbol" w:hAnsi="Symbol" w:hint="default"/>
      </w:rPr>
    </w:lvl>
    <w:lvl w:ilvl="7" w:tplc="CAFE115E">
      <w:start w:val="1"/>
      <w:numFmt w:val="bullet"/>
      <w:lvlText w:val="o"/>
      <w:lvlJc w:val="left"/>
      <w:pPr>
        <w:ind w:left="6120" w:hanging="360"/>
      </w:pPr>
      <w:rPr>
        <w:rFonts w:ascii="Courier New" w:hAnsi="Courier New" w:hint="default"/>
      </w:rPr>
    </w:lvl>
    <w:lvl w:ilvl="8" w:tplc="A10607E8">
      <w:start w:val="1"/>
      <w:numFmt w:val="bullet"/>
      <w:lvlText w:val=""/>
      <w:lvlJc w:val="left"/>
      <w:pPr>
        <w:ind w:left="6840" w:hanging="360"/>
      </w:pPr>
      <w:rPr>
        <w:rFonts w:ascii="Wingdings" w:hAnsi="Wingdings" w:hint="default"/>
      </w:rPr>
    </w:lvl>
  </w:abstractNum>
  <w:abstractNum w:abstractNumId="20" w15:restartNumberingAfterBreak="0">
    <w:nsid w:val="242839DB"/>
    <w:multiLevelType w:val="multilevel"/>
    <w:tmpl w:val="8E12C9E4"/>
    <w:styleLink w:val="ListLegalmaster"/>
    <w:lvl w:ilvl="0">
      <w:start w:val="1"/>
      <w:numFmt w:val="decimal"/>
      <w:pStyle w:val="ListLegal"/>
      <w:lvlText w:val="%1."/>
      <w:lvlJc w:val="left"/>
      <w:pPr>
        <w:ind w:left="357" w:hanging="357"/>
      </w:pPr>
      <w:rPr>
        <w:rFonts w:ascii="Calibri" w:hAnsi="Calibri" w:hint="default"/>
        <w:b w:val="0"/>
        <w:i w:val="0"/>
        <w:color w:val="auto"/>
        <w:sz w:val="22"/>
      </w:rPr>
    </w:lvl>
    <w:lvl w:ilvl="1">
      <w:start w:val="1"/>
      <w:numFmt w:val="lowerLetter"/>
      <w:pStyle w:val="ListLegal2"/>
      <w:lvlText w:val="(%2)"/>
      <w:lvlJc w:val="left"/>
      <w:pPr>
        <w:tabs>
          <w:tab w:val="num" w:pos="720"/>
        </w:tabs>
        <w:ind w:left="714" w:hanging="357"/>
      </w:pPr>
      <w:rPr>
        <w:rFonts w:ascii="Calibri" w:hAnsi="Calibri" w:hint="default"/>
        <w:b w:val="0"/>
        <w:i w:val="0"/>
        <w:color w:val="auto"/>
        <w:sz w:val="22"/>
      </w:rPr>
    </w:lvl>
    <w:lvl w:ilvl="2">
      <w:start w:val="1"/>
      <w:numFmt w:val="lowerRoman"/>
      <w:lvlRestart w:val="1"/>
      <w:pStyle w:val="ListLegal3"/>
      <w:lvlText w:val="(%3)"/>
      <w:lvlJc w:val="left"/>
      <w:pPr>
        <w:ind w:left="1435" w:hanging="721"/>
      </w:pPr>
      <w:rPr>
        <w:rFonts w:ascii="Calibri" w:hAnsi="Calibri" w:hint="default"/>
        <w:b w:val="0"/>
        <w:i w:val="0"/>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6AE1F12"/>
    <w:multiLevelType w:val="multilevel"/>
    <w:tmpl w:val="49B89FF0"/>
    <w:numStyleLink w:val="TableListBulletmaster"/>
  </w:abstractNum>
  <w:abstractNum w:abstractNumId="22" w15:restartNumberingAfterBreak="0">
    <w:nsid w:val="27F9B255"/>
    <w:multiLevelType w:val="hybridMultilevel"/>
    <w:tmpl w:val="773CDB32"/>
    <w:lvl w:ilvl="0" w:tplc="9B360726">
      <w:start w:val="1"/>
      <w:numFmt w:val="bullet"/>
      <w:lvlText w:val=""/>
      <w:lvlJc w:val="left"/>
      <w:pPr>
        <w:ind w:left="720" w:hanging="360"/>
      </w:pPr>
      <w:rPr>
        <w:rFonts w:ascii="Symbol" w:hAnsi="Symbol" w:hint="default"/>
      </w:rPr>
    </w:lvl>
    <w:lvl w:ilvl="1" w:tplc="B16CFCEC">
      <w:start w:val="1"/>
      <w:numFmt w:val="bullet"/>
      <w:lvlText w:val="o"/>
      <w:lvlJc w:val="left"/>
      <w:pPr>
        <w:ind w:left="1440" w:hanging="360"/>
      </w:pPr>
      <w:rPr>
        <w:rFonts w:ascii="Courier New" w:hAnsi="Courier New" w:hint="default"/>
      </w:rPr>
    </w:lvl>
    <w:lvl w:ilvl="2" w:tplc="77B4CEE6">
      <w:start w:val="1"/>
      <w:numFmt w:val="bullet"/>
      <w:lvlText w:val=""/>
      <w:lvlJc w:val="left"/>
      <w:pPr>
        <w:ind w:left="2160" w:hanging="360"/>
      </w:pPr>
      <w:rPr>
        <w:rFonts w:ascii="Wingdings" w:hAnsi="Wingdings" w:hint="default"/>
      </w:rPr>
    </w:lvl>
    <w:lvl w:ilvl="3" w:tplc="F3A46536">
      <w:start w:val="1"/>
      <w:numFmt w:val="bullet"/>
      <w:lvlText w:val=""/>
      <w:lvlJc w:val="left"/>
      <w:pPr>
        <w:ind w:left="2880" w:hanging="360"/>
      </w:pPr>
      <w:rPr>
        <w:rFonts w:ascii="Symbol" w:hAnsi="Symbol" w:hint="default"/>
      </w:rPr>
    </w:lvl>
    <w:lvl w:ilvl="4" w:tplc="1EE489AC">
      <w:start w:val="1"/>
      <w:numFmt w:val="bullet"/>
      <w:lvlText w:val="o"/>
      <w:lvlJc w:val="left"/>
      <w:pPr>
        <w:ind w:left="3600" w:hanging="360"/>
      </w:pPr>
      <w:rPr>
        <w:rFonts w:ascii="Courier New" w:hAnsi="Courier New" w:hint="default"/>
      </w:rPr>
    </w:lvl>
    <w:lvl w:ilvl="5" w:tplc="1E9E0082">
      <w:start w:val="1"/>
      <w:numFmt w:val="bullet"/>
      <w:lvlText w:val=""/>
      <w:lvlJc w:val="left"/>
      <w:pPr>
        <w:ind w:left="4320" w:hanging="360"/>
      </w:pPr>
      <w:rPr>
        <w:rFonts w:ascii="Wingdings" w:hAnsi="Wingdings" w:hint="default"/>
      </w:rPr>
    </w:lvl>
    <w:lvl w:ilvl="6" w:tplc="E8CC96FE">
      <w:start w:val="1"/>
      <w:numFmt w:val="bullet"/>
      <w:lvlText w:val=""/>
      <w:lvlJc w:val="left"/>
      <w:pPr>
        <w:ind w:left="5040" w:hanging="360"/>
      </w:pPr>
      <w:rPr>
        <w:rFonts w:ascii="Symbol" w:hAnsi="Symbol" w:hint="default"/>
      </w:rPr>
    </w:lvl>
    <w:lvl w:ilvl="7" w:tplc="255A497C">
      <w:start w:val="1"/>
      <w:numFmt w:val="bullet"/>
      <w:lvlText w:val="o"/>
      <w:lvlJc w:val="left"/>
      <w:pPr>
        <w:ind w:left="5760" w:hanging="360"/>
      </w:pPr>
      <w:rPr>
        <w:rFonts w:ascii="Courier New" w:hAnsi="Courier New" w:hint="default"/>
      </w:rPr>
    </w:lvl>
    <w:lvl w:ilvl="8" w:tplc="9BB87E78">
      <w:start w:val="1"/>
      <w:numFmt w:val="bullet"/>
      <w:lvlText w:val=""/>
      <w:lvlJc w:val="left"/>
      <w:pPr>
        <w:ind w:left="6480" w:hanging="360"/>
      </w:pPr>
      <w:rPr>
        <w:rFonts w:ascii="Wingdings" w:hAnsi="Wingdings" w:hint="default"/>
      </w:rPr>
    </w:lvl>
  </w:abstractNum>
  <w:abstractNum w:abstractNumId="23" w15:restartNumberingAfterBreak="0">
    <w:nsid w:val="28A15DC1"/>
    <w:multiLevelType w:val="hybridMultilevel"/>
    <w:tmpl w:val="1682E3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BF7992"/>
    <w:multiLevelType w:val="hybridMultilevel"/>
    <w:tmpl w:val="0FBCF8A4"/>
    <w:lvl w:ilvl="0" w:tplc="697C140C">
      <w:start w:val="1"/>
      <w:numFmt w:val="bullet"/>
      <w:lvlText w:val=""/>
      <w:lvlJc w:val="left"/>
      <w:pPr>
        <w:ind w:left="720" w:hanging="360"/>
      </w:pPr>
      <w:rPr>
        <w:rFonts w:ascii="Symbol" w:hAnsi="Symbol" w:hint="default"/>
      </w:rPr>
    </w:lvl>
    <w:lvl w:ilvl="1" w:tplc="860E357A">
      <w:start w:val="1"/>
      <w:numFmt w:val="bullet"/>
      <w:lvlText w:val="o"/>
      <w:lvlJc w:val="left"/>
      <w:pPr>
        <w:ind w:left="1440" w:hanging="360"/>
      </w:pPr>
      <w:rPr>
        <w:rFonts w:ascii="Courier New" w:hAnsi="Courier New" w:hint="default"/>
      </w:rPr>
    </w:lvl>
    <w:lvl w:ilvl="2" w:tplc="02248094">
      <w:start w:val="1"/>
      <w:numFmt w:val="bullet"/>
      <w:lvlText w:val=""/>
      <w:lvlJc w:val="left"/>
      <w:pPr>
        <w:ind w:left="2160" w:hanging="360"/>
      </w:pPr>
      <w:rPr>
        <w:rFonts w:ascii="Wingdings" w:hAnsi="Wingdings" w:hint="default"/>
      </w:rPr>
    </w:lvl>
    <w:lvl w:ilvl="3" w:tplc="0B1CA6A4">
      <w:start w:val="1"/>
      <w:numFmt w:val="bullet"/>
      <w:lvlText w:val=""/>
      <w:lvlJc w:val="left"/>
      <w:pPr>
        <w:ind w:left="2880" w:hanging="360"/>
      </w:pPr>
      <w:rPr>
        <w:rFonts w:ascii="Symbol" w:hAnsi="Symbol" w:hint="default"/>
      </w:rPr>
    </w:lvl>
    <w:lvl w:ilvl="4" w:tplc="726867A8">
      <w:start w:val="1"/>
      <w:numFmt w:val="bullet"/>
      <w:lvlText w:val="o"/>
      <w:lvlJc w:val="left"/>
      <w:pPr>
        <w:ind w:left="3600" w:hanging="360"/>
      </w:pPr>
      <w:rPr>
        <w:rFonts w:ascii="Courier New" w:hAnsi="Courier New" w:hint="default"/>
      </w:rPr>
    </w:lvl>
    <w:lvl w:ilvl="5" w:tplc="2EC224C8">
      <w:start w:val="1"/>
      <w:numFmt w:val="bullet"/>
      <w:lvlText w:val=""/>
      <w:lvlJc w:val="left"/>
      <w:pPr>
        <w:ind w:left="4320" w:hanging="360"/>
      </w:pPr>
      <w:rPr>
        <w:rFonts w:ascii="Wingdings" w:hAnsi="Wingdings" w:hint="default"/>
      </w:rPr>
    </w:lvl>
    <w:lvl w:ilvl="6" w:tplc="9A785560">
      <w:start w:val="1"/>
      <w:numFmt w:val="bullet"/>
      <w:lvlText w:val=""/>
      <w:lvlJc w:val="left"/>
      <w:pPr>
        <w:ind w:left="5040" w:hanging="360"/>
      </w:pPr>
      <w:rPr>
        <w:rFonts w:ascii="Symbol" w:hAnsi="Symbol" w:hint="default"/>
      </w:rPr>
    </w:lvl>
    <w:lvl w:ilvl="7" w:tplc="C65E93A2">
      <w:start w:val="1"/>
      <w:numFmt w:val="bullet"/>
      <w:lvlText w:val="o"/>
      <w:lvlJc w:val="left"/>
      <w:pPr>
        <w:ind w:left="5760" w:hanging="360"/>
      </w:pPr>
      <w:rPr>
        <w:rFonts w:ascii="Courier New" w:hAnsi="Courier New" w:hint="default"/>
      </w:rPr>
    </w:lvl>
    <w:lvl w:ilvl="8" w:tplc="22DA71CC">
      <w:start w:val="1"/>
      <w:numFmt w:val="bullet"/>
      <w:lvlText w:val=""/>
      <w:lvlJc w:val="left"/>
      <w:pPr>
        <w:ind w:left="6480" w:hanging="360"/>
      </w:pPr>
      <w:rPr>
        <w:rFonts w:ascii="Wingdings" w:hAnsi="Wingdings" w:hint="default"/>
      </w:rPr>
    </w:lvl>
  </w:abstractNum>
  <w:abstractNum w:abstractNumId="25" w15:restartNumberingAfterBreak="0">
    <w:nsid w:val="28EE0B1D"/>
    <w:multiLevelType w:val="hybridMultilevel"/>
    <w:tmpl w:val="FA342FA0"/>
    <w:lvl w:ilvl="0" w:tplc="5B80D880">
      <w:start w:val="1"/>
      <w:numFmt w:val="bullet"/>
      <w:lvlText w:val="·"/>
      <w:lvlJc w:val="left"/>
      <w:pPr>
        <w:ind w:left="720" w:hanging="360"/>
      </w:pPr>
      <w:rPr>
        <w:rFonts w:ascii="Symbol" w:hAnsi="Symbol" w:hint="default"/>
      </w:rPr>
    </w:lvl>
    <w:lvl w:ilvl="1" w:tplc="36CA3E44">
      <w:start w:val="1"/>
      <w:numFmt w:val="bullet"/>
      <w:lvlText w:val="o"/>
      <w:lvlJc w:val="left"/>
      <w:pPr>
        <w:ind w:left="1440" w:hanging="360"/>
      </w:pPr>
      <w:rPr>
        <w:rFonts w:ascii="Courier New" w:hAnsi="Courier New" w:hint="default"/>
      </w:rPr>
    </w:lvl>
    <w:lvl w:ilvl="2" w:tplc="44B40226">
      <w:start w:val="1"/>
      <w:numFmt w:val="bullet"/>
      <w:lvlText w:val=""/>
      <w:lvlJc w:val="left"/>
      <w:pPr>
        <w:ind w:left="2160" w:hanging="360"/>
      </w:pPr>
      <w:rPr>
        <w:rFonts w:ascii="Wingdings" w:hAnsi="Wingdings" w:hint="default"/>
      </w:rPr>
    </w:lvl>
    <w:lvl w:ilvl="3" w:tplc="AB7C3DE6">
      <w:start w:val="1"/>
      <w:numFmt w:val="bullet"/>
      <w:lvlText w:val=""/>
      <w:lvlJc w:val="left"/>
      <w:pPr>
        <w:ind w:left="2880" w:hanging="360"/>
      </w:pPr>
      <w:rPr>
        <w:rFonts w:ascii="Symbol" w:hAnsi="Symbol" w:hint="default"/>
      </w:rPr>
    </w:lvl>
    <w:lvl w:ilvl="4" w:tplc="12C4633E">
      <w:start w:val="1"/>
      <w:numFmt w:val="bullet"/>
      <w:lvlText w:val="o"/>
      <w:lvlJc w:val="left"/>
      <w:pPr>
        <w:ind w:left="3600" w:hanging="360"/>
      </w:pPr>
      <w:rPr>
        <w:rFonts w:ascii="Courier New" w:hAnsi="Courier New" w:hint="default"/>
      </w:rPr>
    </w:lvl>
    <w:lvl w:ilvl="5" w:tplc="C660D0B2">
      <w:start w:val="1"/>
      <w:numFmt w:val="bullet"/>
      <w:lvlText w:val=""/>
      <w:lvlJc w:val="left"/>
      <w:pPr>
        <w:ind w:left="4320" w:hanging="360"/>
      </w:pPr>
      <w:rPr>
        <w:rFonts w:ascii="Wingdings" w:hAnsi="Wingdings" w:hint="default"/>
      </w:rPr>
    </w:lvl>
    <w:lvl w:ilvl="6" w:tplc="DFD23AEC">
      <w:start w:val="1"/>
      <w:numFmt w:val="bullet"/>
      <w:lvlText w:val=""/>
      <w:lvlJc w:val="left"/>
      <w:pPr>
        <w:ind w:left="5040" w:hanging="360"/>
      </w:pPr>
      <w:rPr>
        <w:rFonts w:ascii="Symbol" w:hAnsi="Symbol" w:hint="default"/>
      </w:rPr>
    </w:lvl>
    <w:lvl w:ilvl="7" w:tplc="D3E456F6">
      <w:start w:val="1"/>
      <w:numFmt w:val="bullet"/>
      <w:lvlText w:val="o"/>
      <w:lvlJc w:val="left"/>
      <w:pPr>
        <w:ind w:left="5760" w:hanging="360"/>
      </w:pPr>
      <w:rPr>
        <w:rFonts w:ascii="Courier New" w:hAnsi="Courier New" w:hint="default"/>
      </w:rPr>
    </w:lvl>
    <w:lvl w:ilvl="8" w:tplc="A5484C12">
      <w:start w:val="1"/>
      <w:numFmt w:val="bullet"/>
      <w:lvlText w:val=""/>
      <w:lvlJc w:val="left"/>
      <w:pPr>
        <w:ind w:left="6480" w:hanging="360"/>
      </w:pPr>
      <w:rPr>
        <w:rFonts w:ascii="Wingdings" w:hAnsi="Wingdings" w:hint="default"/>
      </w:rPr>
    </w:lvl>
  </w:abstractNum>
  <w:abstractNum w:abstractNumId="26" w15:restartNumberingAfterBreak="0">
    <w:nsid w:val="299C746F"/>
    <w:multiLevelType w:val="hybridMultilevel"/>
    <w:tmpl w:val="6F8CA6FA"/>
    <w:lvl w:ilvl="0" w:tplc="FFFFFFFF">
      <w:start w:val="1"/>
      <w:numFmt w:val="bullet"/>
      <w:lvlText w:val=""/>
      <w:lvlJc w:val="left"/>
      <w:pPr>
        <w:tabs>
          <w:tab w:val="num" w:pos="360"/>
        </w:tabs>
        <w:ind w:left="360" w:hanging="360"/>
      </w:pPr>
      <w:rPr>
        <w:rFonts w:ascii="Symbol" w:hAnsi="Symbol" w:hint="default"/>
        <w:color w:val="auto"/>
      </w:rPr>
    </w:lvl>
    <w:lvl w:ilvl="1" w:tplc="70004B38">
      <w:start w:val="1"/>
      <w:numFmt w:val="bullet"/>
      <w:pStyle w:val="ListBullet2"/>
      <w:lvlText w:val="o"/>
      <w:lvlJc w:val="left"/>
      <w:pPr>
        <w:ind w:left="717" w:hanging="360"/>
      </w:pPr>
      <w:rPr>
        <w:rFonts w:ascii="Courier New" w:hAnsi="Courier New" w:cs="Courier New" w:hint="default"/>
      </w:rPr>
    </w:lvl>
    <w:lvl w:ilvl="2" w:tplc="FFFFFFFF">
      <w:start w:val="1"/>
      <w:numFmt w:val="bullet"/>
      <w:lvlText w:val=""/>
      <w:lvlJc w:val="left"/>
      <w:pPr>
        <w:ind w:left="1072" w:hanging="358"/>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2A6F2874"/>
    <w:multiLevelType w:val="hybridMultilevel"/>
    <w:tmpl w:val="4A52A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2FD5C14"/>
    <w:multiLevelType w:val="hybridMultilevel"/>
    <w:tmpl w:val="46A0D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CA0361"/>
    <w:multiLevelType w:val="hybridMultilevel"/>
    <w:tmpl w:val="BCC2F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B50C73"/>
    <w:multiLevelType w:val="hybridMultilevel"/>
    <w:tmpl w:val="798EA0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3E1C1A87"/>
    <w:multiLevelType w:val="hybridMultilevel"/>
    <w:tmpl w:val="E81C2E3A"/>
    <w:lvl w:ilvl="0" w:tplc="B8FC2748">
      <w:start w:val="1"/>
      <w:numFmt w:val="bullet"/>
      <w:lvlText w:val="·"/>
      <w:lvlJc w:val="left"/>
      <w:pPr>
        <w:ind w:left="720" w:hanging="360"/>
      </w:pPr>
      <w:rPr>
        <w:rFonts w:ascii="Symbol" w:hAnsi="Symbol" w:hint="default"/>
      </w:rPr>
    </w:lvl>
    <w:lvl w:ilvl="1" w:tplc="5C98B584">
      <w:start w:val="1"/>
      <w:numFmt w:val="bullet"/>
      <w:lvlText w:val="o"/>
      <w:lvlJc w:val="left"/>
      <w:pPr>
        <w:ind w:left="1440" w:hanging="360"/>
      </w:pPr>
      <w:rPr>
        <w:rFonts w:ascii="Courier New" w:hAnsi="Courier New" w:hint="default"/>
      </w:rPr>
    </w:lvl>
    <w:lvl w:ilvl="2" w:tplc="313C16EA">
      <w:start w:val="1"/>
      <w:numFmt w:val="bullet"/>
      <w:lvlText w:val=""/>
      <w:lvlJc w:val="left"/>
      <w:pPr>
        <w:ind w:left="2160" w:hanging="360"/>
      </w:pPr>
      <w:rPr>
        <w:rFonts w:ascii="Wingdings" w:hAnsi="Wingdings" w:hint="default"/>
      </w:rPr>
    </w:lvl>
    <w:lvl w:ilvl="3" w:tplc="7A801146">
      <w:start w:val="1"/>
      <w:numFmt w:val="bullet"/>
      <w:lvlText w:val=""/>
      <w:lvlJc w:val="left"/>
      <w:pPr>
        <w:ind w:left="2880" w:hanging="360"/>
      </w:pPr>
      <w:rPr>
        <w:rFonts w:ascii="Symbol" w:hAnsi="Symbol" w:hint="default"/>
      </w:rPr>
    </w:lvl>
    <w:lvl w:ilvl="4" w:tplc="235CE33C">
      <w:start w:val="1"/>
      <w:numFmt w:val="bullet"/>
      <w:lvlText w:val="o"/>
      <w:lvlJc w:val="left"/>
      <w:pPr>
        <w:ind w:left="3600" w:hanging="360"/>
      </w:pPr>
      <w:rPr>
        <w:rFonts w:ascii="Courier New" w:hAnsi="Courier New" w:hint="default"/>
      </w:rPr>
    </w:lvl>
    <w:lvl w:ilvl="5" w:tplc="F33E26B0">
      <w:start w:val="1"/>
      <w:numFmt w:val="bullet"/>
      <w:lvlText w:val=""/>
      <w:lvlJc w:val="left"/>
      <w:pPr>
        <w:ind w:left="4320" w:hanging="360"/>
      </w:pPr>
      <w:rPr>
        <w:rFonts w:ascii="Wingdings" w:hAnsi="Wingdings" w:hint="default"/>
      </w:rPr>
    </w:lvl>
    <w:lvl w:ilvl="6" w:tplc="B15ECFE8">
      <w:start w:val="1"/>
      <w:numFmt w:val="bullet"/>
      <w:lvlText w:val=""/>
      <w:lvlJc w:val="left"/>
      <w:pPr>
        <w:ind w:left="5040" w:hanging="360"/>
      </w:pPr>
      <w:rPr>
        <w:rFonts w:ascii="Symbol" w:hAnsi="Symbol" w:hint="default"/>
      </w:rPr>
    </w:lvl>
    <w:lvl w:ilvl="7" w:tplc="B238B2A2">
      <w:start w:val="1"/>
      <w:numFmt w:val="bullet"/>
      <w:lvlText w:val="o"/>
      <w:lvlJc w:val="left"/>
      <w:pPr>
        <w:ind w:left="5760" w:hanging="360"/>
      </w:pPr>
      <w:rPr>
        <w:rFonts w:ascii="Courier New" w:hAnsi="Courier New" w:hint="default"/>
      </w:rPr>
    </w:lvl>
    <w:lvl w:ilvl="8" w:tplc="7668F78E">
      <w:start w:val="1"/>
      <w:numFmt w:val="bullet"/>
      <w:lvlText w:val=""/>
      <w:lvlJc w:val="left"/>
      <w:pPr>
        <w:ind w:left="6480" w:hanging="360"/>
      </w:pPr>
      <w:rPr>
        <w:rFonts w:ascii="Wingdings" w:hAnsi="Wingdings" w:hint="default"/>
      </w:rPr>
    </w:lvl>
  </w:abstractNum>
  <w:abstractNum w:abstractNumId="33" w15:restartNumberingAfterBreak="0">
    <w:nsid w:val="430F477C"/>
    <w:multiLevelType w:val="hybridMultilevel"/>
    <w:tmpl w:val="59848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AF322C"/>
    <w:multiLevelType w:val="hybridMultilevel"/>
    <w:tmpl w:val="100A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91DBB62"/>
    <w:multiLevelType w:val="hybridMultilevel"/>
    <w:tmpl w:val="629EA8B8"/>
    <w:lvl w:ilvl="0" w:tplc="31B2F160">
      <w:start w:val="1"/>
      <w:numFmt w:val="bullet"/>
      <w:lvlText w:val=""/>
      <w:lvlJc w:val="left"/>
      <w:pPr>
        <w:ind w:left="720" w:hanging="360"/>
      </w:pPr>
      <w:rPr>
        <w:rFonts w:ascii="Symbol" w:hAnsi="Symbol" w:hint="default"/>
      </w:rPr>
    </w:lvl>
    <w:lvl w:ilvl="1" w:tplc="7F08DE88">
      <w:start w:val="1"/>
      <w:numFmt w:val="bullet"/>
      <w:lvlText w:val="o"/>
      <w:lvlJc w:val="left"/>
      <w:pPr>
        <w:ind w:left="1440" w:hanging="360"/>
      </w:pPr>
      <w:rPr>
        <w:rFonts w:ascii="Courier New" w:hAnsi="Courier New" w:hint="default"/>
      </w:rPr>
    </w:lvl>
    <w:lvl w:ilvl="2" w:tplc="BB041304">
      <w:start w:val="1"/>
      <w:numFmt w:val="bullet"/>
      <w:lvlText w:val=""/>
      <w:lvlJc w:val="left"/>
      <w:pPr>
        <w:ind w:left="2160" w:hanging="360"/>
      </w:pPr>
      <w:rPr>
        <w:rFonts w:ascii="Wingdings" w:hAnsi="Wingdings" w:hint="default"/>
      </w:rPr>
    </w:lvl>
    <w:lvl w:ilvl="3" w:tplc="C7B61348">
      <w:start w:val="1"/>
      <w:numFmt w:val="bullet"/>
      <w:lvlText w:val=""/>
      <w:lvlJc w:val="left"/>
      <w:pPr>
        <w:ind w:left="2880" w:hanging="360"/>
      </w:pPr>
      <w:rPr>
        <w:rFonts w:ascii="Symbol" w:hAnsi="Symbol" w:hint="default"/>
      </w:rPr>
    </w:lvl>
    <w:lvl w:ilvl="4" w:tplc="201C1ECA">
      <w:start w:val="1"/>
      <w:numFmt w:val="bullet"/>
      <w:lvlText w:val="o"/>
      <w:lvlJc w:val="left"/>
      <w:pPr>
        <w:ind w:left="3600" w:hanging="360"/>
      </w:pPr>
      <w:rPr>
        <w:rFonts w:ascii="Courier New" w:hAnsi="Courier New" w:hint="default"/>
      </w:rPr>
    </w:lvl>
    <w:lvl w:ilvl="5" w:tplc="A78E5FC6">
      <w:start w:val="1"/>
      <w:numFmt w:val="bullet"/>
      <w:lvlText w:val=""/>
      <w:lvlJc w:val="left"/>
      <w:pPr>
        <w:ind w:left="4320" w:hanging="360"/>
      </w:pPr>
      <w:rPr>
        <w:rFonts w:ascii="Wingdings" w:hAnsi="Wingdings" w:hint="default"/>
      </w:rPr>
    </w:lvl>
    <w:lvl w:ilvl="6" w:tplc="8EF616EA">
      <w:start w:val="1"/>
      <w:numFmt w:val="bullet"/>
      <w:lvlText w:val=""/>
      <w:lvlJc w:val="left"/>
      <w:pPr>
        <w:ind w:left="5040" w:hanging="360"/>
      </w:pPr>
      <w:rPr>
        <w:rFonts w:ascii="Symbol" w:hAnsi="Symbol" w:hint="default"/>
      </w:rPr>
    </w:lvl>
    <w:lvl w:ilvl="7" w:tplc="4D784DB4">
      <w:start w:val="1"/>
      <w:numFmt w:val="bullet"/>
      <w:lvlText w:val="o"/>
      <w:lvlJc w:val="left"/>
      <w:pPr>
        <w:ind w:left="5760" w:hanging="360"/>
      </w:pPr>
      <w:rPr>
        <w:rFonts w:ascii="Courier New" w:hAnsi="Courier New" w:hint="default"/>
      </w:rPr>
    </w:lvl>
    <w:lvl w:ilvl="8" w:tplc="7F960AB8">
      <w:start w:val="1"/>
      <w:numFmt w:val="bullet"/>
      <w:lvlText w:val=""/>
      <w:lvlJc w:val="left"/>
      <w:pPr>
        <w:ind w:left="6480" w:hanging="360"/>
      </w:pPr>
      <w:rPr>
        <w:rFonts w:ascii="Wingdings" w:hAnsi="Wingdings" w:hint="default"/>
      </w:rPr>
    </w:lvl>
  </w:abstractNum>
  <w:abstractNum w:abstractNumId="37" w15:restartNumberingAfterBreak="0">
    <w:nsid w:val="494E7C39"/>
    <w:multiLevelType w:val="hybridMultilevel"/>
    <w:tmpl w:val="CD942C8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8" w15:restartNumberingAfterBreak="0">
    <w:nsid w:val="4A137058"/>
    <w:multiLevelType w:val="multilevel"/>
    <w:tmpl w:val="A3B4BBFE"/>
    <w:numStyleLink w:val="AppendixHeadingmaster"/>
  </w:abstractNum>
  <w:abstractNum w:abstractNumId="39" w15:restartNumberingAfterBreak="0">
    <w:nsid w:val="4C807CE7"/>
    <w:multiLevelType w:val="hybridMultilevel"/>
    <w:tmpl w:val="03EA8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E725DF9"/>
    <w:multiLevelType w:val="hybridMultilevel"/>
    <w:tmpl w:val="9A2E4F14"/>
    <w:lvl w:ilvl="0" w:tplc="17A0AA7C">
      <w:start w:val="1"/>
      <w:numFmt w:val="bullet"/>
      <w:lvlText w:val="o"/>
      <w:lvlJc w:val="left"/>
      <w:pPr>
        <w:ind w:left="1080" w:hanging="360"/>
      </w:pPr>
      <w:rPr>
        <w:rFonts w:ascii="Courier New" w:hAnsi="Courier New" w:hint="default"/>
      </w:rPr>
    </w:lvl>
    <w:lvl w:ilvl="1" w:tplc="C5D62F8E">
      <w:start w:val="1"/>
      <w:numFmt w:val="bullet"/>
      <w:lvlText w:val="o"/>
      <w:lvlJc w:val="left"/>
      <w:pPr>
        <w:ind w:left="1800" w:hanging="360"/>
      </w:pPr>
      <w:rPr>
        <w:rFonts w:ascii="Courier New" w:hAnsi="Courier New" w:hint="default"/>
      </w:rPr>
    </w:lvl>
    <w:lvl w:ilvl="2" w:tplc="DABAB12C">
      <w:start w:val="1"/>
      <w:numFmt w:val="bullet"/>
      <w:lvlText w:val=""/>
      <w:lvlJc w:val="left"/>
      <w:pPr>
        <w:ind w:left="2520" w:hanging="360"/>
      </w:pPr>
      <w:rPr>
        <w:rFonts w:ascii="Wingdings" w:hAnsi="Wingdings" w:hint="default"/>
      </w:rPr>
    </w:lvl>
    <w:lvl w:ilvl="3" w:tplc="5CD27DA0">
      <w:start w:val="1"/>
      <w:numFmt w:val="bullet"/>
      <w:lvlText w:val=""/>
      <w:lvlJc w:val="left"/>
      <w:pPr>
        <w:ind w:left="3240" w:hanging="360"/>
      </w:pPr>
      <w:rPr>
        <w:rFonts w:ascii="Symbol" w:hAnsi="Symbol" w:hint="default"/>
      </w:rPr>
    </w:lvl>
    <w:lvl w:ilvl="4" w:tplc="013E1B6A">
      <w:start w:val="1"/>
      <w:numFmt w:val="bullet"/>
      <w:lvlText w:val="o"/>
      <w:lvlJc w:val="left"/>
      <w:pPr>
        <w:ind w:left="3960" w:hanging="360"/>
      </w:pPr>
      <w:rPr>
        <w:rFonts w:ascii="Courier New" w:hAnsi="Courier New" w:hint="default"/>
      </w:rPr>
    </w:lvl>
    <w:lvl w:ilvl="5" w:tplc="136EC77A">
      <w:start w:val="1"/>
      <w:numFmt w:val="bullet"/>
      <w:lvlText w:val=""/>
      <w:lvlJc w:val="left"/>
      <w:pPr>
        <w:ind w:left="4680" w:hanging="360"/>
      </w:pPr>
      <w:rPr>
        <w:rFonts w:ascii="Wingdings" w:hAnsi="Wingdings" w:hint="default"/>
      </w:rPr>
    </w:lvl>
    <w:lvl w:ilvl="6" w:tplc="3CF2846A">
      <w:start w:val="1"/>
      <w:numFmt w:val="bullet"/>
      <w:lvlText w:val=""/>
      <w:lvlJc w:val="left"/>
      <w:pPr>
        <w:ind w:left="5400" w:hanging="360"/>
      </w:pPr>
      <w:rPr>
        <w:rFonts w:ascii="Symbol" w:hAnsi="Symbol" w:hint="default"/>
      </w:rPr>
    </w:lvl>
    <w:lvl w:ilvl="7" w:tplc="448ABB24">
      <w:start w:val="1"/>
      <w:numFmt w:val="bullet"/>
      <w:lvlText w:val="o"/>
      <w:lvlJc w:val="left"/>
      <w:pPr>
        <w:ind w:left="6120" w:hanging="360"/>
      </w:pPr>
      <w:rPr>
        <w:rFonts w:ascii="Courier New" w:hAnsi="Courier New" w:hint="default"/>
      </w:rPr>
    </w:lvl>
    <w:lvl w:ilvl="8" w:tplc="E47AAF34">
      <w:start w:val="1"/>
      <w:numFmt w:val="bullet"/>
      <w:lvlText w:val=""/>
      <w:lvlJc w:val="left"/>
      <w:pPr>
        <w:ind w:left="6840" w:hanging="360"/>
      </w:pPr>
      <w:rPr>
        <w:rFonts w:ascii="Wingdings" w:hAnsi="Wingdings" w:hint="default"/>
      </w:rPr>
    </w:lvl>
  </w:abstractNum>
  <w:abstractNum w:abstractNumId="41" w15:restartNumberingAfterBreak="0">
    <w:nsid w:val="521702E7"/>
    <w:multiLevelType w:val="hybridMultilevel"/>
    <w:tmpl w:val="92EE5C44"/>
    <w:lvl w:ilvl="0" w:tplc="1B1EA876">
      <w:start w:val="1"/>
      <w:numFmt w:val="bullet"/>
      <w:lvlText w:val="·"/>
      <w:lvlJc w:val="left"/>
      <w:pPr>
        <w:ind w:left="720" w:hanging="360"/>
      </w:pPr>
      <w:rPr>
        <w:rFonts w:ascii="Symbol" w:hAnsi="Symbol" w:hint="default"/>
      </w:rPr>
    </w:lvl>
    <w:lvl w:ilvl="1" w:tplc="24F89B28">
      <w:start w:val="1"/>
      <w:numFmt w:val="bullet"/>
      <w:lvlText w:val="o"/>
      <w:lvlJc w:val="left"/>
      <w:pPr>
        <w:ind w:left="1440" w:hanging="360"/>
      </w:pPr>
      <w:rPr>
        <w:rFonts w:ascii="Courier New" w:hAnsi="Courier New" w:hint="default"/>
      </w:rPr>
    </w:lvl>
    <w:lvl w:ilvl="2" w:tplc="E782E564">
      <w:start w:val="1"/>
      <w:numFmt w:val="bullet"/>
      <w:lvlText w:val=""/>
      <w:lvlJc w:val="left"/>
      <w:pPr>
        <w:ind w:left="2160" w:hanging="360"/>
      </w:pPr>
      <w:rPr>
        <w:rFonts w:ascii="Wingdings" w:hAnsi="Wingdings" w:hint="default"/>
      </w:rPr>
    </w:lvl>
    <w:lvl w:ilvl="3" w:tplc="B770CD64">
      <w:start w:val="1"/>
      <w:numFmt w:val="bullet"/>
      <w:lvlText w:val=""/>
      <w:lvlJc w:val="left"/>
      <w:pPr>
        <w:ind w:left="2880" w:hanging="360"/>
      </w:pPr>
      <w:rPr>
        <w:rFonts w:ascii="Symbol" w:hAnsi="Symbol" w:hint="default"/>
      </w:rPr>
    </w:lvl>
    <w:lvl w:ilvl="4" w:tplc="003080E0">
      <w:start w:val="1"/>
      <w:numFmt w:val="bullet"/>
      <w:lvlText w:val="o"/>
      <w:lvlJc w:val="left"/>
      <w:pPr>
        <w:ind w:left="3600" w:hanging="360"/>
      </w:pPr>
      <w:rPr>
        <w:rFonts w:ascii="Courier New" w:hAnsi="Courier New" w:hint="default"/>
      </w:rPr>
    </w:lvl>
    <w:lvl w:ilvl="5" w:tplc="8846686C">
      <w:start w:val="1"/>
      <w:numFmt w:val="bullet"/>
      <w:lvlText w:val=""/>
      <w:lvlJc w:val="left"/>
      <w:pPr>
        <w:ind w:left="4320" w:hanging="360"/>
      </w:pPr>
      <w:rPr>
        <w:rFonts w:ascii="Wingdings" w:hAnsi="Wingdings" w:hint="default"/>
      </w:rPr>
    </w:lvl>
    <w:lvl w:ilvl="6" w:tplc="99363E06">
      <w:start w:val="1"/>
      <w:numFmt w:val="bullet"/>
      <w:lvlText w:val=""/>
      <w:lvlJc w:val="left"/>
      <w:pPr>
        <w:ind w:left="5040" w:hanging="360"/>
      </w:pPr>
      <w:rPr>
        <w:rFonts w:ascii="Symbol" w:hAnsi="Symbol" w:hint="default"/>
      </w:rPr>
    </w:lvl>
    <w:lvl w:ilvl="7" w:tplc="E698F452">
      <w:start w:val="1"/>
      <w:numFmt w:val="bullet"/>
      <w:lvlText w:val="o"/>
      <w:lvlJc w:val="left"/>
      <w:pPr>
        <w:ind w:left="5760" w:hanging="360"/>
      </w:pPr>
      <w:rPr>
        <w:rFonts w:ascii="Courier New" w:hAnsi="Courier New" w:hint="default"/>
      </w:rPr>
    </w:lvl>
    <w:lvl w:ilvl="8" w:tplc="ABE27A4E">
      <w:start w:val="1"/>
      <w:numFmt w:val="bullet"/>
      <w:lvlText w:val=""/>
      <w:lvlJc w:val="left"/>
      <w:pPr>
        <w:ind w:left="6480" w:hanging="360"/>
      </w:pPr>
      <w:rPr>
        <w:rFonts w:ascii="Wingdings" w:hAnsi="Wingdings" w:hint="default"/>
      </w:rPr>
    </w:lvl>
  </w:abstractNum>
  <w:abstractNum w:abstractNumId="42" w15:restartNumberingAfterBreak="0">
    <w:nsid w:val="54F6392A"/>
    <w:multiLevelType w:val="hybridMultilevel"/>
    <w:tmpl w:val="5CB05C6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3" w15:restartNumberingAfterBreak="0">
    <w:nsid w:val="57A51FC2"/>
    <w:multiLevelType w:val="multilevel"/>
    <w:tmpl w:val="49B89FF0"/>
    <w:styleLink w:val="TableListBulletmaster"/>
    <w:lvl w:ilvl="0">
      <w:start w:val="1"/>
      <w:numFmt w:val="bullet"/>
      <w:pStyle w:val="TableListBullet"/>
      <w:lvlText w:val=""/>
      <w:lvlJc w:val="left"/>
      <w:pPr>
        <w:ind w:left="340" w:hanging="283"/>
      </w:pPr>
      <w:rPr>
        <w:rFonts w:ascii="Symbol" w:hAnsi="Symbol" w:hint="default"/>
        <w:color w:val="auto"/>
      </w:rPr>
    </w:lvl>
    <w:lvl w:ilvl="1">
      <w:start w:val="1"/>
      <w:numFmt w:val="bullet"/>
      <w:pStyle w:val="TableListBullet2"/>
      <w:lvlText w:val=""/>
      <w:lvlJc w:val="left"/>
      <w:pPr>
        <w:ind w:left="567" w:hanging="227"/>
      </w:pPr>
      <w:rPr>
        <w:rFonts w:ascii="Wingdings" w:hAnsi="Wingding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D611845"/>
    <w:multiLevelType w:val="multilevel"/>
    <w:tmpl w:val="9A18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F75686B"/>
    <w:multiLevelType w:val="hybridMultilevel"/>
    <w:tmpl w:val="858846EC"/>
    <w:lvl w:ilvl="0" w:tplc="0C090001">
      <w:start w:val="1"/>
      <w:numFmt w:val="bullet"/>
      <w:lvlText w:val=""/>
      <w:lvlJc w:val="left"/>
      <w:pPr>
        <w:ind w:left="531" w:hanging="360"/>
      </w:pPr>
      <w:rPr>
        <w:rFonts w:ascii="Symbol" w:hAnsi="Symbol" w:hint="default"/>
      </w:rPr>
    </w:lvl>
    <w:lvl w:ilvl="1" w:tplc="0C090003">
      <w:start w:val="1"/>
      <w:numFmt w:val="bullet"/>
      <w:lvlText w:val="o"/>
      <w:lvlJc w:val="left"/>
      <w:pPr>
        <w:ind w:left="1251" w:hanging="360"/>
      </w:pPr>
      <w:rPr>
        <w:rFonts w:ascii="Courier New" w:hAnsi="Courier New" w:cs="Courier New" w:hint="default"/>
      </w:rPr>
    </w:lvl>
    <w:lvl w:ilvl="2" w:tplc="0C090005">
      <w:start w:val="1"/>
      <w:numFmt w:val="bullet"/>
      <w:lvlText w:val=""/>
      <w:lvlJc w:val="left"/>
      <w:pPr>
        <w:ind w:left="1971" w:hanging="360"/>
      </w:pPr>
      <w:rPr>
        <w:rFonts w:ascii="Wingdings" w:hAnsi="Wingdings" w:hint="default"/>
      </w:rPr>
    </w:lvl>
    <w:lvl w:ilvl="3" w:tplc="0C090001">
      <w:start w:val="1"/>
      <w:numFmt w:val="bullet"/>
      <w:lvlText w:val=""/>
      <w:lvlJc w:val="left"/>
      <w:pPr>
        <w:ind w:left="2691" w:hanging="360"/>
      </w:pPr>
      <w:rPr>
        <w:rFonts w:ascii="Symbol" w:hAnsi="Symbol" w:hint="default"/>
      </w:rPr>
    </w:lvl>
    <w:lvl w:ilvl="4" w:tplc="0C090003">
      <w:start w:val="1"/>
      <w:numFmt w:val="bullet"/>
      <w:lvlText w:val="o"/>
      <w:lvlJc w:val="left"/>
      <w:pPr>
        <w:ind w:left="3411" w:hanging="360"/>
      </w:pPr>
      <w:rPr>
        <w:rFonts w:ascii="Courier New" w:hAnsi="Courier New" w:cs="Courier New" w:hint="default"/>
      </w:rPr>
    </w:lvl>
    <w:lvl w:ilvl="5" w:tplc="0C090005">
      <w:start w:val="1"/>
      <w:numFmt w:val="bullet"/>
      <w:lvlText w:val=""/>
      <w:lvlJc w:val="left"/>
      <w:pPr>
        <w:ind w:left="4131" w:hanging="360"/>
      </w:pPr>
      <w:rPr>
        <w:rFonts w:ascii="Wingdings" w:hAnsi="Wingdings" w:hint="default"/>
      </w:rPr>
    </w:lvl>
    <w:lvl w:ilvl="6" w:tplc="0C090001">
      <w:start w:val="1"/>
      <w:numFmt w:val="bullet"/>
      <w:lvlText w:val=""/>
      <w:lvlJc w:val="left"/>
      <w:pPr>
        <w:ind w:left="4851" w:hanging="360"/>
      </w:pPr>
      <w:rPr>
        <w:rFonts w:ascii="Symbol" w:hAnsi="Symbol" w:hint="default"/>
      </w:rPr>
    </w:lvl>
    <w:lvl w:ilvl="7" w:tplc="0C090003">
      <w:start w:val="1"/>
      <w:numFmt w:val="bullet"/>
      <w:lvlText w:val="o"/>
      <w:lvlJc w:val="left"/>
      <w:pPr>
        <w:ind w:left="5571" w:hanging="360"/>
      </w:pPr>
      <w:rPr>
        <w:rFonts w:ascii="Courier New" w:hAnsi="Courier New" w:cs="Courier New" w:hint="default"/>
      </w:rPr>
    </w:lvl>
    <w:lvl w:ilvl="8" w:tplc="0C090005">
      <w:start w:val="1"/>
      <w:numFmt w:val="bullet"/>
      <w:lvlText w:val=""/>
      <w:lvlJc w:val="left"/>
      <w:pPr>
        <w:ind w:left="6291" w:hanging="360"/>
      </w:pPr>
      <w:rPr>
        <w:rFonts w:ascii="Wingdings" w:hAnsi="Wingdings" w:hint="default"/>
      </w:rPr>
    </w:lvl>
  </w:abstractNum>
  <w:abstractNum w:abstractNumId="46" w15:restartNumberingAfterBreak="0">
    <w:nsid w:val="60A3140E"/>
    <w:multiLevelType w:val="hybridMultilevel"/>
    <w:tmpl w:val="33B4D820"/>
    <w:lvl w:ilvl="0" w:tplc="AA10AA7E">
      <w:start w:val="1"/>
      <w:numFmt w:val="decimal"/>
      <w:pStyle w:val="Headingcasestudy"/>
      <w:lvlText w:val="Case study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0FC6E78"/>
    <w:multiLevelType w:val="hybridMultilevel"/>
    <w:tmpl w:val="E39A32BE"/>
    <w:lvl w:ilvl="0" w:tplc="0C090001">
      <w:start w:val="1"/>
      <w:numFmt w:val="bullet"/>
      <w:lvlText w:val=""/>
      <w:lvlJc w:val="left"/>
      <w:pPr>
        <w:ind w:left="1051" w:hanging="360"/>
      </w:pPr>
      <w:rPr>
        <w:rFonts w:ascii="Symbol" w:hAnsi="Symbol" w:hint="default"/>
      </w:rPr>
    </w:lvl>
    <w:lvl w:ilvl="1" w:tplc="FFFFFFFF">
      <w:start w:val="1"/>
      <w:numFmt w:val="bullet"/>
      <w:lvlText w:val="o"/>
      <w:lvlJc w:val="left"/>
      <w:pPr>
        <w:ind w:left="1771" w:hanging="360"/>
      </w:pPr>
      <w:rPr>
        <w:rFonts w:ascii="Courier New" w:hAnsi="Courier New" w:cs="Courier New" w:hint="default"/>
      </w:rPr>
    </w:lvl>
    <w:lvl w:ilvl="2" w:tplc="FFFFFFFF">
      <w:start w:val="1"/>
      <w:numFmt w:val="bullet"/>
      <w:lvlText w:val=""/>
      <w:lvlJc w:val="left"/>
      <w:pPr>
        <w:ind w:left="2491" w:hanging="360"/>
      </w:pPr>
      <w:rPr>
        <w:rFonts w:ascii="Wingdings" w:hAnsi="Wingdings" w:hint="default"/>
      </w:rPr>
    </w:lvl>
    <w:lvl w:ilvl="3" w:tplc="FFFFFFFF">
      <w:start w:val="1"/>
      <w:numFmt w:val="bullet"/>
      <w:lvlText w:val=""/>
      <w:lvlJc w:val="left"/>
      <w:pPr>
        <w:ind w:left="3211" w:hanging="360"/>
      </w:pPr>
      <w:rPr>
        <w:rFonts w:ascii="Symbol" w:hAnsi="Symbol" w:hint="default"/>
      </w:rPr>
    </w:lvl>
    <w:lvl w:ilvl="4" w:tplc="FFFFFFFF">
      <w:start w:val="1"/>
      <w:numFmt w:val="bullet"/>
      <w:lvlText w:val="o"/>
      <w:lvlJc w:val="left"/>
      <w:pPr>
        <w:ind w:left="3931" w:hanging="360"/>
      </w:pPr>
      <w:rPr>
        <w:rFonts w:ascii="Courier New" w:hAnsi="Courier New" w:cs="Courier New" w:hint="default"/>
      </w:rPr>
    </w:lvl>
    <w:lvl w:ilvl="5" w:tplc="FFFFFFFF">
      <w:start w:val="1"/>
      <w:numFmt w:val="bullet"/>
      <w:lvlText w:val=""/>
      <w:lvlJc w:val="left"/>
      <w:pPr>
        <w:ind w:left="4651" w:hanging="360"/>
      </w:pPr>
      <w:rPr>
        <w:rFonts w:ascii="Wingdings" w:hAnsi="Wingdings" w:hint="default"/>
      </w:rPr>
    </w:lvl>
    <w:lvl w:ilvl="6" w:tplc="FFFFFFFF">
      <w:start w:val="1"/>
      <w:numFmt w:val="bullet"/>
      <w:lvlText w:val=""/>
      <w:lvlJc w:val="left"/>
      <w:pPr>
        <w:ind w:left="5371" w:hanging="360"/>
      </w:pPr>
      <w:rPr>
        <w:rFonts w:ascii="Symbol" w:hAnsi="Symbol" w:hint="default"/>
      </w:rPr>
    </w:lvl>
    <w:lvl w:ilvl="7" w:tplc="FFFFFFFF">
      <w:start w:val="1"/>
      <w:numFmt w:val="bullet"/>
      <w:lvlText w:val="o"/>
      <w:lvlJc w:val="left"/>
      <w:pPr>
        <w:ind w:left="6091" w:hanging="360"/>
      </w:pPr>
      <w:rPr>
        <w:rFonts w:ascii="Courier New" w:hAnsi="Courier New" w:cs="Courier New" w:hint="default"/>
      </w:rPr>
    </w:lvl>
    <w:lvl w:ilvl="8" w:tplc="FFFFFFFF">
      <w:start w:val="1"/>
      <w:numFmt w:val="bullet"/>
      <w:lvlText w:val=""/>
      <w:lvlJc w:val="left"/>
      <w:pPr>
        <w:ind w:left="6811" w:hanging="360"/>
      </w:pPr>
      <w:rPr>
        <w:rFonts w:ascii="Wingdings" w:hAnsi="Wingdings" w:hint="default"/>
      </w:rPr>
    </w:lvl>
  </w:abstractNum>
  <w:abstractNum w:abstractNumId="48" w15:restartNumberingAfterBreak="0">
    <w:nsid w:val="61F36729"/>
    <w:multiLevelType w:val="hybridMultilevel"/>
    <w:tmpl w:val="A51CB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0C06FC"/>
    <w:multiLevelType w:val="hybridMultilevel"/>
    <w:tmpl w:val="FFFFFFFF"/>
    <w:lvl w:ilvl="0" w:tplc="57A49054">
      <w:start w:val="1"/>
      <w:numFmt w:val="bullet"/>
      <w:lvlText w:val=""/>
      <w:lvlJc w:val="left"/>
      <w:pPr>
        <w:ind w:left="720" w:hanging="360"/>
      </w:pPr>
      <w:rPr>
        <w:rFonts w:ascii="Symbol" w:hAnsi="Symbol" w:hint="default"/>
      </w:rPr>
    </w:lvl>
    <w:lvl w:ilvl="1" w:tplc="6464EEF0">
      <w:start w:val="1"/>
      <w:numFmt w:val="bullet"/>
      <w:lvlText w:val="o"/>
      <w:lvlJc w:val="left"/>
      <w:pPr>
        <w:ind w:left="1440" w:hanging="360"/>
      </w:pPr>
      <w:rPr>
        <w:rFonts w:ascii="Courier New" w:hAnsi="Courier New" w:hint="default"/>
      </w:rPr>
    </w:lvl>
    <w:lvl w:ilvl="2" w:tplc="233E521A">
      <w:start w:val="1"/>
      <w:numFmt w:val="bullet"/>
      <w:lvlText w:val=""/>
      <w:lvlJc w:val="left"/>
      <w:pPr>
        <w:ind w:left="2160" w:hanging="360"/>
      </w:pPr>
      <w:rPr>
        <w:rFonts w:ascii="Wingdings" w:hAnsi="Wingdings" w:hint="default"/>
      </w:rPr>
    </w:lvl>
    <w:lvl w:ilvl="3" w:tplc="0F0C8B06">
      <w:start w:val="1"/>
      <w:numFmt w:val="bullet"/>
      <w:lvlText w:val=""/>
      <w:lvlJc w:val="left"/>
      <w:pPr>
        <w:ind w:left="2880" w:hanging="360"/>
      </w:pPr>
      <w:rPr>
        <w:rFonts w:ascii="Symbol" w:hAnsi="Symbol" w:hint="default"/>
      </w:rPr>
    </w:lvl>
    <w:lvl w:ilvl="4" w:tplc="FC5E4616">
      <w:start w:val="1"/>
      <w:numFmt w:val="bullet"/>
      <w:lvlText w:val="o"/>
      <w:lvlJc w:val="left"/>
      <w:pPr>
        <w:ind w:left="3600" w:hanging="360"/>
      </w:pPr>
      <w:rPr>
        <w:rFonts w:ascii="Courier New" w:hAnsi="Courier New" w:hint="default"/>
      </w:rPr>
    </w:lvl>
    <w:lvl w:ilvl="5" w:tplc="1C122FEE">
      <w:start w:val="1"/>
      <w:numFmt w:val="bullet"/>
      <w:lvlText w:val=""/>
      <w:lvlJc w:val="left"/>
      <w:pPr>
        <w:ind w:left="4320" w:hanging="360"/>
      </w:pPr>
      <w:rPr>
        <w:rFonts w:ascii="Wingdings" w:hAnsi="Wingdings" w:hint="default"/>
      </w:rPr>
    </w:lvl>
    <w:lvl w:ilvl="6" w:tplc="100C07D0">
      <w:start w:val="1"/>
      <w:numFmt w:val="bullet"/>
      <w:lvlText w:val=""/>
      <w:lvlJc w:val="left"/>
      <w:pPr>
        <w:ind w:left="5040" w:hanging="360"/>
      </w:pPr>
      <w:rPr>
        <w:rFonts w:ascii="Symbol" w:hAnsi="Symbol" w:hint="default"/>
      </w:rPr>
    </w:lvl>
    <w:lvl w:ilvl="7" w:tplc="FAC05BB0">
      <w:start w:val="1"/>
      <w:numFmt w:val="bullet"/>
      <w:lvlText w:val="o"/>
      <w:lvlJc w:val="left"/>
      <w:pPr>
        <w:ind w:left="5760" w:hanging="360"/>
      </w:pPr>
      <w:rPr>
        <w:rFonts w:ascii="Courier New" w:hAnsi="Courier New" w:hint="default"/>
      </w:rPr>
    </w:lvl>
    <w:lvl w:ilvl="8" w:tplc="EE1C5CD4">
      <w:start w:val="1"/>
      <w:numFmt w:val="bullet"/>
      <w:lvlText w:val=""/>
      <w:lvlJc w:val="left"/>
      <w:pPr>
        <w:ind w:left="6480" w:hanging="360"/>
      </w:pPr>
      <w:rPr>
        <w:rFonts w:ascii="Wingdings" w:hAnsi="Wingdings" w:hint="default"/>
      </w:rPr>
    </w:lvl>
  </w:abstractNum>
  <w:abstractNum w:abstractNumId="50" w15:restartNumberingAfterBreak="0">
    <w:nsid w:val="648E6CBA"/>
    <w:multiLevelType w:val="multilevel"/>
    <w:tmpl w:val="54DAB268"/>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Wingdings" w:hAnsi="Wingdings" w:hint="default"/>
        <w:color w:val="auto"/>
      </w:rPr>
    </w:lvl>
    <w:lvl w:ilvl="2">
      <w:start w:val="1"/>
      <w:numFmt w:val="bullet"/>
      <w:lvlText w:val=""/>
      <w:lvlJc w:val="left"/>
      <w:pPr>
        <w:ind w:left="1072" w:hanging="35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5A905A7"/>
    <w:multiLevelType w:val="hybridMultilevel"/>
    <w:tmpl w:val="FFFFFFFF"/>
    <w:lvl w:ilvl="0" w:tplc="49768AFE">
      <w:start w:val="1"/>
      <w:numFmt w:val="bullet"/>
      <w:lvlText w:val=""/>
      <w:lvlJc w:val="left"/>
      <w:pPr>
        <w:ind w:left="720" w:hanging="360"/>
      </w:pPr>
      <w:rPr>
        <w:rFonts w:ascii="Symbol" w:hAnsi="Symbol" w:hint="default"/>
      </w:rPr>
    </w:lvl>
    <w:lvl w:ilvl="1" w:tplc="B41C4914">
      <w:start w:val="1"/>
      <w:numFmt w:val="bullet"/>
      <w:lvlText w:val="o"/>
      <w:lvlJc w:val="left"/>
      <w:pPr>
        <w:ind w:left="1440" w:hanging="360"/>
      </w:pPr>
      <w:rPr>
        <w:rFonts w:ascii="Courier New" w:hAnsi="Courier New" w:hint="default"/>
      </w:rPr>
    </w:lvl>
    <w:lvl w:ilvl="2" w:tplc="11309EDC">
      <w:start w:val="1"/>
      <w:numFmt w:val="bullet"/>
      <w:lvlText w:val=""/>
      <w:lvlJc w:val="left"/>
      <w:pPr>
        <w:ind w:left="2160" w:hanging="360"/>
      </w:pPr>
      <w:rPr>
        <w:rFonts w:ascii="Wingdings" w:hAnsi="Wingdings" w:hint="default"/>
      </w:rPr>
    </w:lvl>
    <w:lvl w:ilvl="3" w:tplc="F56CD05A">
      <w:start w:val="1"/>
      <w:numFmt w:val="bullet"/>
      <w:lvlText w:val=""/>
      <w:lvlJc w:val="left"/>
      <w:pPr>
        <w:ind w:left="2880" w:hanging="360"/>
      </w:pPr>
      <w:rPr>
        <w:rFonts w:ascii="Symbol" w:hAnsi="Symbol" w:hint="default"/>
      </w:rPr>
    </w:lvl>
    <w:lvl w:ilvl="4" w:tplc="857C7108">
      <w:start w:val="1"/>
      <w:numFmt w:val="bullet"/>
      <w:lvlText w:val="o"/>
      <w:lvlJc w:val="left"/>
      <w:pPr>
        <w:ind w:left="3600" w:hanging="360"/>
      </w:pPr>
      <w:rPr>
        <w:rFonts w:ascii="Courier New" w:hAnsi="Courier New" w:hint="default"/>
      </w:rPr>
    </w:lvl>
    <w:lvl w:ilvl="5" w:tplc="B7C6AF0E">
      <w:start w:val="1"/>
      <w:numFmt w:val="bullet"/>
      <w:lvlText w:val=""/>
      <w:lvlJc w:val="left"/>
      <w:pPr>
        <w:ind w:left="4320" w:hanging="360"/>
      </w:pPr>
      <w:rPr>
        <w:rFonts w:ascii="Wingdings" w:hAnsi="Wingdings" w:hint="default"/>
      </w:rPr>
    </w:lvl>
    <w:lvl w:ilvl="6" w:tplc="48EAA4F8">
      <w:start w:val="1"/>
      <w:numFmt w:val="bullet"/>
      <w:lvlText w:val=""/>
      <w:lvlJc w:val="left"/>
      <w:pPr>
        <w:ind w:left="5040" w:hanging="360"/>
      </w:pPr>
      <w:rPr>
        <w:rFonts w:ascii="Symbol" w:hAnsi="Symbol" w:hint="default"/>
      </w:rPr>
    </w:lvl>
    <w:lvl w:ilvl="7" w:tplc="43E2C5FE">
      <w:start w:val="1"/>
      <w:numFmt w:val="bullet"/>
      <w:lvlText w:val="o"/>
      <w:lvlJc w:val="left"/>
      <w:pPr>
        <w:ind w:left="5760" w:hanging="360"/>
      </w:pPr>
      <w:rPr>
        <w:rFonts w:ascii="Courier New" w:hAnsi="Courier New" w:hint="default"/>
      </w:rPr>
    </w:lvl>
    <w:lvl w:ilvl="8" w:tplc="1DD25320">
      <w:start w:val="1"/>
      <w:numFmt w:val="bullet"/>
      <w:lvlText w:val=""/>
      <w:lvlJc w:val="left"/>
      <w:pPr>
        <w:ind w:left="6480" w:hanging="360"/>
      </w:pPr>
      <w:rPr>
        <w:rFonts w:ascii="Wingdings" w:hAnsi="Wingdings" w:hint="default"/>
      </w:rPr>
    </w:lvl>
  </w:abstractNum>
  <w:abstractNum w:abstractNumId="52" w15:restartNumberingAfterBreak="0">
    <w:nsid w:val="673115D3"/>
    <w:multiLevelType w:val="multilevel"/>
    <w:tmpl w:val="D112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75A435A"/>
    <w:multiLevelType w:val="hybridMultilevel"/>
    <w:tmpl w:val="2BA6E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95E7FC9"/>
    <w:multiLevelType w:val="hybridMultilevel"/>
    <w:tmpl w:val="5B868426"/>
    <w:lvl w:ilvl="0" w:tplc="FFFFFFFF">
      <w:start w:val="1"/>
      <w:numFmt w:val="lowerLetter"/>
      <w:lvlText w:val="(%1)"/>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9E659CA"/>
    <w:multiLevelType w:val="hybridMultilevel"/>
    <w:tmpl w:val="54DAB268"/>
    <w:numStyleLink w:val="ListBulletmaster"/>
  </w:abstractNum>
  <w:abstractNum w:abstractNumId="56" w15:restartNumberingAfterBreak="0">
    <w:nsid w:val="6C1956C0"/>
    <w:multiLevelType w:val="hybridMultilevel"/>
    <w:tmpl w:val="92B83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D1E6C43"/>
    <w:multiLevelType w:val="hybridMultilevel"/>
    <w:tmpl w:val="7616B094"/>
    <w:lvl w:ilvl="0" w:tplc="0C090005">
      <w:start w:val="1"/>
      <w:numFmt w:val="bullet"/>
      <w:lvlText w:val=""/>
      <w:lvlJc w:val="left"/>
      <w:pPr>
        <w:ind w:left="1051" w:hanging="360"/>
      </w:pPr>
      <w:rPr>
        <w:rFonts w:ascii="Wingdings" w:hAnsi="Wingdings" w:hint="default"/>
      </w:rPr>
    </w:lvl>
    <w:lvl w:ilvl="1" w:tplc="FFFFFFFF">
      <w:start w:val="1"/>
      <w:numFmt w:val="bullet"/>
      <w:lvlText w:val="o"/>
      <w:lvlJc w:val="left"/>
      <w:pPr>
        <w:ind w:left="1771" w:hanging="360"/>
      </w:pPr>
      <w:rPr>
        <w:rFonts w:ascii="Courier New" w:hAnsi="Courier New" w:cs="Courier New" w:hint="default"/>
      </w:rPr>
    </w:lvl>
    <w:lvl w:ilvl="2" w:tplc="FFFFFFFF">
      <w:start w:val="1"/>
      <w:numFmt w:val="bullet"/>
      <w:lvlText w:val=""/>
      <w:lvlJc w:val="left"/>
      <w:pPr>
        <w:ind w:left="2491" w:hanging="360"/>
      </w:pPr>
      <w:rPr>
        <w:rFonts w:ascii="Wingdings" w:hAnsi="Wingdings" w:hint="default"/>
      </w:rPr>
    </w:lvl>
    <w:lvl w:ilvl="3" w:tplc="FFFFFFFF">
      <w:start w:val="1"/>
      <w:numFmt w:val="bullet"/>
      <w:lvlText w:val=""/>
      <w:lvlJc w:val="left"/>
      <w:pPr>
        <w:ind w:left="3211" w:hanging="360"/>
      </w:pPr>
      <w:rPr>
        <w:rFonts w:ascii="Symbol" w:hAnsi="Symbol" w:hint="default"/>
      </w:rPr>
    </w:lvl>
    <w:lvl w:ilvl="4" w:tplc="FFFFFFFF">
      <w:start w:val="1"/>
      <w:numFmt w:val="bullet"/>
      <w:lvlText w:val="o"/>
      <w:lvlJc w:val="left"/>
      <w:pPr>
        <w:ind w:left="3931" w:hanging="360"/>
      </w:pPr>
      <w:rPr>
        <w:rFonts w:ascii="Courier New" w:hAnsi="Courier New" w:cs="Courier New" w:hint="default"/>
      </w:rPr>
    </w:lvl>
    <w:lvl w:ilvl="5" w:tplc="FFFFFFFF">
      <w:start w:val="1"/>
      <w:numFmt w:val="bullet"/>
      <w:lvlText w:val=""/>
      <w:lvlJc w:val="left"/>
      <w:pPr>
        <w:ind w:left="4651" w:hanging="360"/>
      </w:pPr>
      <w:rPr>
        <w:rFonts w:ascii="Wingdings" w:hAnsi="Wingdings" w:hint="default"/>
      </w:rPr>
    </w:lvl>
    <w:lvl w:ilvl="6" w:tplc="FFFFFFFF">
      <w:start w:val="1"/>
      <w:numFmt w:val="bullet"/>
      <w:lvlText w:val=""/>
      <w:lvlJc w:val="left"/>
      <w:pPr>
        <w:ind w:left="5371" w:hanging="360"/>
      </w:pPr>
      <w:rPr>
        <w:rFonts w:ascii="Symbol" w:hAnsi="Symbol" w:hint="default"/>
      </w:rPr>
    </w:lvl>
    <w:lvl w:ilvl="7" w:tplc="FFFFFFFF">
      <w:start w:val="1"/>
      <w:numFmt w:val="bullet"/>
      <w:lvlText w:val="o"/>
      <w:lvlJc w:val="left"/>
      <w:pPr>
        <w:ind w:left="6091" w:hanging="360"/>
      </w:pPr>
      <w:rPr>
        <w:rFonts w:ascii="Courier New" w:hAnsi="Courier New" w:cs="Courier New" w:hint="default"/>
      </w:rPr>
    </w:lvl>
    <w:lvl w:ilvl="8" w:tplc="FFFFFFFF">
      <w:start w:val="1"/>
      <w:numFmt w:val="bullet"/>
      <w:lvlText w:val=""/>
      <w:lvlJc w:val="left"/>
      <w:pPr>
        <w:ind w:left="6811" w:hanging="360"/>
      </w:pPr>
      <w:rPr>
        <w:rFonts w:ascii="Wingdings" w:hAnsi="Wingdings" w:hint="default"/>
      </w:rPr>
    </w:lvl>
  </w:abstractNum>
  <w:abstractNum w:abstractNumId="58" w15:restartNumberingAfterBreak="0">
    <w:nsid w:val="742499ED"/>
    <w:multiLevelType w:val="hybridMultilevel"/>
    <w:tmpl w:val="1736C058"/>
    <w:lvl w:ilvl="0" w:tplc="9ED24CE6">
      <w:start w:val="1"/>
      <w:numFmt w:val="bullet"/>
      <w:lvlText w:val="o"/>
      <w:lvlJc w:val="left"/>
      <w:pPr>
        <w:ind w:left="1080" w:hanging="360"/>
      </w:pPr>
      <w:rPr>
        <w:rFonts w:ascii="Courier New" w:hAnsi="Courier New" w:hint="default"/>
      </w:rPr>
    </w:lvl>
    <w:lvl w:ilvl="1" w:tplc="A83EF106">
      <w:start w:val="1"/>
      <w:numFmt w:val="bullet"/>
      <w:lvlText w:val="o"/>
      <w:lvlJc w:val="left"/>
      <w:pPr>
        <w:ind w:left="1800" w:hanging="360"/>
      </w:pPr>
      <w:rPr>
        <w:rFonts w:ascii="Courier New" w:hAnsi="Courier New" w:hint="default"/>
      </w:rPr>
    </w:lvl>
    <w:lvl w:ilvl="2" w:tplc="0A40A584">
      <w:start w:val="1"/>
      <w:numFmt w:val="bullet"/>
      <w:lvlText w:val=""/>
      <w:lvlJc w:val="left"/>
      <w:pPr>
        <w:ind w:left="2520" w:hanging="360"/>
      </w:pPr>
      <w:rPr>
        <w:rFonts w:ascii="Wingdings" w:hAnsi="Wingdings" w:hint="default"/>
      </w:rPr>
    </w:lvl>
    <w:lvl w:ilvl="3" w:tplc="25F21566">
      <w:start w:val="1"/>
      <w:numFmt w:val="bullet"/>
      <w:lvlText w:val=""/>
      <w:lvlJc w:val="left"/>
      <w:pPr>
        <w:ind w:left="3240" w:hanging="360"/>
      </w:pPr>
      <w:rPr>
        <w:rFonts w:ascii="Symbol" w:hAnsi="Symbol" w:hint="default"/>
      </w:rPr>
    </w:lvl>
    <w:lvl w:ilvl="4" w:tplc="685E4B02">
      <w:start w:val="1"/>
      <w:numFmt w:val="bullet"/>
      <w:lvlText w:val="o"/>
      <w:lvlJc w:val="left"/>
      <w:pPr>
        <w:ind w:left="3960" w:hanging="360"/>
      </w:pPr>
      <w:rPr>
        <w:rFonts w:ascii="Courier New" w:hAnsi="Courier New" w:hint="default"/>
      </w:rPr>
    </w:lvl>
    <w:lvl w:ilvl="5" w:tplc="0570FD1A">
      <w:start w:val="1"/>
      <w:numFmt w:val="bullet"/>
      <w:lvlText w:val=""/>
      <w:lvlJc w:val="left"/>
      <w:pPr>
        <w:ind w:left="4680" w:hanging="360"/>
      </w:pPr>
      <w:rPr>
        <w:rFonts w:ascii="Wingdings" w:hAnsi="Wingdings" w:hint="default"/>
      </w:rPr>
    </w:lvl>
    <w:lvl w:ilvl="6" w:tplc="742AF822">
      <w:start w:val="1"/>
      <w:numFmt w:val="bullet"/>
      <w:lvlText w:val=""/>
      <w:lvlJc w:val="left"/>
      <w:pPr>
        <w:ind w:left="5400" w:hanging="360"/>
      </w:pPr>
      <w:rPr>
        <w:rFonts w:ascii="Symbol" w:hAnsi="Symbol" w:hint="default"/>
      </w:rPr>
    </w:lvl>
    <w:lvl w:ilvl="7" w:tplc="F9CEF39E">
      <w:start w:val="1"/>
      <w:numFmt w:val="bullet"/>
      <w:lvlText w:val="o"/>
      <w:lvlJc w:val="left"/>
      <w:pPr>
        <w:ind w:left="6120" w:hanging="360"/>
      </w:pPr>
      <w:rPr>
        <w:rFonts w:ascii="Courier New" w:hAnsi="Courier New" w:hint="default"/>
      </w:rPr>
    </w:lvl>
    <w:lvl w:ilvl="8" w:tplc="B972E8C0">
      <w:start w:val="1"/>
      <w:numFmt w:val="bullet"/>
      <w:lvlText w:val=""/>
      <w:lvlJc w:val="left"/>
      <w:pPr>
        <w:ind w:left="6840" w:hanging="360"/>
      </w:pPr>
      <w:rPr>
        <w:rFonts w:ascii="Wingdings" w:hAnsi="Wingdings" w:hint="default"/>
      </w:rPr>
    </w:lvl>
  </w:abstractNum>
  <w:abstractNum w:abstractNumId="59" w15:restartNumberingAfterBreak="0">
    <w:nsid w:val="754E7F04"/>
    <w:multiLevelType w:val="multilevel"/>
    <w:tmpl w:val="A3BCDDE8"/>
    <w:numStyleLink w:val="NoteHeadingmaster"/>
  </w:abstractNum>
  <w:abstractNum w:abstractNumId="60" w15:restartNumberingAfterBreak="0">
    <w:nsid w:val="7974E0DA"/>
    <w:multiLevelType w:val="hybridMultilevel"/>
    <w:tmpl w:val="AB78B794"/>
    <w:lvl w:ilvl="0" w:tplc="2656171E">
      <w:start w:val="1"/>
      <w:numFmt w:val="bullet"/>
      <w:lvlText w:val="o"/>
      <w:lvlJc w:val="left"/>
      <w:pPr>
        <w:ind w:left="1080" w:hanging="360"/>
      </w:pPr>
      <w:rPr>
        <w:rFonts w:ascii="Courier New" w:hAnsi="Courier New" w:hint="default"/>
      </w:rPr>
    </w:lvl>
    <w:lvl w:ilvl="1" w:tplc="5D54B536">
      <w:start w:val="1"/>
      <w:numFmt w:val="bullet"/>
      <w:lvlText w:val="o"/>
      <w:lvlJc w:val="left"/>
      <w:pPr>
        <w:ind w:left="1800" w:hanging="360"/>
      </w:pPr>
      <w:rPr>
        <w:rFonts w:ascii="Courier New" w:hAnsi="Courier New" w:hint="default"/>
      </w:rPr>
    </w:lvl>
    <w:lvl w:ilvl="2" w:tplc="8B6AC824">
      <w:start w:val="1"/>
      <w:numFmt w:val="bullet"/>
      <w:lvlText w:val=""/>
      <w:lvlJc w:val="left"/>
      <w:pPr>
        <w:ind w:left="2520" w:hanging="360"/>
      </w:pPr>
      <w:rPr>
        <w:rFonts w:ascii="Wingdings" w:hAnsi="Wingdings" w:hint="default"/>
      </w:rPr>
    </w:lvl>
    <w:lvl w:ilvl="3" w:tplc="A5BEEDCE">
      <w:start w:val="1"/>
      <w:numFmt w:val="bullet"/>
      <w:lvlText w:val=""/>
      <w:lvlJc w:val="left"/>
      <w:pPr>
        <w:ind w:left="3240" w:hanging="360"/>
      </w:pPr>
      <w:rPr>
        <w:rFonts w:ascii="Symbol" w:hAnsi="Symbol" w:hint="default"/>
      </w:rPr>
    </w:lvl>
    <w:lvl w:ilvl="4" w:tplc="BA969914">
      <w:start w:val="1"/>
      <w:numFmt w:val="bullet"/>
      <w:lvlText w:val="o"/>
      <w:lvlJc w:val="left"/>
      <w:pPr>
        <w:ind w:left="3960" w:hanging="360"/>
      </w:pPr>
      <w:rPr>
        <w:rFonts w:ascii="Courier New" w:hAnsi="Courier New" w:hint="default"/>
      </w:rPr>
    </w:lvl>
    <w:lvl w:ilvl="5" w:tplc="3980340C">
      <w:start w:val="1"/>
      <w:numFmt w:val="bullet"/>
      <w:lvlText w:val=""/>
      <w:lvlJc w:val="left"/>
      <w:pPr>
        <w:ind w:left="4680" w:hanging="360"/>
      </w:pPr>
      <w:rPr>
        <w:rFonts w:ascii="Wingdings" w:hAnsi="Wingdings" w:hint="default"/>
      </w:rPr>
    </w:lvl>
    <w:lvl w:ilvl="6" w:tplc="020CCF7E">
      <w:start w:val="1"/>
      <w:numFmt w:val="bullet"/>
      <w:lvlText w:val=""/>
      <w:lvlJc w:val="left"/>
      <w:pPr>
        <w:ind w:left="5400" w:hanging="360"/>
      </w:pPr>
      <w:rPr>
        <w:rFonts w:ascii="Symbol" w:hAnsi="Symbol" w:hint="default"/>
      </w:rPr>
    </w:lvl>
    <w:lvl w:ilvl="7" w:tplc="9CFA91CA">
      <w:start w:val="1"/>
      <w:numFmt w:val="bullet"/>
      <w:lvlText w:val="o"/>
      <w:lvlJc w:val="left"/>
      <w:pPr>
        <w:ind w:left="6120" w:hanging="360"/>
      </w:pPr>
      <w:rPr>
        <w:rFonts w:ascii="Courier New" w:hAnsi="Courier New" w:hint="default"/>
      </w:rPr>
    </w:lvl>
    <w:lvl w:ilvl="8" w:tplc="769E3186">
      <w:start w:val="1"/>
      <w:numFmt w:val="bullet"/>
      <w:lvlText w:val=""/>
      <w:lvlJc w:val="left"/>
      <w:pPr>
        <w:ind w:left="6840" w:hanging="360"/>
      </w:pPr>
      <w:rPr>
        <w:rFonts w:ascii="Wingdings" w:hAnsi="Wingdings" w:hint="default"/>
      </w:rPr>
    </w:lvl>
  </w:abstractNum>
  <w:abstractNum w:abstractNumId="61" w15:restartNumberingAfterBreak="0">
    <w:nsid w:val="7A503053"/>
    <w:multiLevelType w:val="hybridMultilevel"/>
    <w:tmpl w:val="56402B5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A5D0F6F"/>
    <w:multiLevelType w:val="hybridMultilevel"/>
    <w:tmpl w:val="19145ED8"/>
    <w:lvl w:ilvl="0" w:tplc="0C090001">
      <w:start w:val="1"/>
      <w:numFmt w:val="bullet"/>
      <w:lvlText w:val=""/>
      <w:lvlJc w:val="left"/>
      <w:pPr>
        <w:ind w:left="1051" w:hanging="360"/>
      </w:pPr>
      <w:rPr>
        <w:rFonts w:ascii="Symbol" w:hAnsi="Symbol" w:hint="default"/>
      </w:rPr>
    </w:lvl>
    <w:lvl w:ilvl="1" w:tplc="0C090005">
      <w:start w:val="1"/>
      <w:numFmt w:val="bullet"/>
      <w:lvlText w:val=""/>
      <w:lvlJc w:val="left"/>
      <w:pPr>
        <w:ind w:left="1051" w:hanging="360"/>
      </w:pPr>
      <w:rPr>
        <w:rFonts w:ascii="Wingdings" w:hAnsi="Wingdings" w:hint="default"/>
      </w:rPr>
    </w:lvl>
    <w:lvl w:ilvl="2" w:tplc="0C090005">
      <w:start w:val="1"/>
      <w:numFmt w:val="bullet"/>
      <w:lvlText w:val=""/>
      <w:lvlJc w:val="left"/>
      <w:pPr>
        <w:ind w:left="2491" w:hanging="360"/>
      </w:pPr>
      <w:rPr>
        <w:rFonts w:ascii="Wingdings" w:hAnsi="Wingdings" w:hint="default"/>
      </w:rPr>
    </w:lvl>
    <w:lvl w:ilvl="3" w:tplc="0C090001">
      <w:start w:val="1"/>
      <w:numFmt w:val="bullet"/>
      <w:lvlText w:val=""/>
      <w:lvlJc w:val="left"/>
      <w:pPr>
        <w:ind w:left="3211" w:hanging="360"/>
      </w:pPr>
      <w:rPr>
        <w:rFonts w:ascii="Symbol" w:hAnsi="Symbol" w:hint="default"/>
      </w:rPr>
    </w:lvl>
    <w:lvl w:ilvl="4" w:tplc="0C090003">
      <w:start w:val="1"/>
      <w:numFmt w:val="bullet"/>
      <w:lvlText w:val="o"/>
      <w:lvlJc w:val="left"/>
      <w:pPr>
        <w:ind w:left="3931" w:hanging="360"/>
      </w:pPr>
      <w:rPr>
        <w:rFonts w:ascii="Courier New" w:hAnsi="Courier New" w:cs="Courier New" w:hint="default"/>
      </w:rPr>
    </w:lvl>
    <w:lvl w:ilvl="5" w:tplc="0C090005">
      <w:start w:val="1"/>
      <w:numFmt w:val="bullet"/>
      <w:lvlText w:val=""/>
      <w:lvlJc w:val="left"/>
      <w:pPr>
        <w:ind w:left="4651" w:hanging="360"/>
      </w:pPr>
      <w:rPr>
        <w:rFonts w:ascii="Wingdings" w:hAnsi="Wingdings" w:hint="default"/>
      </w:rPr>
    </w:lvl>
    <w:lvl w:ilvl="6" w:tplc="0C090001">
      <w:start w:val="1"/>
      <w:numFmt w:val="bullet"/>
      <w:lvlText w:val=""/>
      <w:lvlJc w:val="left"/>
      <w:pPr>
        <w:ind w:left="5371" w:hanging="360"/>
      </w:pPr>
      <w:rPr>
        <w:rFonts w:ascii="Symbol" w:hAnsi="Symbol" w:hint="default"/>
      </w:rPr>
    </w:lvl>
    <w:lvl w:ilvl="7" w:tplc="0C090003">
      <w:start w:val="1"/>
      <w:numFmt w:val="bullet"/>
      <w:lvlText w:val="o"/>
      <w:lvlJc w:val="left"/>
      <w:pPr>
        <w:ind w:left="6091" w:hanging="360"/>
      </w:pPr>
      <w:rPr>
        <w:rFonts w:ascii="Courier New" w:hAnsi="Courier New" w:cs="Courier New" w:hint="default"/>
      </w:rPr>
    </w:lvl>
    <w:lvl w:ilvl="8" w:tplc="0C090005">
      <w:start w:val="1"/>
      <w:numFmt w:val="bullet"/>
      <w:lvlText w:val=""/>
      <w:lvlJc w:val="left"/>
      <w:pPr>
        <w:ind w:left="6811" w:hanging="360"/>
      </w:pPr>
      <w:rPr>
        <w:rFonts w:ascii="Wingdings" w:hAnsi="Wingdings" w:hint="default"/>
      </w:rPr>
    </w:lvl>
  </w:abstractNum>
  <w:abstractNum w:abstractNumId="63" w15:restartNumberingAfterBreak="0">
    <w:nsid w:val="7ABEEE82"/>
    <w:multiLevelType w:val="hybridMultilevel"/>
    <w:tmpl w:val="72C8ECAA"/>
    <w:lvl w:ilvl="0" w:tplc="C1CA0ACC">
      <w:start w:val="1"/>
      <w:numFmt w:val="bullet"/>
      <w:lvlText w:val="·"/>
      <w:lvlJc w:val="left"/>
      <w:pPr>
        <w:ind w:left="720" w:hanging="360"/>
      </w:pPr>
      <w:rPr>
        <w:rFonts w:ascii="Symbol" w:hAnsi="Symbol" w:hint="default"/>
      </w:rPr>
    </w:lvl>
    <w:lvl w:ilvl="1" w:tplc="8C4EEF1C">
      <w:start w:val="1"/>
      <w:numFmt w:val="bullet"/>
      <w:lvlText w:val="o"/>
      <w:lvlJc w:val="left"/>
      <w:pPr>
        <w:ind w:left="1440" w:hanging="360"/>
      </w:pPr>
      <w:rPr>
        <w:rFonts w:ascii="Courier New" w:hAnsi="Courier New" w:hint="default"/>
      </w:rPr>
    </w:lvl>
    <w:lvl w:ilvl="2" w:tplc="AD867472">
      <w:start w:val="1"/>
      <w:numFmt w:val="bullet"/>
      <w:lvlText w:val=""/>
      <w:lvlJc w:val="left"/>
      <w:pPr>
        <w:ind w:left="2160" w:hanging="360"/>
      </w:pPr>
      <w:rPr>
        <w:rFonts w:ascii="Wingdings" w:hAnsi="Wingdings" w:hint="default"/>
      </w:rPr>
    </w:lvl>
    <w:lvl w:ilvl="3" w:tplc="A692D61C">
      <w:start w:val="1"/>
      <w:numFmt w:val="bullet"/>
      <w:lvlText w:val=""/>
      <w:lvlJc w:val="left"/>
      <w:pPr>
        <w:ind w:left="2880" w:hanging="360"/>
      </w:pPr>
      <w:rPr>
        <w:rFonts w:ascii="Symbol" w:hAnsi="Symbol" w:hint="default"/>
      </w:rPr>
    </w:lvl>
    <w:lvl w:ilvl="4" w:tplc="A198AFBE">
      <w:start w:val="1"/>
      <w:numFmt w:val="bullet"/>
      <w:lvlText w:val="o"/>
      <w:lvlJc w:val="left"/>
      <w:pPr>
        <w:ind w:left="3600" w:hanging="360"/>
      </w:pPr>
      <w:rPr>
        <w:rFonts w:ascii="Courier New" w:hAnsi="Courier New" w:hint="default"/>
      </w:rPr>
    </w:lvl>
    <w:lvl w:ilvl="5" w:tplc="8B000AD4">
      <w:start w:val="1"/>
      <w:numFmt w:val="bullet"/>
      <w:lvlText w:val=""/>
      <w:lvlJc w:val="left"/>
      <w:pPr>
        <w:ind w:left="4320" w:hanging="360"/>
      </w:pPr>
      <w:rPr>
        <w:rFonts w:ascii="Wingdings" w:hAnsi="Wingdings" w:hint="default"/>
      </w:rPr>
    </w:lvl>
    <w:lvl w:ilvl="6" w:tplc="D4BCC772">
      <w:start w:val="1"/>
      <w:numFmt w:val="bullet"/>
      <w:lvlText w:val=""/>
      <w:lvlJc w:val="left"/>
      <w:pPr>
        <w:ind w:left="5040" w:hanging="360"/>
      </w:pPr>
      <w:rPr>
        <w:rFonts w:ascii="Symbol" w:hAnsi="Symbol" w:hint="default"/>
      </w:rPr>
    </w:lvl>
    <w:lvl w:ilvl="7" w:tplc="DEEE06AE">
      <w:start w:val="1"/>
      <w:numFmt w:val="bullet"/>
      <w:lvlText w:val="o"/>
      <w:lvlJc w:val="left"/>
      <w:pPr>
        <w:ind w:left="5760" w:hanging="360"/>
      </w:pPr>
      <w:rPr>
        <w:rFonts w:ascii="Courier New" w:hAnsi="Courier New" w:hint="default"/>
      </w:rPr>
    </w:lvl>
    <w:lvl w:ilvl="8" w:tplc="7F623588">
      <w:start w:val="1"/>
      <w:numFmt w:val="bullet"/>
      <w:lvlText w:val=""/>
      <w:lvlJc w:val="left"/>
      <w:pPr>
        <w:ind w:left="6480" w:hanging="360"/>
      </w:pPr>
      <w:rPr>
        <w:rFonts w:ascii="Wingdings" w:hAnsi="Wingdings" w:hint="default"/>
      </w:rPr>
    </w:lvl>
  </w:abstractNum>
  <w:abstractNum w:abstractNumId="64" w15:restartNumberingAfterBreak="0">
    <w:nsid w:val="7AC93932"/>
    <w:multiLevelType w:val="multilevel"/>
    <w:tmpl w:val="A3BCDDE8"/>
    <w:numStyleLink w:val="NoteHeadingmaster"/>
  </w:abstractNum>
  <w:abstractNum w:abstractNumId="65" w15:restartNumberingAfterBreak="0">
    <w:nsid w:val="7B0248FF"/>
    <w:multiLevelType w:val="hybridMultilevel"/>
    <w:tmpl w:val="25C0BEAE"/>
    <w:lvl w:ilvl="0" w:tplc="BAAA84D4">
      <w:start w:val="1"/>
      <w:numFmt w:val="bullet"/>
      <w:lvlText w:val="·"/>
      <w:lvlJc w:val="left"/>
      <w:pPr>
        <w:ind w:left="720" w:hanging="360"/>
      </w:pPr>
      <w:rPr>
        <w:rFonts w:ascii="Symbol" w:hAnsi="Symbol" w:hint="default"/>
      </w:rPr>
    </w:lvl>
    <w:lvl w:ilvl="1" w:tplc="1B96C326">
      <w:start w:val="1"/>
      <w:numFmt w:val="bullet"/>
      <w:lvlText w:val="o"/>
      <w:lvlJc w:val="left"/>
      <w:pPr>
        <w:ind w:left="1440" w:hanging="360"/>
      </w:pPr>
      <w:rPr>
        <w:rFonts w:ascii="Courier New" w:hAnsi="Courier New" w:hint="default"/>
      </w:rPr>
    </w:lvl>
    <w:lvl w:ilvl="2" w:tplc="0054030E">
      <w:start w:val="1"/>
      <w:numFmt w:val="bullet"/>
      <w:lvlText w:val=""/>
      <w:lvlJc w:val="left"/>
      <w:pPr>
        <w:ind w:left="2160" w:hanging="360"/>
      </w:pPr>
      <w:rPr>
        <w:rFonts w:ascii="Wingdings" w:hAnsi="Wingdings" w:hint="default"/>
      </w:rPr>
    </w:lvl>
    <w:lvl w:ilvl="3" w:tplc="A1E6A05A">
      <w:start w:val="1"/>
      <w:numFmt w:val="bullet"/>
      <w:lvlText w:val=""/>
      <w:lvlJc w:val="left"/>
      <w:pPr>
        <w:ind w:left="2880" w:hanging="360"/>
      </w:pPr>
      <w:rPr>
        <w:rFonts w:ascii="Symbol" w:hAnsi="Symbol" w:hint="default"/>
      </w:rPr>
    </w:lvl>
    <w:lvl w:ilvl="4" w:tplc="1518839A">
      <w:start w:val="1"/>
      <w:numFmt w:val="bullet"/>
      <w:lvlText w:val="o"/>
      <w:lvlJc w:val="left"/>
      <w:pPr>
        <w:ind w:left="3600" w:hanging="360"/>
      </w:pPr>
      <w:rPr>
        <w:rFonts w:ascii="Courier New" w:hAnsi="Courier New" w:hint="default"/>
      </w:rPr>
    </w:lvl>
    <w:lvl w:ilvl="5" w:tplc="1A522040">
      <w:start w:val="1"/>
      <w:numFmt w:val="bullet"/>
      <w:lvlText w:val=""/>
      <w:lvlJc w:val="left"/>
      <w:pPr>
        <w:ind w:left="4320" w:hanging="360"/>
      </w:pPr>
      <w:rPr>
        <w:rFonts w:ascii="Wingdings" w:hAnsi="Wingdings" w:hint="default"/>
      </w:rPr>
    </w:lvl>
    <w:lvl w:ilvl="6" w:tplc="8DD239F4">
      <w:start w:val="1"/>
      <w:numFmt w:val="bullet"/>
      <w:lvlText w:val=""/>
      <w:lvlJc w:val="left"/>
      <w:pPr>
        <w:ind w:left="5040" w:hanging="360"/>
      </w:pPr>
      <w:rPr>
        <w:rFonts w:ascii="Symbol" w:hAnsi="Symbol" w:hint="default"/>
      </w:rPr>
    </w:lvl>
    <w:lvl w:ilvl="7" w:tplc="99F82454">
      <w:start w:val="1"/>
      <w:numFmt w:val="bullet"/>
      <w:lvlText w:val="o"/>
      <w:lvlJc w:val="left"/>
      <w:pPr>
        <w:ind w:left="5760" w:hanging="360"/>
      </w:pPr>
      <w:rPr>
        <w:rFonts w:ascii="Courier New" w:hAnsi="Courier New" w:hint="default"/>
      </w:rPr>
    </w:lvl>
    <w:lvl w:ilvl="8" w:tplc="F7C04994">
      <w:start w:val="1"/>
      <w:numFmt w:val="bullet"/>
      <w:lvlText w:val=""/>
      <w:lvlJc w:val="left"/>
      <w:pPr>
        <w:ind w:left="6480" w:hanging="360"/>
      </w:pPr>
      <w:rPr>
        <w:rFonts w:ascii="Wingdings" w:hAnsi="Wingdings" w:hint="default"/>
      </w:rPr>
    </w:lvl>
  </w:abstractNum>
  <w:abstractNum w:abstractNumId="66" w15:restartNumberingAfterBreak="0">
    <w:nsid w:val="7EF31F41"/>
    <w:multiLevelType w:val="hybridMultilevel"/>
    <w:tmpl w:val="A49EB176"/>
    <w:lvl w:ilvl="0" w:tplc="7570C794">
      <w:start w:val="1"/>
      <w:numFmt w:val="bullet"/>
      <w:lvlText w:val=""/>
      <w:lvlJc w:val="left"/>
      <w:pPr>
        <w:ind w:left="720" w:hanging="360"/>
      </w:pPr>
      <w:rPr>
        <w:rFonts w:ascii="Symbol" w:hAnsi="Symbol" w:hint="default"/>
      </w:rPr>
    </w:lvl>
    <w:lvl w:ilvl="1" w:tplc="F6000E34">
      <w:start w:val="1"/>
      <w:numFmt w:val="bullet"/>
      <w:lvlText w:val="o"/>
      <w:lvlJc w:val="left"/>
      <w:pPr>
        <w:ind w:left="1440" w:hanging="360"/>
      </w:pPr>
      <w:rPr>
        <w:rFonts w:ascii="Courier New" w:hAnsi="Courier New" w:hint="default"/>
      </w:rPr>
    </w:lvl>
    <w:lvl w:ilvl="2" w:tplc="67D49CE0">
      <w:start w:val="1"/>
      <w:numFmt w:val="bullet"/>
      <w:lvlText w:val=""/>
      <w:lvlJc w:val="left"/>
      <w:pPr>
        <w:ind w:left="2160" w:hanging="360"/>
      </w:pPr>
      <w:rPr>
        <w:rFonts w:ascii="Wingdings" w:hAnsi="Wingdings" w:hint="default"/>
      </w:rPr>
    </w:lvl>
    <w:lvl w:ilvl="3" w:tplc="E71EF716">
      <w:start w:val="1"/>
      <w:numFmt w:val="bullet"/>
      <w:lvlText w:val=""/>
      <w:lvlJc w:val="left"/>
      <w:pPr>
        <w:ind w:left="2880" w:hanging="360"/>
      </w:pPr>
      <w:rPr>
        <w:rFonts w:ascii="Symbol" w:hAnsi="Symbol" w:hint="default"/>
      </w:rPr>
    </w:lvl>
    <w:lvl w:ilvl="4" w:tplc="9AC4E430">
      <w:start w:val="1"/>
      <w:numFmt w:val="bullet"/>
      <w:lvlText w:val="o"/>
      <w:lvlJc w:val="left"/>
      <w:pPr>
        <w:ind w:left="3600" w:hanging="360"/>
      </w:pPr>
      <w:rPr>
        <w:rFonts w:ascii="Courier New" w:hAnsi="Courier New" w:hint="default"/>
      </w:rPr>
    </w:lvl>
    <w:lvl w:ilvl="5" w:tplc="A252A22E">
      <w:start w:val="1"/>
      <w:numFmt w:val="bullet"/>
      <w:lvlText w:val=""/>
      <w:lvlJc w:val="left"/>
      <w:pPr>
        <w:ind w:left="4320" w:hanging="360"/>
      </w:pPr>
      <w:rPr>
        <w:rFonts w:ascii="Wingdings" w:hAnsi="Wingdings" w:hint="default"/>
      </w:rPr>
    </w:lvl>
    <w:lvl w:ilvl="6" w:tplc="6194EFFC">
      <w:start w:val="1"/>
      <w:numFmt w:val="bullet"/>
      <w:lvlText w:val=""/>
      <w:lvlJc w:val="left"/>
      <w:pPr>
        <w:ind w:left="5040" w:hanging="360"/>
      </w:pPr>
      <w:rPr>
        <w:rFonts w:ascii="Symbol" w:hAnsi="Symbol" w:hint="default"/>
      </w:rPr>
    </w:lvl>
    <w:lvl w:ilvl="7" w:tplc="4B5200C4">
      <w:start w:val="1"/>
      <w:numFmt w:val="bullet"/>
      <w:lvlText w:val="o"/>
      <w:lvlJc w:val="left"/>
      <w:pPr>
        <w:ind w:left="5760" w:hanging="360"/>
      </w:pPr>
      <w:rPr>
        <w:rFonts w:ascii="Courier New" w:hAnsi="Courier New" w:hint="default"/>
      </w:rPr>
    </w:lvl>
    <w:lvl w:ilvl="8" w:tplc="CC5EF0EC">
      <w:start w:val="1"/>
      <w:numFmt w:val="bullet"/>
      <w:lvlText w:val=""/>
      <w:lvlJc w:val="left"/>
      <w:pPr>
        <w:ind w:left="6480" w:hanging="360"/>
      </w:pPr>
      <w:rPr>
        <w:rFonts w:ascii="Wingdings" w:hAnsi="Wingdings" w:hint="default"/>
      </w:rPr>
    </w:lvl>
  </w:abstractNum>
  <w:abstractNum w:abstractNumId="67" w15:restartNumberingAfterBreak="0">
    <w:nsid w:val="7FD44514"/>
    <w:multiLevelType w:val="multilevel"/>
    <w:tmpl w:val="8CB69500"/>
    <w:lvl w:ilvl="0">
      <w:start w:val="1"/>
      <w:numFmt w:val="lowerLetter"/>
      <w:pStyle w:val="Listnum"/>
      <w:lvlText w:val="(%1)"/>
      <w:lvlJc w:val="left"/>
      <w:pPr>
        <w:tabs>
          <w:tab w:val="num" w:pos="504"/>
        </w:tabs>
        <w:ind w:left="504" w:hanging="504"/>
      </w:pPr>
    </w:lvl>
    <w:lvl w:ilvl="1">
      <w:start w:val="1"/>
      <w:numFmt w:val="lowerRoman"/>
      <w:pStyle w:val="Listnum2"/>
      <w:lvlText w:val="(%2)"/>
      <w:lvlJc w:val="left"/>
      <w:pPr>
        <w:tabs>
          <w:tab w:val="num" w:pos="1008"/>
        </w:tabs>
        <w:ind w:left="1008" w:hanging="504"/>
      </w:pPr>
    </w:lvl>
    <w:lvl w:ilvl="2">
      <w:start w:val="1"/>
      <w:numFmt w:val="lowerLetter"/>
      <w:lvlRestart w:val="0"/>
      <w:pStyle w:val="Listnumgrey"/>
      <w:lvlText w:val="(%3)"/>
      <w:lvlJc w:val="left"/>
      <w:pPr>
        <w:tabs>
          <w:tab w:val="num" w:pos="504"/>
        </w:tabs>
        <w:ind w:left="504" w:hanging="504"/>
      </w:pPr>
    </w:lvl>
    <w:lvl w:ilvl="3">
      <w:start w:val="1"/>
      <w:numFmt w:val="bullet"/>
      <w:pStyle w:val="Listnum2grey"/>
      <w:lvlText w:val=""/>
      <w:lvlJc w:val="left"/>
      <w:pPr>
        <w:tabs>
          <w:tab w:val="num" w:pos="1008"/>
        </w:tabs>
        <w:ind w:left="1008" w:hanging="504"/>
      </w:pPr>
      <w:rPr>
        <w:rFonts w:ascii="Symbol" w:hAnsi="Symbol" w:hint="default"/>
      </w:rPr>
    </w:lvl>
    <w:lvl w:ilvl="4">
      <w:start w:val="1"/>
      <w:numFmt w:val="decimal"/>
      <w:lvlRestart w:val="1"/>
      <w:pStyle w:val="Heading3numbered"/>
      <w:lvlText w:val="%3.%4.%5"/>
      <w:lvlJc w:val="left"/>
      <w:pPr>
        <w:tabs>
          <w:tab w:val="num" w:pos="792"/>
        </w:tabs>
        <w:ind w:left="792" w:hanging="792"/>
      </w:pPr>
    </w:lvl>
    <w:lvl w:ilvl="5">
      <w:start w:val="1"/>
      <w:numFmt w:val="decimal"/>
      <w:pStyle w:val="Heading4numbered"/>
      <w:lvlText w:val="%3.%4.%5.%6"/>
      <w:lvlJc w:val="left"/>
      <w:pPr>
        <w:tabs>
          <w:tab w:val="num" w:pos="792"/>
        </w:tabs>
        <w:ind w:left="792" w:hanging="792"/>
      </w:pPr>
    </w:lvl>
    <w:lvl w:ilvl="6">
      <w:start w:val="1"/>
      <w:numFmt w:val="lowerLetter"/>
      <w:pStyle w:val="Listnumindent"/>
      <w:lvlText w:val="(%7)"/>
      <w:lvlJc w:val="left"/>
      <w:pPr>
        <w:tabs>
          <w:tab w:val="num" w:pos="1296"/>
        </w:tabs>
        <w:ind w:left="1296" w:hanging="504"/>
      </w:pPr>
    </w:lvl>
    <w:lvl w:ilvl="7">
      <w:start w:val="1"/>
      <w:numFmt w:val="lowerRoman"/>
      <w:pStyle w:val="Listnumindent2"/>
      <w:lvlText w:val="(%8)"/>
      <w:lvlJc w:val="left"/>
      <w:pPr>
        <w:tabs>
          <w:tab w:val="num" w:pos="1800"/>
        </w:tabs>
        <w:ind w:left="1800" w:hanging="504"/>
      </w:pPr>
    </w:lvl>
    <w:lvl w:ilvl="8">
      <w:start w:val="1"/>
      <w:numFmt w:val="lowerRoman"/>
      <w:lvlText w:val="%9."/>
      <w:lvlJc w:val="left"/>
      <w:pPr>
        <w:tabs>
          <w:tab w:val="num" w:pos="792"/>
        </w:tabs>
        <w:ind w:left="792" w:hanging="792"/>
      </w:pPr>
    </w:lvl>
  </w:abstractNum>
  <w:num w:numId="1" w16cid:durableId="2147236738">
    <w:abstractNumId w:val="10"/>
  </w:num>
  <w:num w:numId="2" w16cid:durableId="643195640">
    <w:abstractNumId w:val="14"/>
  </w:num>
  <w:num w:numId="3" w16cid:durableId="1339624618">
    <w:abstractNumId w:val="50"/>
  </w:num>
  <w:num w:numId="4" w16cid:durableId="1064374751">
    <w:abstractNumId w:val="28"/>
  </w:num>
  <w:num w:numId="5" w16cid:durableId="695426432">
    <w:abstractNumId w:val="43"/>
  </w:num>
  <w:num w:numId="6" w16cid:durableId="125664934">
    <w:abstractNumId w:val="18"/>
  </w:num>
  <w:num w:numId="7" w16cid:durableId="815151121">
    <w:abstractNumId w:val="35"/>
  </w:num>
  <w:num w:numId="8" w16cid:durableId="1989626162">
    <w:abstractNumId w:val="20"/>
  </w:num>
  <w:num w:numId="9" w16cid:durableId="969825334">
    <w:abstractNumId w:val="4"/>
  </w:num>
  <w:num w:numId="10" w16cid:durableId="1241209952">
    <w:abstractNumId w:val="38"/>
  </w:num>
  <w:num w:numId="11" w16cid:durableId="975984810">
    <w:abstractNumId w:val="55"/>
  </w:num>
  <w:num w:numId="12" w16cid:durableId="216865932">
    <w:abstractNumId w:val="16"/>
  </w:num>
  <w:num w:numId="13" w16cid:durableId="1449546607">
    <w:abstractNumId w:val="6"/>
  </w:num>
  <w:num w:numId="14" w16cid:durableId="9463852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27397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8307017">
    <w:abstractNumId w:val="38"/>
  </w:num>
  <w:num w:numId="17" w16cid:durableId="1453860272">
    <w:abstractNumId w:val="14"/>
  </w:num>
  <w:num w:numId="18" w16cid:durableId="1316690016">
    <w:abstractNumId w:val="55"/>
  </w:num>
  <w:num w:numId="19" w16cid:durableId="204024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16386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119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3429948">
    <w:abstractNumId w:val="59"/>
  </w:num>
  <w:num w:numId="23" w16cid:durableId="2006129642">
    <w:abstractNumId w:val="16"/>
  </w:num>
  <w:num w:numId="24" w16cid:durableId="580456958">
    <w:abstractNumId w:val="6"/>
  </w:num>
  <w:num w:numId="25" w16cid:durableId="274606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3113318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9685768">
    <w:abstractNumId w:val="44"/>
  </w:num>
  <w:num w:numId="28" w16cid:durableId="335960523">
    <w:abstractNumId w:val="52"/>
  </w:num>
  <w:num w:numId="29" w16cid:durableId="710500785">
    <w:abstractNumId w:val="26"/>
  </w:num>
  <w:num w:numId="30" w16cid:durableId="211968227">
    <w:abstractNumId w:val="30"/>
  </w:num>
  <w:num w:numId="31" w16cid:durableId="505094509">
    <w:abstractNumId w:val="60"/>
  </w:num>
  <w:num w:numId="32" w16cid:durableId="161094135">
    <w:abstractNumId w:val="58"/>
  </w:num>
  <w:num w:numId="33" w16cid:durableId="1066342511">
    <w:abstractNumId w:val="40"/>
  </w:num>
  <w:num w:numId="34" w16cid:durableId="537862321">
    <w:abstractNumId w:val="19"/>
  </w:num>
  <w:num w:numId="35" w16cid:durableId="1784181230">
    <w:abstractNumId w:val="36"/>
  </w:num>
  <w:num w:numId="36" w16cid:durableId="29885964">
    <w:abstractNumId w:val="61"/>
  </w:num>
  <w:num w:numId="37" w16cid:durableId="2104911625">
    <w:abstractNumId w:val="9"/>
  </w:num>
  <w:num w:numId="38" w16cid:durableId="1158687436">
    <w:abstractNumId w:val="0"/>
  </w:num>
  <w:num w:numId="39" w16cid:durableId="521014380">
    <w:abstractNumId w:val="66"/>
  </w:num>
  <w:num w:numId="40" w16cid:durableId="480582565">
    <w:abstractNumId w:val="23"/>
  </w:num>
  <w:num w:numId="41" w16cid:durableId="867377549">
    <w:abstractNumId w:val="24"/>
  </w:num>
  <w:num w:numId="42" w16cid:durableId="133380299">
    <w:abstractNumId w:val="22"/>
  </w:num>
  <w:num w:numId="43" w16cid:durableId="3191209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31942265">
    <w:abstractNumId w:val="41"/>
  </w:num>
  <w:num w:numId="45" w16cid:durableId="1905336624">
    <w:abstractNumId w:val="25"/>
  </w:num>
  <w:num w:numId="46" w16cid:durableId="1782411752">
    <w:abstractNumId w:val="63"/>
  </w:num>
  <w:num w:numId="47" w16cid:durableId="357390248">
    <w:abstractNumId w:val="32"/>
  </w:num>
  <w:num w:numId="48" w16cid:durableId="1685326801">
    <w:abstractNumId w:val="5"/>
  </w:num>
  <w:num w:numId="49" w16cid:durableId="1960061321">
    <w:abstractNumId w:val="65"/>
  </w:num>
  <w:num w:numId="50" w16cid:durableId="1350566795">
    <w:abstractNumId w:val="1"/>
  </w:num>
  <w:num w:numId="51" w16cid:durableId="473373347">
    <w:abstractNumId w:val="7"/>
  </w:num>
  <w:num w:numId="52" w16cid:durableId="1740784808">
    <w:abstractNumId w:val="49"/>
  </w:num>
  <w:num w:numId="53" w16cid:durableId="1444576810">
    <w:abstractNumId w:val="51"/>
  </w:num>
  <w:num w:numId="54" w16cid:durableId="1933783041">
    <w:abstractNumId w:val="15"/>
  </w:num>
  <w:num w:numId="55" w16cid:durableId="1531843323">
    <w:abstractNumId w:val="31"/>
  </w:num>
  <w:num w:numId="56" w16cid:durableId="5494144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461480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893805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996126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91920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12853514">
    <w:abstractNumId w:val="6"/>
  </w:num>
  <w:num w:numId="62" w16cid:durableId="18745323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777802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91888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089698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055505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011631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70452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07377168">
    <w:abstractNumId w:val="4"/>
  </w:num>
  <w:num w:numId="70" w16cid:durableId="1747148569">
    <w:abstractNumId w:val="59"/>
  </w:num>
  <w:num w:numId="71" w16cid:durableId="19280901">
    <w:abstractNumId w:val="59"/>
  </w:num>
  <w:num w:numId="72" w16cid:durableId="1523666084">
    <w:abstractNumId w:val="59"/>
  </w:num>
  <w:num w:numId="73" w16cid:durableId="1038354311">
    <w:abstractNumId w:val="64"/>
    <w:lvlOverride w:ilvl="0">
      <w:lvl w:ilvl="0">
        <w:start w:val="1"/>
        <w:numFmt w:val="decimal"/>
        <w:lvlText w:val="%1."/>
        <w:lvlJc w:val="left"/>
        <w:pPr>
          <w:ind w:left="454" w:hanging="454"/>
        </w:pPr>
      </w:lvl>
    </w:lvlOverride>
  </w:num>
  <w:num w:numId="74" w16cid:durableId="1544517783">
    <w:abstractNumId w:val="4"/>
  </w:num>
  <w:num w:numId="75" w16cid:durableId="2127312409">
    <w:abstractNumId w:val="59"/>
  </w:num>
  <w:num w:numId="76" w16cid:durableId="703481347">
    <w:abstractNumId w:val="59"/>
  </w:num>
  <w:num w:numId="77" w16cid:durableId="506218253">
    <w:abstractNumId w:val="59"/>
  </w:num>
  <w:num w:numId="78" w16cid:durableId="1538473473">
    <w:abstractNumId w:val="3"/>
  </w:num>
  <w:num w:numId="79" w16cid:durableId="1685860068">
    <w:abstractNumId w:val="2"/>
  </w:num>
  <w:num w:numId="80" w16cid:durableId="2097511477">
    <w:abstractNumId w:val="56"/>
  </w:num>
  <w:num w:numId="81" w16cid:durableId="1317027090">
    <w:abstractNumId w:val="39"/>
  </w:num>
  <w:num w:numId="82" w16cid:durableId="2122258123">
    <w:abstractNumId w:val="27"/>
  </w:num>
  <w:num w:numId="83" w16cid:durableId="1911186211">
    <w:abstractNumId w:val="33"/>
  </w:num>
  <w:num w:numId="84" w16cid:durableId="2058120113">
    <w:abstractNumId w:val="29"/>
  </w:num>
  <w:num w:numId="85" w16cid:durableId="1080636240">
    <w:abstractNumId w:val="34"/>
  </w:num>
  <w:num w:numId="86" w16cid:durableId="643316298">
    <w:abstractNumId w:val="48"/>
  </w:num>
  <w:num w:numId="87" w16cid:durableId="1149832819">
    <w:abstractNumId w:val="53"/>
  </w:num>
  <w:num w:numId="88" w16cid:durableId="1636913713">
    <w:abstractNumId w:val="8"/>
  </w:num>
  <w:num w:numId="89" w16cid:durableId="1386446283">
    <w:abstractNumId w:val="17"/>
  </w:num>
  <w:num w:numId="90" w16cid:durableId="1291518227">
    <w:abstractNumId w:val="21"/>
  </w:num>
  <w:num w:numId="91" w16cid:durableId="763260989">
    <w:abstractNumId w:val="11"/>
  </w:num>
  <w:num w:numId="92" w16cid:durableId="1588343182">
    <w:abstractNumId w:val="45"/>
  </w:num>
  <w:num w:numId="93" w16cid:durableId="137261936">
    <w:abstractNumId w:val="57"/>
  </w:num>
  <w:num w:numId="94" w16cid:durableId="1519854999">
    <w:abstractNumId w:val="62"/>
  </w:num>
  <w:num w:numId="95" w16cid:durableId="1493990407">
    <w:abstractNumId w:val="47"/>
  </w:num>
  <w:num w:numId="96" w16cid:durableId="1353873566">
    <w:abstractNumId w:val="16"/>
  </w:num>
  <w:num w:numId="97" w16cid:durableId="2142259326">
    <w:abstractNumId w:val="43"/>
  </w:num>
  <w:num w:numId="98" w16cid:durableId="1548444534">
    <w:abstractNumId w:val="16"/>
  </w:num>
  <w:num w:numId="99" w16cid:durableId="155654008">
    <w:abstractNumId w:val="54"/>
  </w:num>
  <w:num w:numId="100" w16cid:durableId="207033635">
    <w:abstractNumId w:val="13"/>
  </w:num>
  <w:num w:numId="101" w16cid:durableId="1773627574">
    <w:abstractNumId w:val="42"/>
  </w:num>
  <w:num w:numId="102" w16cid:durableId="259026909">
    <w:abstractNumId w:val="37"/>
  </w:num>
  <w:num w:numId="103" w16cid:durableId="627513508">
    <w:abstractNumId w:val="16"/>
  </w:num>
  <w:num w:numId="104" w16cid:durableId="1448967638">
    <w:abstractNumId w:val="43"/>
  </w:num>
  <w:num w:numId="105" w16cid:durableId="1073162629">
    <w:abstractNumId w:val="16"/>
  </w:num>
  <w:num w:numId="106" w16cid:durableId="470634079">
    <w:abstractNumId w:val="46"/>
  </w:num>
  <w:num w:numId="107" w16cid:durableId="211692142">
    <w:abstractNumId w:val="55"/>
  </w:num>
  <w:num w:numId="108" w16cid:durableId="1993102285">
    <w:abstractNumId w:val="55"/>
  </w:num>
  <w:num w:numId="109" w16cid:durableId="648678735">
    <w:abstractNumId w:val="4"/>
  </w:num>
  <w:num w:numId="110" w16cid:durableId="1150825186">
    <w:abstractNumId w:val="59"/>
  </w:num>
  <w:num w:numId="111" w16cid:durableId="1484543251">
    <w:abstractNumId w:val="59"/>
  </w:num>
  <w:num w:numId="112" w16cid:durableId="291519136">
    <w:abstractNumId w:val="5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cumentProtection w:formatting="1" w:enforcement="1"/>
  <w:defaultTabStop w:val="720"/>
  <w:defaultTableStyle w:val="CustomTablestandar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8E11D4"/>
    <w:rsid w:val="00000297"/>
    <w:rsid w:val="0000047A"/>
    <w:rsid w:val="00000E96"/>
    <w:rsid w:val="000010C4"/>
    <w:rsid w:val="00001101"/>
    <w:rsid w:val="00001233"/>
    <w:rsid w:val="000012F6"/>
    <w:rsid w:val="00001479"/>
    <w:rsid w:val="000014FE"/>
    <w:rsid w:val="00001652"/>
    <w:rsid w:val="00001763"/>
    <w:rsid w:val="00001C42"/>
    <w:rsid w:val="00001F0A"/>
    <w:rsid w:val="00001F93"/>
    <w:rsid w:val="0000209F"/>
    <w:rsid w:val="00002827"/>
    <w:rsid w:val="00002840"/>
    <w:rsid w:val="0000286E"/>
    <w:rsid w:val="00002955"/>
    <w:rsid w:val="00002ACE"/>
    <w:rsid w:val="00002C75"/>
    <w:rsid w:val="00002D48"/>
    <w:rsid w:val="00002D5E"/>
    <w:rsid w:val="00002E86"/>
    <w:rsid w:val="0000316D"/>
    <w:rsid w:val="00003393"/>
    <w:rsid w:val="0000362B"/>
    <w:rsid w:val="00003A0B"/>
    <w:rsid w:val="000041F2"/>
    <w:rsid w:val="00004390"/>
    <w:rsid w:val="00004596"/>
    <w:rsid w:val="00004712"/>
    <w:rsid w:val="00005049"/>
    <w:rsid w:val="0000541B"/>
    <w:rsid w:val="0000541D"/>
    <w:rsid w:val="000054D8"/>
    <w:rsid w:val="000057C0"/>
    <w:rsid w:val="00005A5D"/>
    <w:rsid w:val="00005A89"/>
    <w:rsid w:val="00005E68"/>
    <w:rsid w:val="00005ECE"/>
    <w:rsid w:val="000060CF"/>
    <w:rsid w:val="0000612E"/>
    <w:rsid w:val="000067BA"/>
    <w:rsid w:val="00006828"/>
    <w:rsid w:val="000069BD"/>
    <w:rsid w:val="00006E10"/>
    <w:rsid w:val="00007478"/>
    <w:rsid w:val="000074DB"/>
    <w:rsid w:val="000077CE"/>
    <w:rsid w:val="0000781C"/>
    <w:rsid w:val="000101DF"/>
    <w:rsid w:val="000107D4"/>
    <w:rsid w:val="000108C0"/>
    <w:rsid w:val="00010BD3"/>
    <w:rsid w:val="000111B7"/>
    <w:rsid w:val="00011223"/>
    <w:rsid w:val="00011412"/>
    <w:rsid w:val="00011599"/>
    <w:rsid w:val="00011665"/>
    <w:rsid w:val="000116A9"/>
    <w:rsid w:val="0001206D"/>
    <w:rsid w:val="000120CD"/>
    <w:rsid w:val="00012CAB"/>
    <w:rsid w:val="00013098"/>
    <w:rsid w:val="0001365E"/>
    <w:rsid w:val="00013B36"/>
    <w:rsid w:val="0001413C"/>
    <w:rsid w:val="0001434F"/>
    <w:rsid w:val="000149C7"/>
    <w:rsid w:val="00014A75"/>
    <w:rsid w:val="00014DB4"/>
    <w:rsid w:val="0001501F"/>
    <w:rsid w:val="000152E9"/>
    <w:rsid w:val="000155B6"/>
    <w:rsid w:val="00016073"/>
    <w:rsid w:val="0001648D"/>
    <w:rsid w:val="000168A3"/>
    <w:rsid w:val="000168D4"/>
    <w:rsid w:val="0001695D"/>
    <w:rsid w:val="00016D9E"/>
    <w:rsid w:val="00016FAB"/>
    <w:rsid w:val="0001745E"/>
    <w:rsid w:val="00017754"/>
    <w:rsid w:val="00017998"/>
    <w:rsid w:val="00020179"/>
    <w:rsid w:val="00020189"/>
    <w:rsid w:val="0002031F"/>
    <w:rsid w:val="000208D4"/>
    <w:rsid w:val="00020B3C"/>
    <w:rsid w:val="00020EBC"/>
    <w:rsid w:val="00021099"/>
    <w:rsid w:val="0002147F"/>
    <w:rsid w:val="00021576"/>
    <w:rsid w:val="00021850"/>
    <w:rsid w:val="00021BD4"/>
    <w:rsid w:val="00021D77"/>
    <w:rsid w:val="0002202E"/>
    <w:rsid w:val="0002225B"/>
    <w:rsid w:val="000222E6"/>
    <w:rsid w:val="00022402"/>
    <w:rsid w:val="000226AC"/>
    <w:rsid w:val="000227C0"/>
    <w:rsid w:val="000227E4"/>
    <w:rsid w:val="00022AD1"/>
    <w:rsid w:val="00022B4E"/>
    <w:rsid w:val="00023225"/>
    <w:rsid w:val="0002337A"/>
    <w:rsid w:val="00023385"/>
    <w:rsid w:val="00023488"/>
    <w:rsid w:val="000236F4"/>
    <w:rsid w:val="00023701"/>
    <w:rsid w:val="00023858"/>
    <w:rsid w:val="00023D01"/>
    <w:rsid w:val="0002429B"/>
    <w:rsid w:val="00024737"/>
    <w:rsid w:val="00024A26"/>
    <w:rsid w:val="00024A6D"/>
    <w:rsid w:val="000251DB"/>
    <w:rsid w:val="0002528F"/>
    <w:rsid w:val="000258EB"/>
    <w:rsid w:val="00025C73"/>
    <w:rsid w:val="00025EA9"/>
    <w:rsid w:val="0002619E"/>
    <w:rsid w:val="000262EF"/>
    <w:rsid w:val="000263C5"/>
    <w:rsid w:val="0002681A"/>
    <w:rsid w:val="00026B40"/>
    <w:rsid w:val="00026D90"/>
    <w:rsid w:val="00026F5C"/>
    <w:rsid w:val="000272EB"/>
    <w:rsid w:val="00027388"/>
    <w:rsid w:val="0002738A"/>
    <w:rsid w:val="00027932"/>
    <w:rsid w:val="00027E94"/>
    <w:rsid w:val="00030162"/>
    <w:rsid w:val="0003022F"/>
    <w:rsid w:val="000302EC"/>
    <w:rsid w:val="0003047D"/>
    <w:rsid w:val="000307B2"/>
    <w:rsid w:val="00030C2D"/>
    <w:rsid w:val="00030CF1"/>
    <w:rsid w:val="00031056"/>
    <w:rsid w:val="00031105"/>
    <w:rsid w:val="000311EE"/>
    <w:rsid w:val="000312B0"/>
    <w:rsid w:val="000315A7"/>
    <w:rsid w:val="0003193A"/>
    <w:rsid w:val="00031A34"/>
    <w:rsid w:val="00031BC9"/>
    <w:rsid w:val="00031BD6"/>
    <w:rsid w:val="00031F4E"/>
    <w:rsid w:val="00031FC8"/>
    <w:rsid w:val="0003235A"/>
    <w:rsid w:val="000330D2"/>
    <w:rsid w:val="0003349E"/>
    <w:rsid w:val="000338A9"/>
    <w:rsid w:val="000338B3"/>
    <w:rsid w:val="0003414D"/>
    <w:rsid w:val="0003426B"/>
    <w:rsid w:val="00034C60"/>
    <w:rsid w:val="00034D92"/>
    <w:rsid w:val="00035A22"/>
    <w:rsid w:val="00035DD3"/>
    <w:rsid w:val="00035FFC"/>
    <w:rsid w:val="0003629F"/>
    <w:rsid w:val="000362A7"/>
    <w:rsid w:val="000363FC"/>
    <w:rsid w:val="0003648C"/>
    <w:rsid w:val="000364B0"/>
    <w:rsid w:val="000364FC"/>
    <w:rsid w:val="00036710"/>
    <w:rsid w:val="0003699D"/>
    <w:rsid w:val="00036A10"/>
    <w:rsid w:val="00036B53"/>
    <w:rsid w:val="00036F91"/>
    <w:rsid w:val="00037344"/>
    <w:rsid w:val="00037386"/>
    <w:rsid w:val="00037C19"/>
    <w:rsid w:val="00040061"/>
    <w:rsid w:val="000402C6"/>
    <w:rsid w:val="00040487"/>
    <w:rsid w:val="00040529"/>
    <w:rsid w:val="000405B1"/>
    <w:rsid w:val="00040723"/>
    <w:rsid w:val="0004080B"/>
    <w:rsid w:val="00040964"/>
    <w:rsid w:val="00040970"/>
    <w:rsid w:val="00040DFE"/>
    <w:rsid w:val="00041387"/>
    <w:rsid w:val="00041742"/>
    <w:rsid w:val="000419F4"/>
    <w:rsid w:val="00041B50"/>
    <w:rsid w:val="00042088"/>
    <w:rsid w:val="0004213A"/>
    <w:rsid w:val="0004281C"/>
    <w:rsid w:val="00042CEE"/>
    <w:rsid w:val="00042EFF"/>
    <w:rsid w:val="00042F29"/>
    <w:rsid w:val="0004333B"/>
    <w:rsid w:val="0004341E"/>
    <w:rsid w:val="000434E0"/>
    <w:rsid w:val="000435A6"/>
    <w:rsid w:val="0004382F"/>
    <w:rsid w:val="00043C26"/>
    <w:rsid w:val="00043CCE"/>
    <w:rsid w:val="00043DF8"/>
    <w:rsid w:val="00044059"/>
    <w:rsid w:val="0004405B"/>
    <w:rsid w:val="00044572"/>
    <w:rsid w:val="0004471B"/>
    <w:rsid w:val="0004497B"/>
    <w:rsid w:val="00044A3E"/>
    <w:rsid w:val="000454C5"/>
    <w:rsid w:val="000454D7"/>
    <w:rsid w:val="000454D9"/>
    <w:rsid w:val="0004569D"/>
    <w:rsid w:val="000457CA"/>
    <w:rsid w:val="00045873"/>
    <w:rsid w:val="00045A18"/>
    <w:rsid w:val="00045CCB"/>
    <w:rsid w:val="00046216"/>
    <w:rsid w:val="000464C6"/>
    <w:rsid w:val="000467FA"/>
    <w:rsid w:val="00046B43"/>
    <w:rsid w:val="00046B78"/>
    <w:rsid w:val="00047154"/>
    <w:rsid w:val="00047302"/>
    <w:rsid w:val="0004732D"/>
    <w:rsid w:val="00047865"/>
    <w:rsid w:val="00047B7C"/>
    <w:rsid w:val="00047CA3"/>
    <w:rsid w:val="0005041D"/>
    <w:rsid w:val="000504D2"/>
    <w:rsid w:val="0005073C"/>
    <w:rsid w:val="00051941"/>
    <w:rsid w:val="00052106"/>
    <w:rsid w:val="000523BA"/>
    <w:rsid w:val="0005277B"/>
    <w:rsid w:val="00052838"/>
    <w:rsid w:val="00052921"/>
    <w:rsid w:val="00052A31"/>
    <w:rsid w:val="00052BD0"/>
    <w:rsid w:val="00052C43"/>
    <w:rsid w:val="00052C8A"/>
    <w:rsid w:val="00052CC8"/>
    <w:rsid w:val="000530DB"/>
    <w:rsid w:val="00053C68"/>
    <w:rsid w:val="000544CF"/>
    <w:rsid w:val="00054594"/>
    <w:rsid w:val="000545FC"/>
    <w:rsid w:val="000546CF"/>
    <w:rsid w:val="00054A68"/>
    <w:rsid w:val="00054AB0"/>
    <w:rsid w:val="00054E66"/>
    <w:rsid w:val="00054F67"/>
    <w:rsid w:val="00054FF2"/>
    <w:rsid w:val="0005559D"/>
    <w:rsid w:val="00055956"/>
    <w:rsid w:val="00055B20"/>
    <w:rsid w:val="00055E3C"/>
    <w:rsid w:val="0005663B"/>
    <w:rsid w:val="000568F3"/>
    <w:rsid w:val="00056A5C"/>
    <w:rsid w:val="00056C78"/>
    <w:rsid w:val="00056D67"/>
    <w:rsid w:val="00056E54"/>
    <w:rsid w:val="0005724A"/>
    <w:rsid w:val="0005748E"/>
    <w:rsid w:val="000575DD"/>
    <w:rsid w:val="00057725"/>
    <w:rsid w:val="0005793D"/>
    <w:rsid w:val="00057A3C"/>
    <w:rsid w:val="00057A98"/>
    <w:rsid w:val="00057B36"/>
    <w:rsid w:val="000604E4"/>
    <w:rsid w:val="000606EF"/>
    <w:rsid w:val="00060C9F"/>
    <w:rsid w:val="00060CEE"/>
    <w:rsid w:val="00060E27"/>
    <w:rsid w:val="0006160F"/>
    <w:rsid w:val="00061683"/>
    <w:rsid w:val="00061981"/>
    <w:rsid w:val="00061EA3"/>
    <w:rsid w:val="00061FAF"/>
    <w:rsid w:val="00062092"/>
    <w:rsid w:val="000623A4"/>
    <w:rsid w:val="000624E6"/>
    <w:rsid w:val="00062518"/>
    <w:rsid w:val="000629BA"/>
    <w:rsid w:val="000629C0"/>
    <w:rsid w:val="00062C32"/>
    <w:rsid w:val="00062FE7"/>
    <w:rsid w:val="0006307B"/>
    <w:rsid w:val="000632C3"/>
    <w:rsid w:val="000633AB"/>
    <w:rsid w:val="000634CC"/>
    <w:rsid w:val="00063B52"/>
    <w:rsid w:val="0006400C"/>
    <w:rsid w:val="000643A4"/>
    <w:rsid w:val="00064713"/>
    <w:rsid w:val="00064746"/>
    <w:rsid w:val="0006484F"/>
    <w:rsid w:val="00064D6E"/>
    <w:rsid w:val="00064E8A"/>
    <w:rsid w:val="00064EA6"/>
    <w:rsid w:val="0006502A"/>
    <w:rsid w:val="0006530F"/>
    <w:rsid w:val="000653F5"/>
    <w:rsid w:val="00065452"/>
    <w:rsid w:val="00065478"/>
    <w:rsid w:val="00065584"/>
    <w:rsid w:val="00065680"/>
    <w:rsid w:val="00065ABB"/>
    <w:rsid w:val="00065B22"/>
    <w:rsid w:val="00065CCC"/>
    <w:rsid w:val="00066B58"/>
    <w:rsid w:val="00066BC8"/>
    <w:rsid w:val="00066DB5"/>
    <w:rsid w:val="00066E88"/>
    <w:rsid w:val="0006751A"/>
    <w:rsid w:val="00067741"/>
    <w:rsid w:val="00067869"/>
    <w:rsid w:val="00067A4A"/>
    <w:rsid w:val="00067AA3"/>
    <w:rsid w:val="00067F31"/>
    <w:rsid w:val="0007068C"/>
    <w:rsid w:val="000706DC"/>
    <w:rsid w:val="00070C36"/>
    <w:rsid w:val="00071300"/>
    <w:rsid w:val="00071EAD"/>
    <w:rsid w:val="0007204F"/>
    <w:rsid w:val="000722F4"/>
    <w:rsid w:val="0007241E"/>
    <w:rsid w:val="000724CE"/>
    <w:rsid w:val="000726CF"/>
    <w:rsid w:val="00072959"/>
    <w:rsid w:val="00072E61"/>
    <w:rsid w:val="00073442"/>
    <w:rsid w:val="000735CB"/>
    <w:rsid w:val="00073821"/>
    <w:rsid w:val="00073DF8"/>
    <w:rsid w:val="00074206"/>
    <w:rsid w:val="00074294"/>
    <w:rsid w:val="00074409"/>
    <w:rsid w:val="0007444C"/>
    <w:rsid w:val="00074953"/>
    <w:rsid w:val="00074C40"/>
    <w:rsid w:val="00074E4E"/>
    <w:rsid w:val="00074FD0"/>
    <w:rsid w:val="000750DF"/>
    <w:rsid w:val="0007542B"/>
    <w:rsid w:val="00075857"/>
    <w:rsid w:val="0007587B"/>
    <w:rsid w:val="000758B0"/>
    <w:rsid w:val="00075953"/>
    <w:rsid w:val="00075AB8"/>
    <w:rsid w:val="00075C08"/>
    <w:rsid w:val="00075E45"/>
    <w:rsid w:val="00076310"/>
    <w:rsid w:val="00076551"/>
    <w:rsid w:val="0007703D"/>
    <w:rsid w:val="0007765F"/>
    <w:rsid w:val="00077CAE"/>
    <w:rsid w:val="00077CBE"/>
    <w:rsid w:val="0008010E"/>
    <w:rsid w:val="00080273"/>
    <w:rsid w:val="000804EB"/>
    <w:rsid w:val="00080604"/>
    <w:rsid w:val="0008094A"/>
    <w:rsid w:val="00081095"/>
    <w:rsid w:val="00081112"/>
    <w:rsid w:val="000811B0"/>
    <w:rsid w:val="000812E0"/>
    <w:rsid w:val="0008141F"/>
    <w:rsid w:val="00081570"/>
    <w:rsid w:val="00081963"/>
    <w:rsid w:val="00081BA8"/>
    <w:rsid w:val="00081D38"/>
    <w:rsid w:val="000824DE"/>
    <w:rsid w:val="00082587"/>
    <w:rsid w:val="00082868"/>
    <w:rsid w:val="000828E6"/>
    <w:rsid w:val="00082E44"/>
    <w:rsid w:val="00082F1B"/>
    <w:rsid w:val="000830A4"/>
    <w:rsid w:val="000831B9"/>
    <w:rsid w:val="00083470"/>
    <w:rsid w:val="00083BBF"/>
    <w:rsid w:val="00083FE5"/>
    <w:rsid w:val="00084609"/>
    <w:rsid w:val="000846BB"/>
    <w:rsid w:val="0008498E"/>
    <w:rsid w:val="00084C2A"/>
    <w:rsid w:val="000851F7"/>
    <w:rsid w:val="00085438"/>
    <w:rsid w:val="0008553B"/>
    <w:rsid w:val="0008559A"/>
    <w:rsid w:val="000859F1"/>
    <w:rsid w:val="00085D08"/>
    <w:rsid w:val="00085E35"/>
    <w:rsid w:val="00085F62"/>
    <w:rsid w:val="00086012"/>
    <w:rsid w:val="00086700"/>
    <w:rsid w:val="00086746"/>
    <w:rsid w:val="000867AC"/>
    <w:rsid w:val="00086989"/>
    <w:rsid w:val="00086A27"/>
    <w:rsid w:val="00086EF9"/>
    <w:rsid w:val="00087368"/>
    <w:rsid w:val="000874A3"/>
    <w:rsid w:val="00087698"/>
    <w:rsid w:val="00087783"/>
    <w:rsid w:val="00087843"/>
    <w:rsid w:val="00087AE9"/>
    <w:rsid w:val="00087CEF"/>
    <w:rsid w:val="0009004E"/>
    <w:rsid w:val="0009016F"/>
    <w:rsid w:val="00090531"/>
    <w:rsid w:val="00090922"/>
    <w:rsid w:val="00090981"/>
    <w:rsid w:val="00090B32"/>
    <w:rsid w:val="00090FCF"/>
    <w:rsid w:val="000913FD"/>
    <w:rsid w:val="00091469"/>
    <w:rsid w:val="000914B8"/>
    <w:rsid w:val="0009195A"/>
    <w:rsid w:val="000919A5"/>
    <w:rsid w:val="00091AFA"/>
    <w:rsid w:val="00092346"/>
    <w:rsid w:val="00092BB4"/>
    <w:rsid w:val="00092C12"/>
    <w:rsid w:val="00092E38"/>
    <w:rsid w:val="00093021"/>
    <w:rsid w:val="000930B2"/>
    <w:rsid w:val="0009341D"/>
    <w:rsid w:val="0009350D"/>
    <w:rsid w:val="00093B25"/>
    <w:rsid w:val="00094523"/>
    <w:rsid w:val="000946E0"/>
    <w:rsid w:val="000946E1"/>
    <w:rsid w:val="00094EAD"/>
    <w:rsid w:val="00095E1C"/>
    <w:rsid w:val="0009682A"/>
    <w:rsid w:val="000968FA"/>
    <w:rsid w:val="00096B6D"/>
    <w:rsid w:val="00096BE3"/>
    <w:rsid w:val="00096FE5"/>
    <w:rsid w:val="000970A6"/>
    <w:rsid w:val="000973A5"/>
    <w:rsid w:val="000974E8"/>
    <w:rsid w:val="00097551"/>
    <w:rsid w:val="0009799D"/>
    <w:rsid w:val="00097CF7"/>
    <w:rsid w:val="00097D8D"/>
    <w:rsid w:val="000A0096"/>
    <w:rsid w:val="000A050A"/>
    <w:rsid w:val="000A079C"/>
    <w:rsid w:val="000A07B9"/>
    <w:rsid w:val="000A07CF"/>
    <w:rsid w:val="000A0C54"/>
    <w:rsid w:val="000A1691"/>
    <w:rsid w:val="000A17B7"/>
    <w:rsid w:val="000A1A25"/>
    <w:rsid w:val="000A1ED8"/>
    <w:rsid w:val="000A2600"/>
    <w:rsid w:val="000A283C"/>
    <w:rsid w:val="000A28A6"/>
    <w:rsid w:val="000A29B1"/>
    <w:rsid w:val="000A2BCA"/>
    <w:rsid w:val="000A2DA9"/>
    <w:rsid w:val="000A3171"/>
    <w:rsid w:val="000A324B"/>
    <w:rsid w:val="000A3389"/>
    <w:rsid w:val="000A34EE"/>
    <w:rsid w:val="000A3689"/>
    <w:rsid w:val="000A3DAB"/>
    <w:rsid w:val="000A3DD5"/>
    <w:rsid w:val="000A425F"/>
    <w:rsid w:val="000A434B"/>
    <w:rsid w:val="000A46E0"/>
    <w:rsid w:val="000A4756"/>
    <w:rsid w:val="000A4814"/>
    <w:rsid w:val="000A501A"/>
    <w:rsid w:val="000A50A9"/>
    <w:rsid w:val="000A53DF"/>
    <w:rsid w:val="000A53F7"/>
    <w:rsid w:val="000A5BC4"/>
    <w:rsid w:val="000A62B8"/>
    <w:rsid w:val="000A64E2"/>
    <w:rsid w:val="000A6588"/>
    <w:rsid w:val="000A6741"/>
    <w:rsid w:val="000A68C1"/>
    <w:rsid w:val="000A6ABB"/>
    <w:rsid w:val="000A6EDB"/>
    <w:rsid w:val="000A6F86"/>
    <w:rsid w:val="000A706F"/>
    <w:rsid w:val="000A743E"/>
    <w:rsid w:val="000A786F"/>
    <w:rsid w:val="000A7C53"/>
    <w:rsid w:val="000A7F6F"/>
    <w:rsid w:val="000B03A2"/>
    <w:rsid w:val="000B068D"/>
    <w:rsid w:val="000B0709"/>
    <w:rsid w:val="000B07EC"/>
    <w:rsid w:val="000B08F5"/>
    <w:rsid w:val="000B0EE9"/>
    <w:rsid w:val="000B0F9A"/>
    <w:rsid w:val="000B12A2"/>
    <w:rsid w:val="000B1378"/>
    <w:rsid w:val="000B152C"/>
    <w:rsid w:val="000B1617"/>
    <w:rsid w:val="000B16E0"/>
    <w:rsid w:val="000B1773"/>
    <w:rsid w:val="000B17CA"/>
    <w:rsid w:val="000B1962"/>
    <w:rsid w:val="000B1F90"/>
    <w:rsid w:val="000B2196"/>
    <w:rsid w:val="000B2271"/>
    <w:rsid w:val="000B26CA"/>
    <w:rsid w:val="000B2DE4"/>
    <w:rsid w:val="000B3650"/>
    <w:rsid w:val="000B388C"/>
    <w:rsid w:val="000B397C"/>
    <w:rsid w:val="000B3C2E"/>
    <w:rsid w:val="000B4369"/>
    <w:rsid w:val="000B4410"/>
    <w:rsid w:val="000B4810"/>
    <w:rsid w:val="000B49E0"/>
    <w:rsid w:val="000B4AD3"/>
    <w:rsid w:val="000B4D87"/>
    <w:rsid w:val="000B4E4F"/>
    <w:rsid w:val="000B4E53"/>
    <w:rsid w:val="000B4EBA"/>
    <w:rsid w:val="000B5247"/>
    <w:rsid w:val="000B5691"/>
    <w:rsid w:val="000B575A"/>
    <w:rsid w:val="000B590C"/>
    <w:rsid w:val="000B5BBC"/>
    <w:rsid w:val="000B5FCF"/>
    <w:rsid w:val="000B635F"/>
    <w:rsid w:val="000B64C0"/>
    <w:rsid w:val="000B6701"/>
    <w:rsid w:val="000B67F6"/>
    <w:rsid w:val="000B6868"/>
    <w:rsid w:val="000B69BD"/>
    <w:rsid w:val="000B6C76"/>
    <w:rsid w:val="000B6F4B"/>
    <w:rsid w:val="000B722D"/>
    <w:rsid w:val="000B725C"/>
    <w:rsid w:val="000B748A"/>
    <w:rsid w:val="000B74BF"/>
    <w:rsid w:val="000B774C"/>
    <w:rsid w:val="000B798B"/>
    <w:rsid w:val="000B7D1E"/>
    <w:rsid w:val="000B7E60"/>
    <w:rsid w:val="000B7EEA"/>
    <w:rsid w:val="000C005D"/>
    <w:rsid w:val="000C0061"/>
    <w:rsid w:val="000C00FD"/>
    <w:rsid w:val="000C05D6"/>
    <w:rsid w:val="000C067E"/>
    <w:rsid w:val="000C0AD7"/>
    <w:rsid w:val="000C0D03"/>
    <w:rsid w:val="000C0DE5"/>
    <w:rsid w:val="000C0EB7"/>
    <w:rsid w:val="000C0F6A"/>
    <w:rsid w:val="000C0FF2"/>
    <w:rsid w:val="000C1324"/>
    <w:rsid w:val="000C1329"/>
    <w:rsid w:val="000C1356"/>
    <w:rsid w:val="000C18A0"/>
    <w:rsid w:val="000C1A30"/>
    <w:rsid w:val="000C1AD3"/>
    <w:rsid w:val="000C221C"/>
    <w:rsid w:val="000C2240"/>
    <w:rsid w:val="000C2328"/>
    <w:rsid w:val="000C251B"/>
    <w:rsid w:val="000C28B0"/>
    <w:rsid w:val="000C2A56"/>
    <w:rsid w:val="000C2E04"/>
    <w:rsid w:val="000C3075"/>
    <w:rsid w:val="000C3217"/>
    <w:rsid w:val="000C335C"/>
    <w:rsid w:val="000C3479"/>
    <w:rsid w:val="000C389D"/>
    <w:rsid w:val="000C39F4"/>
    <w:rsid w:val="000C3FF6"/>
    <w:rsid w:val="000C43E7"/>
    <w:rsid w:val="000C442F"/>
    <w:rsid w:val="000C4A0F"/>
    <w:rsid w:val="000C4D0B"/>
    <w:rsid w:val="000C4E96"/>
    <w:rsid w:val="000C4FE8"/>
    <w:rsid w:val="000C53D1"/>
    <w:rsid w:val="000C5587"/>
    <w:rsid w:val="000C5680"/>
    <w:rsid w:val="000C5891"/>
    <w:rsid w:val="000C5926"/>
    <w:rsid w:val="000C59FA"/>
    <w:rsid w:val="000C5B74"/>
    <w:rsid w:val="000C5EC7"/>
    <w:rsid w:val="000C60C1"/>
    <w:rsid w:val="000C6231"/>
    <w:rsid w:val="000C64B4"/>
    <w:rsid w:val="000C6536"/>
    <w:rsid w:val="000C6965"/>
    <w:rsid w:val="000C6CE8"/>
    <w:rsid w:val="000C6D0E"/>
    <w:rsid w:val="000C6D7E"/>
    <w:rsid w:val="000C6D9A"/>
    <w:rsid w:val="000C6F65"/>
    <w:rsid w:val="000C6F85"/>
    <w:rsid w:val="000C717B"/>
    <w:rsid w:val="000C71F0"/>
    <w:rsid w:val="000C72CB"/>
    <w:rsid w:val="000C7950"/>
    <w:rsid w:val="000C7BF3"/>
    <w:rsid w:val="000C7F45"/>
    <w:rsid w:val="000C7F5A"/>
    <w:rsid w:val="000C7FAF"/>
    <w:rsid w:val="000D0300"/>
    <w:rsid w:val="000D04EC"/>
    <w:rsid w:val="000D0672"/>
    <w:rsid w:val="000D06DF"/>
    <w:rsid w:val="000D0AC3"/>
    <w:rsid w:val="000D1215"/>
    <w:rsid w:val="000D12D7"/>
    <w:rsid w:val="000D1428"/>
    <w:rsid w:val="000D148C"/>
    <w:rsid w:val="000D1677"/>
    <w:rsid w:val="000D16E3"/>
    <w:rsid w:val="000D180B"/>
    <w:rsid w:val="000D1D67"/>
    <w:rsid w:val="000D2198"/>
    <w:rsid w:val="000D28E5"/>
    <w:rsid w:val="000D2B9B"/>
    <w:rsid w:val="000D2DB8"/>
    <w:rsid w:val="000D32A1"/>
    <w:rsid w:val="000D32B8"/>
    <w:rsid w:val="000D3333"/>
    <w:rsid w:val="000D3A8A"/>
    <w:rsid w:val="000D3AB0"/>
    <w:rsid w:val="000D3C0A"/>
    <w:rsid w:val="000D3CE1"/>
    <w:rsid w:val="000D3CEB"/>
    <w:rsid w:val="000D4413"/>
    <w:rsid w:val="000D453E"/>
    <w:rsid w:val="000D4587"/>
    <w:rsid w:val="000D461E"/>
    <w:rsid w:val="000D4976"/>
    <w:rsid w:val="000D4BAB"/>
    <w:rsid w:val="000D4BB3"/>
    <w:rsid w:val="000D4DB6"/>
    <w:rsid w:val="000D4E3C"/>
    <w:rsid w:val="000D500D"/>
    <w:rsid w:val="000D554B"/>
    <w:rsid w:val="000D5851"/>
    <w:rsid w:val="000D5F2E"/>
    <w:rsid w:val="000D669D"/>
    <w:rsid w:val="000D686D"/>
    <w:rsid w:val="000D6C1B"/>
    <w:rsid w:val="000D6C7E"/>
    <w:rsid w:val="000D6E8C"/>
    <w:rsid w:val="000D7294"/>
    <w:rsid w:val="000D7571"/>
    <w:rsid w:val="000D787A"/>
    <w:rsid w:val="000E0889"/>
    <w:rsid w:val="000E0A6F"/>
    <w:rsid w:val="000E0ACA"/>
    <w:rsid w:val="000E0EB4"/>
    <w:rsid w:val="000E0F54"/>
    <w:rsid w:val="000E0FF8"/>
    <w:rsid w:val="000E1041"/>
    <w:rsid w:val="000E1079"/>
    <w:rsid w:val="000E132B"/>
    <w:rsid w:val="000E1443"/>
    <w:rsid w:val="000E1446"/>
    <w:rsid w:val="000E14C8"/>
    <w:rsid w:val="000E160B"/>
    <w:rsid w:val="000E17C6"/>
    <w:rsid w:val="000E1D7E"/>
    <w:rsid w:val="000E22B8"/>
    <w:rsid w:val="000E281F"/>
    <w:rsid w:val="000E2AF6"/>
    <w:rsid w:val="000E2C87"/>
    <w:rsid w:val="000E2F27"/>
    <w:rsid w:val="000E3167"/>
    <w:rsid w:val="000E32E4"/>
    <w:rsid w:val="000E33FC"/>
    <w:rsid w:val="000E38F3"/>
    <w:rsid w:val="000E3B41"/>
    <w:rsid w:val="000E3C78"/>
    <w:rsid w:val="000E4067"/>
    <w:rsid w:val="000E430D"/>
    <w:rsid w:val="000E4398"/>
    <w:rsid w:val="000E4532"/>
    <w:rsid w:val="000E47F4"/>
    <w:rsid w:val="000E499C"/>
    <w:rsid w:val="000E4D6D"/>
    <w:rsid w:val="000E4F0F"/>
    <w:rsid w:val="000E505F"/>
    <w:rsid w:val="000E5290"/>
    <w:rsid w:val="000E52A0"/>
    <w:rsid w:val="000E5428"/>
    <w:rsid w:val="000E5D83"/>
    <w:rsid w:val="000E6538"/>
    <w:rsid w:val="000E6542"/>
    <w:rsid w:val="000E6865"/>
    <w:rsid w:val="000E6AEC"/>
    <w:rsid w:val="000E6AF5"/>
    <w:rsid w:val="000E6C81"/>
    <w:rsid w:val="000E6DE8"/>
    <w:rsid w:val="000E6E80"/>
    <w:rsid w:val="000E7043"/>
    <w:rsid w:val="000E749C"/>
    <w:rsid w:val="000E77DF"/>
    <w:rsid w:val="000E7AEF"/>
    <w:rsid w:val="000E7B81"/>
    <w:rsid w:val="000E7D97"/>
    <w:rsid w:val="000E7F75"/>
    <w:rsid w:val="000F00ED"/>
    <w:rsid w:val="000F0228"/>
    <w:rsid w:val="000F0536"/>
    <w:rsid w:val="000F0B0A"/>
    <w:rsid w:val="000F0F65"/>
    <w:rsid w:val="000F0FD0"/>
    <w:rsid w:val="000F1487"/>
    <w:rsid w:val="000F1937"/>
    <w:rsid w:val="000F1ABB"/>
    <w:rsid w:val="000F203A"/>
    <w:rsid w:val="000F2161"/>
    <w:rsid w:val="000F2276"/>
    <w:rsid w:val="000F23C5"/>
    <w:rsid w:val="000F2534"/>
    <w:rsid w:val="000F2667"/>
    <w:rsid w:val="000F2E70"/>
    <w:rsid w:val="000F3291"/>
    <w:rsid w:val="000F3648"/>
    <w:rsid w:val="000F390F"/>
    <w:rsid w:val="000F3943"/>
    <w:rsid w:val="000F3A37"/>
    <w:rsid w:val="000F3CF2"/>
    <w:rsid w:val="000F3D63"/>
    <w:rsid w:val="000F3DD5"/>
    <w:rsid w:val="000F3E2F"/>
    <w:rsid w:val="000F46CA"/>
    <w:rsid w:val="000F4B2D"/>
    <w:rsid w:val="000F4FA9"/>
    <w:rsid w:val="000F4FB7"/>
    <w:rsid w:val="000F504D"/>
    <w:rsid w:val="000F62FF"/>
    <w:rsid w:val="000F654C"/>
    <w:rsid w:val="000F67FC"/>
    <w:rsid w:val="000F683A"/>
    <w:rsid w:val="000F693A"/>
    <w:rsid w:val="000F71BF"/>
    <w:rsid w:val="000F7417"/>
    <w:rsid w:val="000F7765"/>
    <w:rsid w:val="000F794E"/>
    <w:rsid w:val="000F7A10"/>
    <w:rsid w:val="000F7A68"/>
    <w:rsid w:val="000F7C95"/>
    <w:rsid w:val="0010003F"/>
    <w:rsid w:val="00100480"/>
    <w:rsid w:val="00100897"/>
    <w:rsid w:val="00100A41"/>
    <w:rsid w:val="00100BA9"/>
    <w:rsid w:val="00100D06"/>
    <w:rsid w:val="00100E11"/>
    <w:rsid w:val="00100E84"/>
    <w:rsid w:val="0010123E"/>
    <w:rsid w:val="0010139C"/>
    <w:rsid w:val="0010174E"/>
    <w:rsid w:val="00102D40"/>
    <w:rsid w:val="0010306C"/>
    <w:rsid w:val="001031E5"/>
    <w:rsid w:val="001036D7"/>
    <w:rsid w:val="00103B29"/>
    <w:rsid w:val="00103F6E"/>
    <w:rsid w:val="00104102"/>
    <w:rsid w:val="001044BA"/>
    <w:rsid w:val="00104750"/>
    <w:rsid w:val="00104B4C"/>
    <w:rsid w:val="00104DFC"/>
    <w:rsid w:val="00105158"/>
    <w:rsid w:val="0010528F"/>
    <w:rsid w:val="001054FE"/>
    <w:rsid w:val="00105744"/>
    <w:rsid w:val="001057A3"/>
    <w:rsid w:val="00105817"/>
    <w:rsid w:val="00105E19"/>
    <w:rsid w:val="00105F32"/>
    <w:rsid w:val="00105FB1"/>
    <w:rsid w:val="00106010"/>
    <w:rsid w:val="0010601F"/>
    <w:rsid w:val="001064D3"/>
    <w:rsid w:val="00106664"/>
    <w:rsid w:val="001068AE"/>
    <w:rsid w:val="00106913"/>
    <w:rsid w:val="001069D1"/>
    <w:rsid w:val="001069D2"/>
    <w:rsid w:val="00106D95"/>
    <w:rsid w:val="0010751B"/>
    <w:rsid w:val="0010751F"/>
    <w:rsid w:val="0011057C"/>
    <w:rsid w:val="0011063C"/>
    <w:rsid w:val="00110690"/>
    <w:rsid w:val="001106BB"/>
    <w:rsid w:val="001107A0"/>
    <w:rsid w:val="00110DD4"/>
    <w:rsid w:val="00110E32"/>
    <w:rsid w:val="00110F4D"/>
    <w:rsid w:val="001110FA"/>
    <w:rsid w:val="0011112F"/>
    <w:rsid w:val="0011139F"/>
    <w:rsid w:val="0011141C"/>
    <w:rsid w:val="00111F26"/>
    <w:rsid w:val="00111F72"/>
    <w:rsid w:val="001120B6"/>
    <w:rsid w:val="001125B4"/>
    <w:rsid w:val="001126A8"/>
    <w:rsid w:val="001129F6"/>
    <w:rsid w:val="00112D66"/>
    <w:rsid w:val="00112DFB"/>
    <w:rsid w:val="001131D1"/>
    <w:rsid w:val="001133E0"/>
    <w:rsid w:val="00113414"/>
    <w:rsid w:val="001134FC"/>
    <w:rsid w:val="00113561"/>
    <w:rsid w:val="001136B2"/>
    <w:rsid w:val="001137DC"/>
    <w:rsid w:val="00113F1D"/>
    <w:rsid w:val="00114066"/>
    <w:rsid w:val="0011410B"/>
    <w:rsid w:val="00114111"/>
    <w:rsid w:val="00114215"/>
    <w:rsid w:val="0011465B"/>
    <w:rsid w:val="001147A7"/>
    <w:rsid w:val="00114F9C"/>
    <w:rsid w:val="001153C0"/>
    <w:rsid w:val="00115A3E"/>
    <w:rsid w:val="00115BF8"/>
    <w:rsid w:val="00115C7E"/>
    <w:rsid w:val="00115EA9"/>
    <w:rsid w:val="0011610F"/>
    <w:rsid w:val="001162FA"/>
    <w:rsid w:val="001166C2"/>
    <w:rsid w:val="00116755"/>
    <w:rsid w:val="001167DD"/>
    <w:rsid w:val="0011685E"/>
    <w:rsid w:val="00116B39"/>
    <w:rsid w:val="00116B5E"/>
    <w:rsid w:val="00116DF3"/>
    <w:rsid w:val="00117027"/>
    <w:rsid w:val="00117874"/>
    <w:rsid w:val="00117B88"/>
    <w:rsid w:val="0012099D"/>
    <w:rsid w:val="0012147E"/>
    <w:rsid w:val="0012149E"/>
    <w:rsid w:val="00121A37"/>
    <w:rsid w:val="00121AD4"/>
    <w:rsid w:val="00121EBD"/>
    <w:rsid w:val="00121F15"/>
    <w:rsid w:val="00122188"/>
    <w:rsid w:val="0012228B"/>
    <w:rsid w:val="00122439"/>
    <w:rsid w:val="0012259D"/>
    <w:rsid w:val="001226D6"/>
    <w:rsid w:val="00122848"/>
    <w:rsid w:val="001230C3"/>
    <w:rsid w:val="00123641"/>
    <w:rsid w:val="001241D5"/>
    <w:rsid w:val="0012430F"/>
    <w:rsid w:val="00124969"/>
    <w:rsid w:val="001249CA"/>
    <w:rsid w:val="00124A2B"/>
    <w:rsid w:val="00124B91"/>
    <w:rsid w:val="00124BB7"/>
    <w:rsid w:val="00124C65"/>
    <w:rsid w:val="00124C6F"/>
    <w:rsid w:val="00124FEB"/>
    <w:rsid w:val="001253FB"/>
    <w:rsid w:val="00125461"/>
    <w:rsid w:val="00125487"/>
    <w:rsid w:val="0012550B"/>
    <w:rsid w:val="001255C3"/>
    <w:rsid w:val="001259A4"/>
    <w:rsid w:val="00126753"/>
    <w:rsid w:val="00126DA9"/>
    <w:rsid w:val="00126EDE"/>
    <w:rsid w:val="0012715E"/>
    <w:rsid w:val="001272FF"/>
    <w:rsid w:val="00127365"/>
    <w:rsid w:val="00127391"/>
    <w:rsid w:val="0012739B"/>
    <w:rsid w:val="001276AD"/>
    <w:rsid w:val="001276E5"/>
    <w:rsid w:val="00127F81"/>
    <w:rsid w:val="00127FDF"/>
    <w:rsid w:val="00130034"/>
    <w:rsid w:val="00130295"/>
    <w:rsid w:val="0013040F"/>
    <w:rsid w:val="001306E4"/>
    <w:rsid w:val="0013070F"/>
    <w:rsid w:val="00130813"/>
    <w:rsid w:val="00130907"/>
    <w:rsid w:val="00130A63"/>
    <w:rsid w:val="00130D68"/>
    <w:rsid w:val="00130DDC"/>
    <w:rsid w:val="00130EEB"/>
    <w:rsid w:val="00131222"/>
    <w:rsid w:val="00131773"/>
    <w:rsid w:val="00131A86"/>
    <w:rsid w:val="00131AEF"/>
    <w:rsid w:val="00131B33"/>
    <w:rsid w:val="00132064"/>
    <w:rsid w:val="00132735"/>
    <w:rsid w:val="00132787"/>
    <w:rsid w:val="001327CE"/>
    <w:rsid w:val="00132979"/>
    <w:rsid w:val="00132A44"/>
    <w:rsid w:val="001330D8"/>
    <w:rsid w:val="00133113"/>
    <w:rsid w:val="001333B5"/>
    <w:rsid w:val="0013370A"/>
    <w:rsid w:val="00133A98"/>
    <w:rsid w:val="00134024"/>
    <w:rsid w:val="00134086"/>
    <w:rsid w:val="001345BD"/>
    <w:rsid w:val="001346AE"/>
    <w:rsid w:val="001349F7"/>
    <w:rsid w:val="00134D99"/>
    <w:rsid w:val="00134E79"/>
    <w:rsid w:val="001352C4"/>
    <w:rsid w:val="001352C9"/>
    <w:rsid w:val="001352CF"/>
    <w:rsid w:val="001352E6"/>
    <w:rsid w:val="00135409"/>
    <w:rsid w:val="00135514"/>
    <w:rsid w:val="0013583F"/>
    <w:rsid w:val="0013588F"/>
    <w:rsid w:val="0013599B"/>
    <w:rsid w:val="00135C7A"/>
    <w:rsid w:val="00135D4D"/>
    <w:rsid w:val="00135D58"/>
    <w:rsid w:val="00135FC3"/>
    <w:rsid w:val="00136005"/>
    <w:rsid w:val="001360DF"/>
    <w:rsid w:val="00136162"/>
    <w:rsid w:val="001361B4"/>
    <w:rsid w:val="001362A8"/>
    <w:rsid w:val="0013645E"/>
    <w:rsid w:val="0013650C"/>
    <w:rsid w:val="00136A90"/>
    <w:rsid w:val="00137057"/>
    <w:rsid w:val="00137154"/>
    <w:rsid w:val="00137288"/>
    <w:rsid w:val="001378D6"/>
    <w:rsid w:val="0013795A"/>
    <w:rsid w:val="0014042C"/>
    <w:rsid w:val="0014045D"/>
    <w:rsid w:val="00140692"/>
    <w:rsid w:val="0014084E"/>
    <w:rsid w:val="0014085A"/>
    <w:rsid w:val="00141507"/>
    <w:rsid w:val="00141F7E"/>
    <w:rsid w:val="00142569"/>
    <w:rsid w:val="001425A7"/>
    <w:rsid w:val="00142815"/>
    <w:rsid w:val="00142C64"/>
    <w:rsid w:val="00142D03"/>
    <w:rsid w:val="00142E5E"/>
    <w:rsid w:val="001434D7"/>
    <w:rsid w:val="001434E8"/>
    <w:rsid w:val="00143505"/>
    <w:rsid w:val="00143D04"/>
    <w:rsid w:val="00143E4F"/>
    <w:rsid w:val="00143F19"/>
    <w:rsid w:val="001444B2"/>
    <w:rsid w:val="00144542"/>
    <w:rsid w:val="00144631"/>
    <w:rsid w:val="001446AF"/>
    <w:rsid w:val="00144CCA"/>
    <w:rsid w:val="00144DA5"/>
    <w:rsid w:val="0014538E"/>
    <w:rsid w:val="00145871"/>
    <w:rsid w:val="00145A3F"/>
    <w:rsid w:val="00145B42"/>
    <w:rsid w:val="00145DF3"/>
    <w:rsid w:val="001461EE"/>
    <w:rsid w:val="00146378"/>
    <w:rsid w:val="00146A34"/>
    <w:rsid w:val="00146B64"/>
    <w:rsid w:val="00146C36"/>
    <w:rsid w:val="00146D18"/>
    <w:rsid w:val="00146D6F"/>
    <w:rsid w:val="00147060"/>
    <w:rsid w:val="00147420"/>
    <w:rsid w:val="00147425"/>
    <w:rsid w:val="001475ED"/>
    <w:rsid w:val="00147C46"/>
    <w:rsid w:val="00147CA2"/>
    <w:rsid w:val="00147CF2"/>
    <w:rsid w:val="00147F31"/>
    <w:rsid w:val="001500CD"/>
    <w:rsid w:val="0015034B"/>
    <w:rsid w:val="00150440"/>
    <w:rsid w:val="00150C0E"/>
    <w:rsid w:val="001510A0"/>
    <w:rsid w:val="00151455"/>
    <w:rsid w:val="001517DB"/>
    <w:rsid w:val="00151AEA"/>
    <w:rsid w:val="00151FC7"/>
    <w:rsid w:val="00152286"/>
    <w:rsid w:val="0015272C"/>
    <w:rsid w:val="00152E32"/>
    <w:rsid w:val="00153082"/>
    <w:rsid w:val="00153230"/>
    <w:rsid w:val="00153410"/>
    <w:rsid w:val="0015373B"/>
    <w:rsid w:val="00153A98"/>
    <w:rsid w:val="00153C1B"/>
    <w:rsid w:val="00153E7F"/>
    <w:rsid w:val="001541AB"/>
    <w:rsid w:val="00154651"/>
    <w:rsid w:val="00154E8E"/>
    <w:rsid w:val="001550D7"/>
    <w:rsid w:val="001552D8"/>
    <w:rsid w:val="00155323"/>
    <w:rsid w:val="001556A4"/>
    <w:rsid w:val="001559A1"/>
    <w:rsid w:val="00155CC4"/>
    <w:rsid w:val="00155F8D"/>
    <w:rsid w:val="001562A0"/>
    <w:rsid w:val="001562F4"/>
    <w:rsid w:val="001566AA"/>
    <w:rsid w:val="001571F5"/>
    <w:rsid w:val="00157427"/>
    <w:rsid w:val="00157709"/>
    <w:rsid w:val="0015775B"/>
    <w:rsid w:val="00157CCA"/>
    <w:rsid w:val="00157CE6"/>
    <w:rsid w:val="00160506"/>
    <w:rsid w:val="00160694"/>
    <w:rsid w:val="001607BD"/>
    <w:rsid w:val="00160A49"/>
    <w:rsid w:val="00160B4A"/>
    <w:rsid w:val="00160C12"/>
    <w:rsid w:val="00160E22"/>
    <w:rsid w:val="001610F6"/>
    <w:rsid w:val="00161315"/>
    <w:rsid w:val="00161381"/>
    <w:rsid w:val="001614F3"/>
    <w:rsid w:val="001618A7"/>
    <w:rsid w:val="00161D87"/>
    <w:rsid w:val="00161D92"/>
    <w:rsid w:val="00161D9D"/>
    <w:rsid w:val="00161F05"/>
    <w:rsid w:val="00162229"/>
    <w:rsid w:val="001623BF"/>
    <w:rsid w:val="00162492"/>
    <w:rsid w:val="00162C1D"/>
    <w:rsid w:val="001631E1"/>
    <w:rsid w:val="00163593"/>
    <w:rsid w:val="00163B10"/>
    <w:rsid w:val="00163C70"/>
    <w:rsid w:val="0016406B"/>
    <w:rsid w:val="00164430"/>
    <w:rsid w:val="00164AAA"/>
    <w:rsid w:val="00164D47"/>
    <w:rsid w:val="00164D6D"/>
    <w:rsid w:val="00165095"/>
    <w:rsid w:val="001650B0"/>
    <w:rsid w:val="00165772"/>
    <w:rsid w:val="0016592C"/>
    <w:rsid w:val="00165A08"/>
    <w:rsid w:val="00165A3D"/>
    <w:rsid w:val="00165D46"/>
    <w:rsid w:val="00165ED8"/>
    <w:rsid w:val="001662DE"/>
    <w:rsid w:val="001663E3"/>
    <w:rsid w:val="00166AD6"/>
    <w:rsid w:val="00166C2B"/>
    <w:rsid w:val="001671B6"/>
    <w:rsid w:val="001675F2"/>
    <w:rsid w:val="0016766D"/>
    <w:rsid w:val="001678AF"/>
    <w:rsid w:val="00167A4C"/>
    <w:rsid w:val="00167ABC"/>
    <w:rsid w:val="00167D03"/>
    <w:rsid w:val="00167FF1"/>
    <w:rsid w:val="001703CB"/>
    <w:rsid w:val="001704FB"/>
    <w:rsid w:val="00170A1A"/>
    <w:rsid w:val="00170AD0"/>
    <w:rsid w:val="00170CAD"/>
    <w:rsid w:val="0017108D"/>
    <w:rsid w:val="00171330"/>
    <w:rsid w:val="00171739"/>
    <w:rsid w:val="00171BE9"/>
    <w:rsid w:val="00171C56"/>
    <w:rsid w:val="00171F1D"/>
    <w:rsid w:val="001720C6"/>
    <w:rsid w:val="001720DF"/>
    <w:rsid w:val="0017224B"/>
    <w:rsid w:val="0017241C"/>
    <w:rsid w:val="00172538"/>
    <w:rsid w:val="00172539"/>
    <w:rsid w:val="001726E5"/>
    <w:rsid w:val="00172828"/>
    <w:rsid w:val="00172BDC"/>
    <w:rsid w:val="00172CA2"/>
    <w:rsid w:val="00172E6E"/>
    <w:rsid w:val="0017303B"/>
    <w:rsid w:val="001735AB"/>
    <w:rsid w:val="0017369E"/>
    <w:rsid w:val="00173741"/>
    <w:rsid w:val="0017386E"/>
    <w:rsid w:val="00173BC9"/>
    <w:rsid w:val="00173CF2"/>
    <w:rsid w:val="00173F3B"/>
    <w:rsid w:val="00174024"/>
    <w:rsid w:val="0017420E"/>
    <w:rsid w:val="001744B6"/>
    <w:rsid w:val="00174524"/>
    <w:rsid w:val="0017460F"/>
    <w:rsid w:val="00174925"/>
    <w:rsid w:val="00174A38"/>
    <w:rsid w:val="0017523B"/>
    <w:rsid w:val="00175240"/>
    <w:rsid w:val="001754CD"/>
    <w:rsid w:val="00175666"/>
    <w:rsid w:val="00175726"/>
    <w:rsid w:val="00175799"/>
    <w:rsid w:val="00175A31"/>
    <w:rsid w:val="0017610D"/>
    <w:rsid w:val="001764A8"/>
    <w:rsid w:val="001765BB"/>
    <w:rsid w:val="001766EB"/>
    <w:rsid w:val="001768FF"/>
    <w:rsid w:val="00176D48"/>
    <w:rsid w:val="00177301"/>
    <w:rsid w:val="00177370"/>
    <w:rsid w:val="0017749C"/>
    <w:rsid w:val="0017751D"/>
    <w:rsid w:val="001775B3"/>
    <w:rsid w:val="00177732"/>
    <w:rsid w:val="00177988"/>
    <w:rsid w:val="00177D9A"/>
    <w:rsid w:val="00177E19"/>
    <w:rsid w:val="00180310"/>
    <w:rsid w:val="00180469"/>
    <w:rsid w:val="00180591"/>
    <w:rsid w:val="001808A7"/>
    <w:rsid w:val="00180A4C"/>
    <w:rsid w:val="00180C61"/>
    <w:rsid w:val="001815BF"/>
    <w:rsid w:val="001815F0"/>
    <w:rsid w:val="00181736"/>
    <w:rsid w:val="00181A1E"/>
    <w:rsid w:val="00181D2C"/>
    <w:rsid w:val="00181EED"/>
    <w:rsid w:val="00181FBC"/>
    <w:rsid w:val="001825F0"/>
    <w:rsid w:val="001827B3"/>
    <w:rsid w:val="001827B6"/>
    <w:rsid w:val="0018330E"/>
    <w:rsid w:val="00183415"/>
    <w:rsid w:val="00183486"/>
    <w:rsid w:val="00183AA1"/>
    <w:rsid w:val="00183B23"/>
    <w:rsid w:val="00183B36"/>
    <w:rsid w:val="00183D32"/>
    <w:rsid w:val="00184054"/>
    <w:rsid w:val="0018473B"/>
    <w:rsid w:val="001847E8"/>
    <w:rsid w:val="00184821"/>
    <w:rsid w:val="00184D0D"/>
    <w:rsid w:val="00184E0A"/>
    <w:rsid w:val="00185083"/>
    <w:rsid w:val="0018521F"/>
    <w:rsid w:val="001854B9"/>
    <w:rsid w:val="0018574F"/>
    <w:rsid w:val="001859E3"/>
    <w:rsid w:val="00185B45"/>
    <w:rsid w:val="00185BD8"/>
    <w:rsid w:val="001862ED"/>
    <w:rsid w:val="00186429"/>
    <w:rsid w:val="00186520"/>
    <w:rsid w:val="00186735"/>
    <w:rsid w:val="00186798"/>
    <w:rsid w:val="001868A7"/>
    <w:rsid w:val="00186D7C"/>
    <w:rsid w:val="0018709A"/>
    <w:rsid w:val="00187584"/>
    <w:rsid w:val="0019015F"/>
    <w:rsid w:val="00190718"/>
    <w:rsid w:val="00190775"/>
    <w:rsid w:val="00190A12"/>
    <w:rsid w:val="00190B85"/>
    <w:rsid w:val="00190CAA"/>
    <w:rsid w:val="00190CC1"/>
    <w:rsid w:val="00190E94"/>
    <w:rsid w:val="001912DD"/>
    <w:rsid w:val="001913DA"/>
    <w:rsid w:val="001915DC"/>
    <w:rsid w:val="00191B55"/>
    <w:rsid w:val="00191B93"/>
    <w:rsid w:val="00191BAA"/>
    <w:rsid w:val="00191D2D"/>
    <w:rsid w:val="00191DC6"/>
    <w:rsid w:val="001927BA"/>
    <w:rsid w:val="00192B8B"/>
    <w:rsid w:val="00192F71"/>
    <w:rsid w:val="0019304B"/>
    <w:rsid w:val="001930FC"/>
    <w:rsid w:val="001931A1"/>
    <w:rsid w:val="00193307"/>
    <w:rsid w:val="00193879"/>
    <w:rsid w:val="00193B3E"/>
    <w:rsid w:val="00193C6E"/>
    <w:rsid w:val="00194485"/>
    <w:rsid w:val="00194660"/>
    <w:rsid w:val="001946B9"/>
    <w:rsid w:val="00194891"/>
    <w:rsid w:val="001949E3"/>
    <w:rsid w:val="00194CDC"/>
    <w:rsid w:val="00194D5B"/>
    <w:rsid w:val="00194F69"/>
    <w:rsid w:val="00195080"/>
    <w:rsid w:val="00195089"/>
    <w:rsid w:val="001950D7"/>
    <w:rsid w:val="00195288"/>
    <w:rsid w:val="001952A3"/>
    <w:rsid w:val="00195C83"/>
    <w:rsid w:val="00195F48"/>
    <w:rsid w:val="0019642F"/>
    <w:rsid w:val="0019648A"/>
    <w:rsid w:val="001964B2"/>
    <w:rsid w:val="00196A88"/>
    <w:rsid w:val="00196BE0"/>
    <w:rsid w:val="00196CBF"/>
    <w:rsid w:val="00196CEA"/>
    <w:rsid w:val="00197067"/>
    <w:rsid w:val="00197172"/>
    <w:rsid w:val="0019755A"/>
    <w:rsid w:val="00197E4E"/>
    <w:rsid w:val="001A0222"/>
    <w:rsid w:val="001A0439"/>
    <w:rsid w:val="001A0B97"/>
    <w:rsid w:val="001A0E3C"/>
    <w:rsid w:val="001A10CF"/>
    <w:rsid w:val="001A10D9"/>
    <w:rsid w:val="001A117C"/>
    <w:rsid w:val="001A1318"/>
    <w:rsid w:val="001A14AE"/>
    <w:rsid w:val="001A181F"/>
    <w:rsid w:val="001A1977"/>
    <w:rsid w:val="001A1B0E"/>
    <w:rsid w:val="001A2C1B"/>
    <w:rsid w:val="001A2D09"/>
    <w:rsid w:val="001A370A"/>
    <w:rsid w:val="001A3816"/>
    <w:rsid w:val="001A3893"/>
    <w:rsid w:val="001A3E71"/>
    <w:rsid w:val="001A4069"/>
    <w:rsid w:val="001A4107"/>
    <w:rsid w:val="001A44EE"/>
    <w:rsid w:val="001A4BF6"/>
    <w:rsid w:val="001A4D1C"/>
    <w:rsid w:val="001A4F37"/>
    <w:rsid w:val="001A5152"/>
    <w:rsid w:val="001A54BD"/>
    <w:rsid w:val="001A5577"/>
    <w:rsid w:val="001A5981"/>
    <w:rsid w:val="001A5ADE"/>
    <w:rsid w:val="001A5C32"/>
    <w:rsid w:val="001A619C"/>
    <w:rsid w:val="001A634C"/>
    <w:rsid w:val="001A64B2"/>
    <w:rsid w:val="001A6797"/>
    <w:rsid w:val="001A6856"/>
    <w:rsid w:val="001A696A"/>
    <w:rsid w:val="001A6C1D"/>
    <w:rsid w:val="001A6CEB"/>
    <w:rsid w:val="001A6D05"/>
    <w:rsid w:val="001A6E58"/>
    <w:rsid w:val="001A6FCE"/>
    <w:rsid w:val="001A704A"/>
    <w:rsid w:val="001A71EB"/>
    <w:rsid w:val="001A72F0"/>
    <w:rsid w:val="001A74FC"/>
    <w:rsid w:val="001A7758"/>
    <w:rsid w:val="001A78DA"/>
    <w:rsid w:val="001A7A53"/>
    <w:rsid w:val="001A7ADA"/>
    <w:rsid w:val="001A7B4A"/>
    <w:rsid w:val="001A7BA2"/>
    <w:rsid w:val="001A7E36"/>
    <w:rsid w:val="001B030A"/>
    <w:rsid w:val="001B0596"/>
    <w:rsid w:val="001B0892"/>
    <w:rsid w:val="001B098D"/>
    <w:rsid w:val="001B0F1F"/>
    <w:rsid w:val="001B16C8"/>
    <w:rsid w:val="001B187A"/>
    <w:rsid w:val="001B1D7B"/>
    <w:rsid w:val="001B1E4E"/>
    <w:rsid w:val="001B1FF3"/>
    <w:rsid w:val="001B2116"/>
    <w:rsid w:val="001B258A"/>
    <w:rsid w:val="001B2F12"/>
    <w:rsid w:val="001B3014"/>
    <w:rsid w:val="001B30B6"/>
    <w:rsid w:val="001B30C2"/>
    <w:rsid w:val="001B3574"/>
    <w:rsid w:val="001B375B"/>
    <w:rsid w:val="001B379F"/>
    <w:rsid w:val="001B395F"/>
    <w:rsid w:val="001B408B"/>
    <w:rsid w:val="001B461B"/>
    <w:rsid w:val="001B4783"/>
    <w:rsid w:val="001B4CCE"/>
    <w:rsid w:val="001B4EA5"/>
    <w:rsid w:val="001B5303"/>
    <w:rsid w:val="001B538C"/>
    <w:rsid w:val="001B54C3"/>
    <w:rsid w:val="001B5955"/>
    <w:rsid w:val="001B5B27"/>
    <w:rsid w:val="001B5C8C"/>
    <w:rsid w:val="001B5D39"/>
    <w:rsid w:val="001B5F69"/>
    <w:rsid w:val="001B612F"/>
    <w:rsid w:val="001B616D"/>
    <w:rsid w:val="001B625D"/>
    <w:rsid w:val="001B62FB"/>
    <w:rsid w:val="001B6306"/>
    <w:rsid w:val="001B6626"/>
    <w:rsid w:val="001B66FB"/>
    <w:rsid w:val="001B6727"/>
    <w:rsid w:val="001B676E"/>
    <w:rsid w:val="001B6B37"/>
    <w:rsid w:val="001B6C10"/>
    <w:rsid w:val="001B6DCD"/>
    <w:rsid w:val="001B72FD"/>
    <w:rsid w:val="001B74FD"/>
    <w:rsid w:val="001B765B"/>
    <w:rsid w:val="001B7883"/>
    <w:rsid w:val="001B7E30"/>
    <w:rsid w:val="001C018A"/>
    <w:rsid w:val="001C026F"/>
    <w:rsid w:val="001C09CD"/>
    <w:rsid w:val="001C0AEB"/>
    <w:rsid w:val="001C1273"/>
    <w:rsid w:val="001C16AC"/>
    <w:rsid w:val="001C1C8E"/>
    <w:rsid w:val="001C1CF7"/>
    <w:rsid w:val="001C1F10"/>
    <w:rsid w:val="001C20CE"/>
    <w:rsid w:val="001C25AA"/>
    <w:rsid w:val="001C273E"/>
    <w:rsid w:val="001C2B1A"/>
    <w:rsid w:val="001C2C64"/>
    <w:rsid w:val="001C2F2F"/>
    <w:rsid w:val="001C2FC7"/>
    <w:rsid w:val="001C3224"/>
    <w:rsid w:val="001C3461"/>
    <w:rsid w:val="001C34A2"/>
    <w:rsid w:val="001C3501"/>
    <w:rsid w:val="001C38B0"/>
    <w:rsid w:val="001C3CEF"/>
    <w:rsid w:val="001C3E69"/>
    <w:rsid w:val="001C4183"/>
    <w:rsid w:val="001C48F4"/>
    <w:rsid w:val="001C49E3"/>
    <w:rsid w:val="001C4B5C"/>
    <w:rsid w:val="001C4C04"/>
    <w:rsid w:val="001C4FBF"/>
    <w:rsid w:val="001C5148"/>
    <w:rsid w:val="001C5288"/>
    <w:rsid w:val="001C54DE"/>
    <w:rsid w:val="001C5734"/>
    <w:rsid w:val="001C5990"/>
    <w:rsid w:val="001C5C13"/>
    <w:rsid w:val="001C603F"/>
    <w:rsid w:val="001C60FC"/>
    <w:rsid w:val="001C63C6"/>
    <w:rsid w:val="001C6460"/>
    <w:rsid w:val="001C69D5"/>
    <w:rsid w:val="001C6AB1"/>
    <w:rsid w:val="001C6B6E"/>
    <w:rsid w:val="001C719A"/>
    <w:rsid w:val="001C7870"/>
    <w:rsid w:val="001C7F3B"/>
    <w:rsid w:val="001C7F48"/>
    <w:rsid w:val="001D0152"/>
    <w:rsid w:val="001D030B"/>
    <w:rsid w:val="001D0398"/>
    <w:rsid w:val="001D0516"/>
    <w:rsid w:val="001D0D8F"/>
    <w:rsid w:val="001D15A6"/>
    <w:rsid w:val="001D1C18"/>
    <w:rsid w:val="001D1D0A"/>
    <w:rsid w:val="001D1DA6"/>
    <w:rsid w:val="001D1FA6"/>
    <w:rsid w:val="001D217A"/>
    <w:rsid w:val="001D2350"/>
    <w:rsid w:val="001D244C"/>
    <w:rsid w:val="001D284F"/>
    <w:rsid w:val="001D2A3A"/>
    <w:rsid w:val="001D2ED3"/>
    <w:rsid w:val="001D2EFC"/>
    <w:rsid w:val="001D33D0"/>
    <w:rsid w:val="001D34C8"/>
    <w:rsid w:val="001D3643"/>
    <w:rsid w:val="001D3694"/>
    <w:rsid w:val="001D384A"/>
    <w:rsid w:val="001D4216"/>
    <w:rsid w:val="001D435D"/>
    <w:rsid w:val="001D450D"/>
    <w:rsid w:val="001D4586"/>
    <w:rsid w:val="001D4A2B"/>
    <w:rsid w:val="001D4A39"/>
    <w:rsid w:val="001D4D9F"/>
    <w:rsid w:val="001D4EA1"/>
    <w:rsid w:val="001D55AE"/>
    <w:rsid w:val="001D5701"/>
    <w:rsid w:val="001D5D32"/>
    <w:rsid w:val="001D5F71"/>
    <w:rsid w:val="001D6134"/>
    <w:rsid w:val="001D6194"/>
    <w:rsid w:val="001D6222"/>
    <w:rsid w:val="001D62F0"/>
    <w:rsid w:val="001D63B0"/>
    <w:rsid w:val="001D65C5"/>
    <w:rsid w:val="001D72A1"/>
    <w:rsid w:val="001D73FA"/>
    <w:rsid w:val="001D744F"/>
    <w:rsid w:val="001D7897"/>
    <w:rsid w:val="001D7F8B"/>
    <w:rsid w:val="001E0135"/>
    <w:rsid w:val="001E05EE"/>
    <w:rsid w:val="001E07E9"/>
    <w:rsid w:val="001E090E"/>
    <w:rsid w:val="001E0AA4"/>
    <w:rsid w:val="001E0BC4"/>
    <w:rsid w:val="001E0CF9"/>
    <w:rsid w:val="001E0EDE"/>
    <w:rsid w:val="001E1175"/>
    <w:rsid w:val="001E1234"/>
    <w:rsid w:val="001E1532"/>
    <w:rsid w:val="001E1680"/>
    <w:rsid w:val="001E16FD"/>
    <w:rsid w:val="001E172D"/>
    <w:rsid w:val="001E1B0C"/>
    <w:rsid w:val="001E1B20"/>
    <w:rsid w:val="001E1D56"/>
    <w:rsid w:val="001E1D7B"/>
    <w:rsid w:val="001E1F3C"/>
    <w:rsid w:val="001E2528"/>
    <w:rsid w:val="001E25BC"/>
    <w:rsid w:val="001E26D3"/>
    <w:rsid w:val="001E2834"/>
    <w:rsid w:val="001E2870"/>
    <w:rsid w:val="001E2899"/>
    <w:rsid w:val="001E28D6"/>
    <w:rsid w:val="001E31A0"/>
    <w:rsid w:val="001E32D8"/>
    <w:rsid w:val="001E3353"/>
    <w:rsid w:val="001E354A"/>
    <w:rsid w:val="001E3776"/>
    <w:rsid w:val="001E3B1C"/>
    <w:rsid w:val="001E3EAF"/>
    <w:rsid w:val="001E401B"/>
    <w:rsid w:val="001E4298"/>
    <w:rsid w:val="001E4507"/>
    <w:rsid w:val="001E4686"/>
    <w:rsid w:val="001E4999"/>
    <w:rsid w:val="001E4C95"/>
    <w:rsid w:val="001E4D86"/>
    <w:rsid w:val="001E4E2A"/>
    <w:rsid w:val="001E4FAC"/>
    <w:rsid w:val="001E5022"/>
    <w:rsid w:val="001E51E1"/>
    <w:rsid w:val="001E531A"/>
    <w:rsid w:val="001E54F9"/>
    <w:rsid w:val="001E5652"/>
    <w:rsid w:val="001E5757"/>
    <w:rsid w:val="001E5D69"/>
    <w:rsid w:val="001E699E"/>
    <w:rsid w:val="001E6D71"/>
    <w:rsid w:val="001E6E03"/>
    <w:rsid w:val="001E7076"/>
    <w:rsid w:val="001E70A6"/>
    <w:rsid w:val="001E7411"/>
    <w:rsid w:val="001E77DE"/>
    <w:rsid w:val="001E7E1E"/>
    <w:rsid w:val="001F058F"/>
    <w:rsid w:val="001F06B1"/>
    <w:rsid w:val="001F0BD9"/>
    <w:rsid w:val="001F0CC6"/>
    <w:rsid w:val="001F0FBC"/>
    <w:rsid w:val="001F0FBE"/>
    <w:rsid w:val="001F14A3"/>
    <w:rsid w:val="001F16B1"/>
    <w:rsid w:val="001F17A6"/>
    <w:rsid w:val="001F184F"/>
    <w:rsid w:val="001F19E6"/>
    <w:rsid w:val="001F1B08"/>
    <w:rsid w:val="001F1D1D"/>
    <w:rsid w:val="001F2028"/>
    <w:rsid w:val="001F22E4"/>
    <w:rsid w:val="001F2470"/>
    <w:rsid w:val="001F2602"/>
    <w:rsid w:val="001F2B15"/>
    <w:rsid w:val="001F2B3B"/>
    <w:rsid w:val="001F2BB3"/>
    <w:rsid w:val="001F3084"/>
    <w:rsid w:val="001F33B7"/>
    <w:rsid w:val="001F345C"/>
    <w:rsid w:val="001F37D5"/>
    <w:rsid w:val="001F3821"/>
    <w:rsid w:val="001F3895"/>
    <w:rsid w:val="001F39F4"/>
    <w:rsid w:val="001F3C50"/>
    <w:rsid w:val="001F3E5B"/>
    <w:rsid w:val="001F3F9C"/>
    <w:rsid w:val="001F452F"/>
    <w:rsid w:val="001F47BD"/>
    <w:rsid w:val="001F4834"/>
    <w:rsid w:val="001F4842"/>
    <w:rsid w:val="001F49EA"/>
    <w:rsid w:val="001F4E4C"/>
    <w:rsid w:val="001F51D1"/>
    <w:rsid w:val="001F5271"/>
    <w:rsid w:val="001F52A0"/>
    <w:rsid w:val="001F578A"/>
    <w:rsid w:val="001F5981"/>
    <w:rsid w:val="001F599F"/>
    <w:rsid w:val="001F5B81"/>
    <w:rsid w:val="001F60C9"/>
    <w:rsid w:val="001F622D"/>
    <w:rsid w:val="001F631F"/>
    <w:rsid w:val="001F6354"/>
    <w:rsid w:val="001F6E39"/>
    <w:rsid w:val="001F70E5"/>
    <w:rsid w:val="001F7411"/>
    <w:rsid w:val="001F74EC"/>
    <w:rsid w:val="001F7BC0"/>
    <w:rsid w:val="002002DE"/>
    <w:rsid w:val="002003BB"/>
    <w:rsid w:val="0020075B"/>
    <w:rsid w:val="00200BAE"/>
    <w:rsid w:val="00200BEF"/>
    <w:rsid w:val="00200DA6"/>
    <w:rsid w:val="00201000"/>
    <w:rsid w:val="0020126C"/>
    <w:rsid w:val="0020139C"/>
    <w:rsid w:val="002013D6"/>
    <w:rsid w:val="00201735"/>
    <w:rsid w:val="002018CA"/>
    <w:rsid w:val="00201DAF"/>
    <w:rsid w:val="00201EFD"/>
    <w:rsid w:val="00201F93"/>
    <w:rsid w:val="00202465"/>
    <w:rsid w:val="002026EC"/>
    <w:rsid w:val="00202848"/>
    <w:rsid w:val="00202B6C"/>
    <w:rsid w:val="00202DFE"/>
    <w:rsid w:val="002032D8"/>
    <w:rsid w:val="00203BC1"/>
    <w:rsid w:val="00203F53"/>
    <w:rsid w:val="00204474"/>
    <w:rsid w:val="002045D9"/>
    <w:rsid w:val="00204982"/>
    <w:rsid w:val="00204EF6"/>
    <w:rsid w:val="002050FE"/>
    <w:rsid w:val="0020519A"/>
    <w:rsid w:val="002051C8"/>
    <w:rsid w:val="002053AB"/>
    <w:rsid w:val="002055CA"/>
    <w:rsid w:val="00205B99"/>
    <w:rsid w:val="00205BE3"/>
    <w:rsid w:val="00205EBD"/>
    <w:rsid w:val="00206130"/>
    <w:rsid w:val="00206522"/>
    <w:rsid w:val="002068D0"/>
    <w:rsid w:val="002069C7"/>
    <w:rsid w:val="00206D42"/>
    <w:rsid w:val="00207098"/>
    <w:rsid w:val="002070FA"/>
    <w:rsid w:val="00207340"/>
    <w:rsid w:val="002074B9"/>
    <w:rsid w:val="002074D5"/>
    <w:rsid w:val="002078CE"/>
    <w:rsid w:val="002078FB"/>
    <w:rsid w:val="00207B98"/>
    <w:rsid w:val="00207D78"/>
    <w:rsid w:val="00207F36"/>
    <w:rsid w:val="002100F2"/>
    <w:rsid w:val="00210417"/>
    <w:rsid w:val="002106D1"/>
    <w:rsid w:val="002107BB"/>
    <w:rsid w:val="002108A1"/>
    <w:rsid w:val="00210966"/>
    <w:rsid w:val="00210986"/>
    <w:rsid w:val="00210C6C"/>
    <w:rsid w:val="00210EA3"/>
    <w:rsid w:val="00210F50"/>
    <w:rsid w:val="0021104C"/>
    <w:rsid w:val="00211426"/>
    <w:rsid w:val="00211639"/>
    <w:rsid w:val="0021187B"/>
    <w:rsid w:val="002118EB"/>
    <w:rsid w:val="00211AFA"/>
    <w:rsid w:val="00212406"/>
    <w:rsid w:val="00212442"/>
    <w:rsid w:val="00212497"/>
    <w:rsid w:val="0021250B"/>
    <w:rsid w:val="002125A6"/>
    <w:rsid w:val="0021263B"/>
    <w:rsid w:val="00212696"/>
    <w:rsid w:val="00212CE1"/>
    <w:rsid w:val="00212CFA"/>
    <w:rsid w:val="00212D32"/>
    <w:rsid w:val="00212E4A"/>
    <w:rsid w:val="00213018"/>
    <w:rsid w:val="00213437"/>
    <w:rsid w:val="002136D4"/>
    <w:rsid w:val="00213790"/>
    <w:rsid w:val="00213B48"/>
    <w:rsid w:val="00213C5E"/>
    <w:rsid w:val="00213CE0"/>
    <w:rsid w:val="00213CE5"/>
    <w:rsid w:val="00213E65"/>
    <w:rsid w:val="00213ED9"/>
    <w:rsid w:val="00213F6F"/>
    <w:rsid w:val="002142E0"/>
    <w:rsid w:val="00214316"/>
    <w:rsid w:val="002148F8"/>
    <w:rsid w:val="002148FF"/>
    <w:rsid w:val="00214F9B"/>
    <w:rsid w:val="002151F4"/>
    <w:rsid w:val="002151F7"/>
    <w:rsid w:val="002152CC"/>
    <w:rsid w:val="002152E6"/>
    <w:rsid w:val="00215457"/>
    <w:rsid w:val="00215524"/>
    <w:rsid w:val="0021561D"/>
    <w:rsid w:val="002157E6"/>
    <w:rsid w:val="002159FC"/>
    <w:rsid w:val="00215E3C"/>
    <w:rsid w:val="00215F55"/>
    <w:rsid w:val="002165D5"/>
    <w:rsid w:val="002168DA"/>
    <w:rsid w:val="00217064"/>
    <w:rsid w:val="002171CF"/>
    <w:rsid w:val="002177E0"/>
    <w:rsid w:val="002179B7"/>
    <w:rsid w:val="00217EAF"/>
    <w:rsid w:val="00217FAD"/>
    <w:rsid w:val="0022031B"/>
    <w:rsid w:val="002203FB"/>
    <w:rsid w:val="002204BC"/>
    <w:rsid w:val="00220908"/>
    <w:rsid w:val="00220CE7"/>
    <w:rsid w:val="00220F83"/>
    <w:rsid w:val="00221426"/>
    <w:rsid w:val="00221BC5"/>
    <w:rsid w:val="00221E5B"/>
    <w:rsid w:val="00221F4B"/>
    <w:rsid w:val="00222195"/>
    <w:rsid w:val="00222370"/>
    <w:rsid w:val="002223AC"/>
    <w:rsid w:val="002233A3"/>
    <w:rsid w:val="00223C6A"/>
    <w:rsid w:val="00223E13"/>
    <w:rsid w:val="002244DF"/>
    <w:rsid w:val="00224568"/>
    <w:rsid w:val="00224A48"/>
    <w:rsid w:val="00224B7A"/>
    <w:rsid w:val="00224BE4"/>
    <w:rsid w:val="00224E87"/>
    <w:rsid w:val="00224EFB"/>
    <w:rsid w:val="00224F23"/>
    <w:rsid w:val="002253C8"/>
    <w:rsid w:val="002254E4"/>
    <w:rsid w:val="00225725"/>
    <w:rsid w:val="0022573D"/>
    <w:rsid w:val="00225820"/>
    <w:rsid w:val="0022599C"/>
    <w:rsid w:val="0022605B"/>
    <w:rsid w:val="002267F3"/>
    <w:rsid w:val="0022689A"/>
    <w:rsid w:val="002268E8"/>
    <w:rsid w:val="00226A64"/>
    <w:rsid w:val="00226ACA"/>
    <w:rsid w:val="00226D2F"/>
    <w:rsid w:val="00226D4E"/>
    <w:rsid w:val="00226DE8"/>
    <w:rsid w:val="00226E3F"/>
    <w:rsid w:val="00227551"/>
    <w:rsid w:val="002276D4"/>
    <w:rsid w:val="00227829"/>
    <w:rsid w:val="0022799F"/>
    <w:rsid w:val="00227BB7"/>
    <w:rsid w:val="00230407"/>
    <w:rsid w:val="0023047B"/>
    <w:rsid w:val="00230512"/>
    <w:rsid w:val="0023056B"/>
    <w:rsid w:val="002305CC"/>
    <w:rsid w:val="00230731"/>
    <w:rsid w:val="0023075B"/>
    <w:rsid w:val="00230895"/>
    <w:rsid w:val="00230E31"/>
    <w:rsid w:val="00230ECE"/>
    <w:rsid w:val="002311C4"/>
    <w:rsid w:val="00231208"/>
    <w:rsid w:val="0023156C"/>
    <w:rsid w:val="00231817"/>
    <w:rsid w:val="00231883"/>
    <w:rsid w:val="002318DC"/>
    <w:rsid w:val="00231D86"/>
    <w:rsid w:val="002321C5"/>
    <w:rsid w:val="00232433"/>
    <w:rsid w:val="00232499"/>
    <w:rsid w:val="00232533"/>
    <w:rsid w:val="002325EE"/>
    <w:rsid w:val="00232644"/>
    <w:rsid w:val="00232DB4"/>
    <w:rsid w:val="00232F5E"/>
    <w:rsid w:val="00233052"/>
    <w:rsid w:val="00233067"/>
    <w:rsid w:val="0023323B"/>
    <w:rsid w:val="0023338D"/>
    <w:rsid w:val="002333A7"/>
    <w:rsid w:val="0023353B"/>
    <w:rsid w:val="0023360E"/>
    <w:rsid w:val="0023364F"/>
    <w:rsid w:val="00233758"/>
    <w:rsid w:val="002339D8"/>
    <w:rsid w:val="00233CB9"/>
    <w:rsid w:val="00233F83"/>
    <w:rsid w:val="002340E2"/>
    <w:rsid w:val="00234232"/>
    <w:rsid w:val="002342D8"/>
    <w:rsid w:val="0023466B"/>
    <w:rsid w:val="00234C4E"/>
    <w:rsid w:val="00234C69"/>
    <w:rsid w:val="00234C7C"/>
    <w:rsid w:val="00234EB9"/>
    <w:rsid w:val="00235118"/>
    <w:rsid w:val="00235202"/>
    <w:rsid w:val="00235635"/>
    <w:rsid w:val="002356FA"/>
    <w:rsid w:val="00235713"/>
    <w:rsid w:val="0023590E"/>
    <w:rsid w:val="00235BB9"/>
    <w:rsid w:val="00235E72"/>
    <w:rsid w:val="00236121"/>
    <w:rsid w:val="0023624D"/>
    <w:rsid w:val="00236455"/>
    <w:rsid w:val="00236579"/>
    <w:rsid w:val="00236587"/>
    <w:rsid w:val="002368BA"/>
    <w:rsid w:val="00236F8F"/>
    <w:rsid w:val="0023728C"/>
    <w:rsid w:val="0023754A"/>
    <w:rsid w:val="00237BFF"/>
    <w:rsid w:val="0024009D"/>
    <w:rsid w:val="0024025D"/>
    <w:rsid w:val="002404C4"/>
    <w:rsid w:val="00240633"/>
    <w:rsid w:val="00240699"/>
    <w:rsid w:val="00240834"/>
    <w:rsid w:val="00240AB2"/>
    <w:rsid w:val="00240D5B"/>
    <w:rsid w:val="00241081"/>
    <w:rsid w:val="00241474"/>
    <w:rsid w:val="00241524"/>
    <w:rsid w:val="0024171F"/>
    <w:rsid w:val="002417CA"/>
    <w:rsid w:val="00241AF5"/>
    <w:rsid w:val="00241CB9"/>
    <w:rsid w:val="00241D0C"/>
    <w:rsid w:val="00242097"/>
    <w:rsid w:val="00242202"/>
    <w:rsid w:val="00242452"/>
    <w:rsid w:val="0024255C"/>
    <w:rsid w:val="00242612"/>
    <w:rsid w:val="002429C3"/>
    <w:rsid w:val="00242A45"/>
    <w:rsid w:val="00242B55"/>
    <w:rsid w:val="00242B9B"/>
    <w:rsid w:val="00243169"/>
    <w:rsid w:val="002431FF"/>
    <w:rsid w:val="00243228"/>
    <w:rsid w:val="00243AA7"/>
    <w:rsid w:val="00243E38"/>
    <w:rsid w:val="0024411B"/>
    <w:rsid w:val="002449C6"/>
    <w:rsid w:val="00244D0F"/>
    <w:rsid w:val="00244EE3"/>
    <w:rsid w:val="002453AC"/>
    <w:rsid w:val="002453B8"/>
    <w:rsid w:val="0024568E"/>
    <w:rsid w:val="00245BE9"/>
    <w:rsid w:val="00245C59"/>
    <w:rsid w:val="00245E35"/>
    <w:rsid w:val="00245F01"/>
    <w:rsid w:val="0024603D"/>
    <w:rsid w:val="00246179"/>
    <w:rsid w:val="0024620F"/>
    <w:rsid w:val="00246260"/>
    <w:rsid w:val="0024648B"/>
    <w:rsid w:val="002465E8"/>
    <w:rsid w:val="002468BF"/>
    <w:rsid w:val="00246BB7"/>
    <w:rsid w:val="00246C87"/>
    <w:rsid w:val="002470D2"/>
    <w:rsid w:val="002471DB"/>
    <w:rsid w:val="002472DE"/>
    <w:rsid w:val="002473B9"/>
    <w:rsid w:val="002474AE"/>
    <w:rsid w:val="0024767F"/>
    <w:rsid w:val="00247727"/>
    <w:rsid w:val="00247747"/>
    <w:rsid w:val="00247861"/>
    <w:rsid w:val="00247864"/>
    <w:rsid w:val="00247AFC"/>
    <w:rsid w:val="002501A9"/>
    <w:rsid w:val="002501EC"/>
    <w:rsid w:val="00250245"/>
    <w:rsid w:val="0025043B"/>
    <w:rsid w:val="002507E8"/>
    <w:rsid w:val="00250833"/>
    <w:rsid w:val="00251A70"/>
    <w:rsid w:val="00251BE5"/>
    <w:rsid w:val="00251C09"/>
    <w:rsid w:val="00251C21"/>
    <w:rsid w:val="00251DB0"/>
    <w:rsid w:val="00251EDB"/>
    <w:rsid w:val="00251F5A"/>
    <w:rsid w:val="002527D7"/>
    <w:rsid w:val="00252994"/>
    <w:rsid w:val="00252E89"/>
    <w:rsid w:val="0025315E"/>
    <w:rsid w:val="002531A2"/>
    <w:rsid w:val="0025324A"/>
    <w:rsid w:val="00253562"/>
    <w:rsid w:val="00253CC1"/>
    <w:rsid w:val="00253DD1"/>
    <w:rsid w:val="00253DFB"/>
    <w:rsid w:val="00253E4D"/>
    <w:rsid w:val="00253E56"/>
    <w:rsid w:val="00253F6B"/>
    <w:rsid w:val="0025427C"/>
    <w:rsid w:val="002542DB"/>
    <w:rsid w:val="002544B9"/>
    <w:rsid w:val="0025451D"/>
    <w:rsid w:val="00254C0B"/>
    <w:rsid w:val="00254E0B"/>
    <w:rsid w:val="002551D0"/>
    <w:rsid w:val="00255411"/>
    <w:rsid w:val="00255585"/>
    <w:rsid w:val="0025582B"/>
    <w:rsid w:val="0025583B"/>
    <w:rsid w:val="00255E2E"/>
    <w:rsid w:val="00256DD5"/>
    <w:rsid w:val="002572C2"/>
    <w:rsid w:val="002573C7"/>
    <w:rsid w:val="002575D6"/>
    <w:rsid w:val="002577E0"/>
    <w:rsid w:val="00257AB4"/>
    <w:rsid w:val="00257E36"/>
    <w:rsid w:val="00257E69"/>
    <w:rsid w:val="002603F1"/>
    <w:rsid w:val="00260483"/>
    <w:rsid w:val="002606FE"/>
    <w:rsid w:val="00260C34"/>
    <w:rsid w:val="00260F43"/>
    <w:rsid w:val="00261174"/>
    <w:rsid w:val="00261435"/>
    <w:rsid w:val="002614BF"/>
    <w:rsid w:val="0026159F"/>
    <w:rsid w:val="002622AD"/>
    <w:rsid w:val="0026288D"/>
    <w:rsid w:val="00262CB6"/>
    <w:rsid w:val="00262D54"/>
    <w:rsid w:val="00262DDA"/>
    <w:rsid w:val="0026319A"/>
    <w:rsid w:val="0026338F"/>
    <w:rsid w:val="0026346D"/>
    <w:rsid w:val="002639AB"/>
    <w:rsid w:val="00263A7F"/>
    <w:rsid w:val="00263EB1"/>
    <w:rsid w:val="00263F3E"/>
    <w:rsid w:val="002643D4"/>
    <w:rsid w:val="002645DA"/>
    <w:rsid w:val="00264688"/>
    <w:rsid w:val="00264766"/>
    <w:rsid w:val="002647BA"/>
    <w:rsid w:val="00264865"/>
    <w:rsid w:val="00264993"/>
    <w:rsid w:val="00264B52"/>
    <w:rsid w:val="00265011"/>
    <w:rsid w:val="002650AD"/>
    <w:rsid w:val="00265665"/>
    <w:rsid w:val="00265938"/>
    <w:rsid w:val="00265C04"/>
    <w:rsid w:val="00265F7F"/>
    <w:rsid w:val="002661E9"/>
    <w:rsid w:val="00266393"/>
    <w:rsid w:val="002664DF"/>
    <w:rsid w:val="00266615"/>
    <w:rsid w:val="00266629"/>
    <w:rsid w:val="002666F6"/>
    <w:rsid w:val="00266743"/>
    <w:rsid w:val="0026686B"/>
    <w:rsid w:val="00266874"/>
    <w:rsid w:val="00266939"/>
    <w:rsid w:val="00266B42"/>
    <w:rsid w:val="00266B68"/>
    <w:rsid w:val="00266E36"/>
    <w:rsid w:val="00267082"/>
    <w:rsid w:val="00267529"/>
    <w:rsid w:val="00267859"/>
    <w:rsid w:val="00267A2B"/>
    <w:rsid w:val="00267B07"/>
    <w:rsid w:val="00267C32"/>
    <w:rsid w:val="002700F0"/>
    <w:rsid w:val="00270813"/>
    <w:rsid w:val="002715CF"/>
    <w:rsid w:val="0027232C"/>
    <w:rsid w:val="002725C0"/>
    <w:rsid w:val="002726BB"/>
    <w:rsid w:val="00272731"/>
    <w:rsid w:val="00272769"/>
    <w:rsid w:val="00272E42"/>
    <w:rsid w:val="00272E91"/>
    <w:rsid w:val="0027304B"/>
    <w:rsid w:val="002734C0"/>
    <w:rsid w:val="00273942"/>
    <w:rsid w:val="00273AF4"/>
    <w:rsid w:val="00273C4F"/>
    <w:rsid w:val="00273CC0"/>
    <w:rsid w:val="00273E4E"/>
    <w:rsid w:val="00273F9F"/>
    <w:rsid w:val="00273FBB"/>
    <w:rsid w:val="0027468F"/>
    <w:rsid w:val="00274751"/>
    <w:rsid w:val="00274DCB"/>
    <w:rsid w:val="00275115"/>
    <w:rsid w:val="00275C50"/>
    <w:rsid w:val="00275F94"/>
    <w:rsid w:val="002762B3"/>
    <w:rsid w:val="002764F8"/>
    <w:rsid w:val="002767CB"/>
    <w:rsid w:val="00276DBE"/>
    <w:rsid w:val="0027727B"/>
    <w:rsid w:val="002773AD"/>
    <w:rsid w:val="002775D9"/>
    <w:rsid w:val="00277690"/>
    <w:rsid w:val="002776DD"/>
    <w:rsid w:val="002776F0"/>
    <w:rsid w:val="002777F2"/>
    <w:rsid w:val="00277844"/>
    <w:rsid w:val="00277DC5"/>
    <w:rsid w:val="002801D1"/>
    <w:rsid w:val="0028050D"/>
    <w:rsid w:val="00280984"/>
    <w:rsid w:val="00280ADD"/>
    <w:rsid w:val="00280CF6"/>
    <w:rsid w:val="00280DD9"/>
    <w:rsid w:val="0028143C"/>
    <w:rsid w:val="00281EB9"/>
    <w:rsid w:val="00281FA5"/>
    <w:rsid w:val="002820F0"/>
    <w:rsid w:val="002821DE"/>
    <w:rsid w:val="002828CD"/>
    <w:rsid w:val="002829CC"/>
    <w:rsid w:val="00282A70"/>
    <w:rsid w:val="00282F92"/>
    <w:rsid w:val="0028320C"/>
    <w:rsid w:val="00283395"/>
    <w:rsid w:val="002833E9"/>
    <w:rsid w:val="00283730"/>
    <w:rsid w:val="002839B7"/>
    <w:rsid w:val="00283E26"/>
    <w:rsid w:val="00283E44"/>
    <w:rsid w:val="00284022"/>
    <w:rsid w:val="00284158"/>
    <w:rsid w:val="00284178"/>
    <w:rsid w:val="0028419C"/>
    <w:rsid w:val="00284225"/>
    <w:rsid w:val="0028426C"/>
    <w:rsid w:val="0028469A"/>
    <w:rsid w:val="00284721"/>
    <w:rsid w:val="00284735"/>
    <w:rsid w:val="002849A3"/>
    <w:rsid w:val="0028519C"/>
    <w:rsid w:val="002851BC"/>
    <w:rsid w:val="0028539D"/>
    <w:rsid w:val="002854A2"/>
    <w:rsid w:val="0028559A"/>
    <w:rsid w:val="00285C0B"/>
    <w:rsid w:val="00285D02"/>
    <w:rsid w:val="00286101"/>
    <w:rsid w:val="00286120"/>
    <w:rsid w:val="00286528"/>
    <w:rsid w:val="00286587"/>
    <w:rsid w:val="0028680B"/>
    <w:rsid w:val="002868B1"/>
    <w:rsid w:val="0028693D"/>
    <w:rsid w:val="00286E07"/>
    <w:rsid w:val="002874BE"/>
    <w:rsid w:val="00287671"/>
    <w:rsid w:val="002877E5"/>
    <w:rsid w:val="00287A19"/>
    <w:rsid w:val="00287A94"/>
    <w:rsid w:val="00287AB2"/>
    <w:rsid w:val="00287DCC"/>
    <w:rsid w:val="00287FD9"/>
    <w:rsid w:val="002901B5"/>
    <w:rsid w:val="0029056B"/>
    <w:rsid w:val="00291065"/>
    <w:rsid w:val="00291313"/>
    <w:rsid w:val="0029138E"/>
    <w:rsid w:val="002918A2"/>
    <w:rsid w:val="00291912"/>
    <w:rsid w:val="00291ADA"/>
    <w:rsid w:val="00291E11"/>
    <w:rsid w:val="00292159"/>
    <w:rsid w:val="0029232E"/>
    <w:rsid w:val="00292499"/>
    <w:rsid w:val="002929D7"/>
    <w:rsid w:val="00292AF8"/>
    <w:rsid w:val="00292F09"/>
    <w:rsid w:val="00292FA7"/>
    <w:rsid w:val="00293406"/>
    <w:rsid w:val="0029340D"/>
    <w:rsid w:val="0029368F"/>
    <w:rsid w:val="002936E1"/>
    <w:rsid w:val="0029383E"/>
    <w:rsid w:val="002938CD"/>
    <w:rsid w:val="002939E1"/>
    <w:rsid w:val="002939F6"/>
    <w:rsid w:val="00293EB2"/>
    <w:rsid w:val="00293ED5"/>
    <w:rsid w:val="002944BF"/>
    <w:rsid w:val="00294591"/>
    <w:rsid w:val="002947BB"/>
    <w:rsid w:val="002948F5"/>
    <w:rsid w:val="00294A50"/>
    <w:rsid w:val="00294AF5"/>
    <w:rsid w:val="00294B23"/>
    <w:rsid w:val="00294CE9"/>
    <w:rsid w:val="00294E00"/>
    <w:rsid w:val="00294FF2"/>
    <w:rsid w:val="00295029"/>
    <w:rsid w:val="00295753"/>
    <w:rsid w:val="0029586D"/>
    <w:rsid w:val="00295A92"/>
    <w:rsid w:val="00295B1F"/>
    <w:rsid w:val="00295BB6"/>
    <w:rsid w:val="00295D02"/>
    <w:rsid w:val="00295DE3"/>
    <w:rsid w:val="0029664A"/>
    <w:rsid w:val="002967D7"/>
    <w:rsid w:val="0029686E"/>
    <w:rsid w:val="00296CEF"/>
    <w:rsid w:val="00296D01"/>
    <w:rsid w:val="002975F8"/>
    <w:rsid w:val="00297C08"/>
    <w:rsid w:val="00297C19"/>
    <w:rsid w:val="00297D2D"/>
    <w:rsid w:val="00297E0D"/>
    <w:rsid w:val="002A0116"/>
    <w:rsid w:val="002A0237"/>
    <w:rsid w:val="002A02A2"/>
    <w:rsid w:val="002A03DA"/>
    <w:rsid w:val="002A0511"/>
    <w:rsid w:val="002A0543"/>
    <w:rsid w:val="002A07D3"/>
    <w:rsid w:val="002A11A3"/>
    <w:rsid w:val="002A1347"/>
    <w:rsid w:val="002A13A9"/>
    <w:rsid w:val="002A15B1"/>
    <w:rsid w:val="002A176B"/>
    <w:rsid w:val="002A1792"/>
    <w:rsid w:val="002A1903"/>
    <w:rsid w:val="002A1CCA"/>
    <w:rsid w:val="002A1D76"/>
    <w:rsid w:val="002A1E15"/>
    <w:rsid w:val="002A217E"/>
    <w:rsid w:val="002A245C"/>
    <w:rsid w:val="002A2E20"/>
    <w:rsid w:val="002A32B9"/>
    <w:rsid w:val="002A373A"/>
    <w:rsid w:val="002A3A89"/>
    <w:rsid w:val="002A3ACE"/>
    <w:rsid w:val="002A3D57"/>
    <w:rsid w:val="002A4294"/>
    <w:rsid w:val="002A445B"/>
    <w:rsid w:val="002A459A"/>
    <w:rsid w:val="002A4858"/>
    <w:rsid w:val="002A4C3A"/>
    <w:rsid w:val="002A4CEE"/>
    <w:rsid w:val="002A4D36"/>
    <w:rsid w:val="002A50F4"/>
    <w:rsid w:val="002A513A"/>
    <w:rsid w:val="002A516B"/>
    <w:rsid w:val="002A51E7"/>
    <w:rsid w:val="002A5315"/>
    <w:rsid w:val="002A5431"/>
    <w:rsid w:val="002A550A"/>
    <w:rsid w:val="002A5CAD"/>
    <w:rsid w:val="002A5D2A"/>
    <w:rsid w:val="002A5ED7"/>
    <w:rsid w:val="002A6825"/>
    <w:rsid w:val="002A6B3E"/>
    <w:rsid w:val="002A6F9C"/>
    <w:rsid w:val="002A7081"/>
    <w:rsid w:val="002A7154"/>
    <w:rsid w:val="002A7349"/>
    <w:rsid w:val="002A76FD"/>
    <w:rsid w:val="002A7DB4"/>
    <w:rsid w:val="002A7E01"/>
    <w:rsid w:val="002B01B2"/>
    <w:rsid w:val="002B01BB"/>
    <w:rsid w:val="002B0ABB"/>
    <w:rsid w:val="002B0D08"/>
    <w:rsid w:val="002B0F19"/>
    <w:rsid w:val="002B154D"/>
    <w:rsid w:val="002B1777"/>
    <w:rsid w:val="002B18FD"/>
    <w:rsid w:val="002B20EF"/>
    <w:rsid w:val="002B2579"/>
    <w:rsid w:val="002B2741"/>
    <w:rsid w:val="002B2927"/>
    <w:rsid w:val="002B2DE7"/>
    <w:rsid w:val="002B2E30"/>
    <w:rsid w:val="002B2FBF"/>
    <w:rsid w:val="002B31AE"/>
    <w:rsid w:val="002B3AA9"/>
    <w:rsid w:val="002B3BCD"/>
    <w:rsid w:val="002B3EEE"/>
    <w:rsid w:val="002B4189"/>
    <w:rsid w:val="002B41BE"/>
    <w:rsid w:val="002B42C5"/>
    <w:rsid w:val="002B4633"/>
    <w:rsid w:val="002B46D9"/>
    <w:rsid w:val="002B4759"/>
    <w:rsid w:val="002B5063"/>
    <w:rsid w:val="002B5282"/>
    <w:rsid w:val="002B5364"/>
    <w:rsid w:val="002B598F"/>
    <w:rsid w:val="002B5AC3"/>
    <w:rsid w:val="002B5C1E"/>
    <w:rsid w:val="002B608E"/>
    <w:rsid w:val="002B626C"/>
    <w:rsid w:val="002B684E"/>
    <w:rsid w:val="002B686A"/>
    <w:rsid w:val="002B697B"/>
    <w:rsid w:val="002B6E95"/>
    <w:rsid w:val="002B6FE4"/>
    <w:rsid w:val="002B7A38"/>
    <w:rsid w:val="002B7AA8"/>
    <w:rsid w:val="002B7D85"/>
    <w:rsid w:val="002C00FF"/>
    <w:rsid w:val="002C01FE"/>
    <w:rsid w:val="002C073E"/>
    <w:rsid w:val="002C0979"/>
    <w:rsid w:val="002C19EF"/>
    <w:rsid w:val="002C1AA8"/>
    <w:rsid w:val="002C1FEB"/>
    <w:rsid w:val="002C229A"/>
    <w:rsid w:val="002C24A4"/>
    <w:rsid w:val="002C26A5"/>
    <w:rsid w:val="002C26DC"/>
    <w:rsid w:val="002C2C9D"/>
    <w:rsid w:val="002C2D27"/>
    <w:rsid w:val="002C30B7"/>
    <w:rsid w:val="002C3647"/>
    <w:rsid w:val="002C3700"/>
    <w:rsid w:val="002C3A01"/>
    <w:rsid w:val="002C3B9B"/>
    <w:rsid w:val="002C3C05"/>
    <w:rsid w:val="002C3EF6"/>
    <w:rsid w:val="002C4169"/>
    <w:rsid w:val="002C45B5"/>
    <w:rsid w:val="002C45BB"/>
    <w:rsid w:val="002C4637"/>
    <w:rsid w:val="002C4AB8"/>
    <w:rsid w:val="002C4C03"/>
    <w:rsid w:val="002C4CB2"/>
    <w:rsid w:val="002C53EC"/>
    <w:rsid w:val="002C5781"/>
    <w:rsid w:val="002C5B1E"/>
    <w:rsid w:val="002C5ECE"/>
    <w:rsid w:val="002C5FD8"/>
    <w:rsid w:val="002C60EF"/>
    <w:rsid w:val="002C65A9"/>
    <w:rsid w:val="002C6D68"/>
    <w:rsid w:val="002C6F1F"/>
    <w:rsid w:val="002C6F24"/>
    <w:rsid w:val="002C70D5"/>
    <w:rsid w:val="002C7686"/>
    <w:rsid w:val="002D03A5"/>
    <w:rsid w:val="002D0454"/>
    <w:rsid w:val="002D07B8"/>
    <w:rsid w:val="002D098F"/>
    <w:rsid w:val="002D0F54"/>
    <w:rsid w:val="002D0F8B"/>
    <w:rsid w:val="002D14ED"/>
    <w:rsid w:val="002D17D2"/>
    <w:rsid w:val="002D1B2C"/>
    <w:rsid w:val="002D1B70"/>
    <w:rsid w:val="002D1CA1"/>
    <w:rsid w:val="002D210C"/>
    <w:rsid w:val="002D2519"/>
    <w:rsid w:val="002D28CA"/>
    <w:rsid w:val="002D2F21"/>
    <w:rsid w:val="002D35AB"/>
    <w:rsid w:val="002D3ACD"/>
    <w:rsid w:val="002D406F"/>
    <w:rsid w:val="002D4823"/>
    <w:rsid w:val="002D4949"/>
    <w:rsid w:val="002D4AB9"/>
    <w:rsid w:val="002D4B14"/>
    <w:rsid w:val="002D52DC"/>
    <w:rsid w:val="002D5362"/>
    <w:rsid w:val="002D5540"/>
    <w:rsid w:val="002D5595"/>
    <w:rsid w:val="002D57AA"/>
    <w:rsid w:val="002D5809"/>
    <w:rsid w:val="002D5E19"/>
    <w:rsid w:val="002D670A"/>
    <w:rsid w:val="002D6B92"/>
    <w:rsid w:val="002D6F06"/>
    <w:rsid w:val="002D715C"/>
    <w:rsid w:val="002D71FB"/>
    <w:rsid w:val="002D776B"/>
    <w:rsid w:val="002D77D6"/>
    <w:rsid w:val="002D783D"/>
    <w:rsid w:val="002D7CD7"/>
    <w:rsid w:val="002D7E8D"/>
    <w:rsid w:val="002D7ED8"/>
    <w:rsid w:val="002E0395"/>
    <w:rsid w:val="002E04BC"/>
    <w:rsid w:val="002E06B7"/>
    <w:rsid w:val="002E0980"/>
    <w:rsid w:val="002E0C68"/>
    <w:rsid w:val="002E0D12"/>
    <w:rsid w:val="002E0DA5"/>
    <w:rsid w:val="002E102E"/>
    <w:rsid w:val="002E103F"/>
    <w:rsid w:val="002E1563"/>
    <w:rsid w:val="002E1B62"/>
    <w:rsid w:val="002E1CEF"/>
    <w:rsid w:val="002E1E02"/>
    <w:rsid w:val="002E261F"/>
    <w:rsid w:val="002E2726"/>
    <w:rsid w:val="002E27F3"/>
    <w:rsid w:val="002E2C2E"/>
    <w:rsid w:val="002E2D72"/>
    <w:rsid w:val="002E2F8D"/>
    <w:rsid w:val="002E3470"/>
    <w:rsid w:val="002E34E7"/>
    <w:rsid w:val="002E35B9"/>
    <w:rsid w:val="002E35F6"/>
    <w:rsid w:val="002E3636"/>
    <w:rsid w:val="002E370B"/>
    <w:rsid w:val="002E3B76"/>
    <w:rsid w:val="002E3E11"/>
    <w:rsid w:val="002E3F40"/>
    <w:rsid w:val="002E411E"/>
    <w:rsid w:val="002E46DA"/>
    <w:rsid w:val="002E4A4D"/>
    <w:rsid w:val="002E4B4F"/>
    <w:rsid w:val="002E523B"/>
    <w:rsid w:val="002E52E9"/>
    <w:rsid w:val="002E5333"/>
    <w:rsid w:val="002E5358"/>
    <w:rsid w:val="002E5CB1"/>
    <w:rsid w:val="002E5D63"/>
    <w:rsid w:val="002E5D9E"/>
    <w:rsid w:val="002E6295"/>
    <w:rsid w:val="002E6574"/>
    <w:rsid w:val="002E6607"/>
    <w:rsid w:val="002E70BB"/>
    <w:rsid w:val="002E791A"/>
    <w:rsid w:val="002E7C3F"/>
    <w:rsid w:val="002E7E0A"/>
    <w:rsid w:val="002F0409"/>
    <w:rsid w:val="002F042A"/>
    <w:rsid w:val="002F0452"/>
    <w:rsid w:val="002F04F8"/>
    <w:rsid w:val="002F06B9"/>
    <w:rsid w:val="002F0746"/>
    <w:rsid w:val="002F1107"/>
    <w:rsid w:val="002F1347"/>
    <w:rsid w:val="002F137A"/>
    <w:rsid w:val="002F1C14"/>
    <w:rsid w:val="002F1F16"/>
    <w:rsid w:val="002F1F3D"/>
    <w:rsid w:val="002F2252"/>
    <w:rsid w:val="002F2282"/>
    <w:rsid w:val="002F288D"/>
    <w:rsid w:val="002F2DE0"/>
    <w:rsid w:val="002F2EB7"/>
    <w:rsid w:val="002F33A2"/>
    <w:rsid w:val="002F33E7"/>
    <w:rsid w:val="002F349F"/>
    <w:rsid w:val="002F3B7F"/>
    <w:rsid w:val="002F3EE3"/>
    <w:rsid w:val="002F3FF2"/>
    <w:rsid w:val="002F40D4"/>
    <w:rsid w:val="002F474A"/>
    <w:rsid w:val="002F4D28"/>
    <w:rsid w:val="002F4DCF"/>
    <w:rsid w:val="002F4F76"/>
    <w:rsid w:val="002F5129"/>
    <w:rsid w:val="002F549D"/>
    <w:rsid w:val="002F5619"/>
    <w:rsid w:val="002F593D"/>
    <w:rsid w:val="002F5AAA"/>
    <w:rsid w:val="002F5CE4"/>
    <w:rsid w:val="002F5E0C"/>
    <w:rsid w:val="002F61C9"/>
    <w:rsid w:val="002F6529"/>
    <w:rsid w:val="002F6765"/>
    <w:rsid w:val="002F67F5"/>
    <w:rsid w:val="002F680A"/>
    <w:rsid w:val="002F68FE"/>
    <w:rsid w:val="002F70B5"/>
    <w:rsid w:val="002F7346"/>
    <w:rsid w:val="002F765E"/>
    <w:rsid w:val="002F7905"/>
    <w:rsid w:val="002F7B89"/>
    <w:rsid w:val="002F7CF0"/>
    <w:rsid w:val="002F7F44"/>
    <w:rsid w:val="002F7FDE"/>
    <w:rsid w:val="00300085"/>
    <w:rsid w:val="00300317"/>
    <w:rsid w:val="003003A7"/>
    <w:rsid w:val="003003A9"/>
    <w:rsid w:val="0030050F"/>
    <w:rsid w:val="0030063C"/>
    <w:rsid w:val="003007EC"/>
    <w:rsid w:val="003009AB"/>
    <w:rsid w:val="00300D68"/>
    <w:rsid w:val="00300F70"/>
    <w:rsid w:val="003011EC"/>
    <w:rsid w:val="003016EE"/>
    <w:rsid w:val="003017ED"/>
    <w:rsid w:val="0030194D"/>
    <w:rsid w:val="00301A32"/>
    <w:rsid w:val="00301D4C"/>
    <w:rsid w:val="00301E16"/>
    <w:rsid w:val="00301EF9"/>
    <w:rsid w:val="0030201A"/>
    <w:rsid w:val="0030203A"/>
    <w:rsid w:val="00302AE0"/>
    <w:rsid w:val="00303B6D"/>
    <w:rsid w:val="00303F50"/>
    <w:rsid w:val="003042EC"/>
    <w:rsid w:val="003049E8"/>
    <w:rsid w:val="00304C27"/>
    <w:rsid w:val="00304E30"/>
    <w:rsid w:val="00304F67"/>
    <w:rsid w:val="0030505F"/>
    <w:rsid w:val="00305077"/>
    <w:rsid w:val="00305258"/>
    <w:rsid w:val="00305269"/>
    <w:rsid w:val="003052A4"/>
    <w:rsid w:val="003053EE"/>
    <w:rsid w:val="00305665"/>
    <w:rsid w:val="00306540"/>
    <w:rsid w:val="003065E6"/>
    <w:rsid w:val="0030698B"/>
    <w:rsid w:val="003070EF"/>
    <w:rsid w:val="0030714E"/>
    <w:rsid w:val="0030715E"/>
    <w:rsid w:val="0030732F"/>
    <w:rsid w:val="0030759A"/>
    <w:rsid w:val="00307880"/>
    <w:rsid w:val="00307B55"/>
    <w:rsid w:val="00307C62"/>
    <w:rsid w:val="00307F9C"/>
    <w:rsid w:val="00307FC8"/>
    <w:rsid w:val="00310172"/>
    <w:rsid w:val="003101B6"/>
    <w:rsid w:val="003101F1"/>
    <w:rsid w:val="003103C4"/>
    <w:rsid w:val="003104C9"/>
    <w:rsid w:val="003107E9"/>
    <w:rsid w:val="00310D4A"/>
    <w:rsid w:val="00310DEC"/>
    <w:rsid w:val="00310E2A"/>
    <w:rsid w:val="00311008"/>
    <w:rsid w:val="00311627"/>
    <w:rsid w:val="003117A5"/>
    <w:rsid w:val="003117D5"/>
    <w:rsid w:val="0031191C"/>
    <w:rsid w:val="003119B1"/>
    <w:rsid w:val="00311CBD"/>
    <w:rsid w:val="00311F1B"/>
    <w:rsid w:val="0031223B"/>
    <w:rsid w:val="0031229F"/>
    <w:rsid w:val="003123E3"/>
    <w:rsid w:val="003123E9"/>
    <w:rsid w:val="00312820"/>
    <w:rsid w:val="00312A7E"/>
    <w:rsid w:val="00312EC4"/>
    <w:rsid w:val="0031312F"/>
    <w:rsid w:val="00313B42"/>
    <w:rsid w:val="00313D13"/>
    <w:rsid w:val="00313D93"/>
    <w:rsid w:val="00314333"/>
    <w:rsid w:val="00314517"/>
    <w:rsid w:val="0031464C"/>
    <w:rsid w:val="003146F3"/>
    <w:rsid w:val="003149D9"/>
    <w:rsid w:val="00314E7D"/>
    <w:rsid w:val="00314F6A"/>
    <w:rsid w:val="003152C1"/>
    <w:rsid w:val="00315B15"/>
    <w:rsid w:val="00315EE1"/>
    <w:rsid w:val="00315EE7"/>
    <w:rsid w:val="00315F69"/>
    <w:rsid w:val="003160B7"/>
    <w:rsid w:val="00316512"/>
    <w:rsid w:val="00316534"/>
    <w:rsid w:val="0031676A"/>
    <w:rsid w:val="003167EA"/>
    <w:rsid w:val="0031682C"/>
    <w:rsid w:val="003168EF"/>
    <w:rsid w:val="00317120"/>
    <w:rsid w:val="003174AA"/>
    <w:rsid w:val="003176F9"/>
    <w:rsid w:val="0031781B"/>
    <w:rsid w:val="00317FB8"/>
    <w:rsid w:val="003201B6"/>
    <w:rsid w:val="00320373"/>
    <w:rsid w:val="00321052"/>
    <w:rsid w:val="00321438"/>
    <w:rsid w:val="00321464"/>
    <w:rsid w:val="00321534"/>
    <w:rsid w:val="00321DB0"/>
    <w:rsid w:val="00321E68"/>
    <w:rsid w:val="003221D8"/>
    <w:rsid w:val="003227A5"/>
    <w:rsid w:val="00322FCD"/>
    <w:rsid w:val="0032306F"/>
    <w:rsid w:val="003232DB"/>
    <w:rsid w:val="003232DF"/>
    <w:rsid w:val="0032348F"/>
    <w:rsid w:val="003234BF"/>
    <w:rsid w:val="003235D6"/>
    <w:rsid w:val="00323771"/>
    <w:rsid w:val="00323B14"/>
    <w:rsid w:val="00323E80"/>
    <w:rsid w:val="0032453E"/>
    <w:rsid w:val="0032460C"/>
    <w:rsid w:val="003249AE"/>
    <w:rsid w:val="00324AFC"/>
    <w:rsid w:val="00324EB7"/>
    <w:rsid w:val="00324EF5"/>
    <w:rsid w:val="003254F1"/>
    <w:rsid w:val="00325543"/>
    <w:rsid w:val="003257E8"/>
    <w:rsid w:val="00325F41"/>
    <w:rsid w:val="0032633A"/>
    <w:rsid w:val="00326ED6"/>
    <w:rsid w:val="00326F7E"/>
    <w:rsid w:val="0032796A"/>
    <w:rsid w:val="00327BE1"/>
    <w:rsid w:val="00327E4C"/>
    <w:rsid w:val="00327EE9"/>
    <w:rsid w:val="003301F1"/>
    <w:rsid w:val="003304CF"/>
    <w:rsid w:val="0033051F"/>
    <w:rsid w:val="0033076C"/>
    <w:rsid w:val="0033078C"/>
    <w:rsid w:val="00330862"/>
    <w:rsid w:val="0033098F"/>
    <w:rsid w:val="00330AC1"/>
    <w:rsid w:val="0033102B"/>
    <w:rsid w:val="003310EB"/>
    <w:rsid w:val="003310F2"/>
    <w:rsid w:val="0033156D"/>
    <w:rsid w:val="00331815"/>
    <w:rsid w:val="00331983"/>
    <w:rsid w:val="0033199D"/>
    <w:rsid w:val="00331C54"/>
    <w:rsid w:val="00331EFD"/>
    <w:rsid w:val="00331EFE"/>
    <w:rsid w:val="00332012"/>
    <w:rsid w:val="00332315"/>
    <w:rsid w:val="0033248D"/>
    <w:rsid w:val="0033274F"/>
    <w:rsid w:val="0033344C"/>
    <w:rsid w:val="00333648"/>
    <w:rsid w:val="00333759"/>
    <w:rsid w:val="003342F1"/>
    <w:rsid w:val="003343F7"/>
    <w:rsid w:val="0033440B"/>
    <w:rsid w:val="00334418"/>
    <w:rsid w:val="00334485"/>
    <w:rsid w:val="003345B2"/>
    <w:rsid w:val="00334F68"/>
    <w:rsid w:val="00335332"/>
    <w:rsid w:val="00335415"/>
    <w:rsid w:val="003356B2"/>
    <w:rsid w:val="00335944"/>
    <w:rsid w:val="00335B6A"/>
    <w:rsid w:val="00336547"/>
    <w:rsid w:val="0033658F"/>
    <w:rsid w:val="00336616"/>
    <w:rsid w:val="00336AB1"/>
    <w:rsid w:val="00336B65"/>
    <w:rsid w:val="00336F4E"/>
    <w:rsid w:val="00337166"/>
    <w:rsid w:val="0033775B"/>
    <w:rsid w:val="0033787D"/>
    <w:rsid w:val="003379C8"/>
    <w:rsid w:val="00337C1D"/>
    <w:rsid w:val="00337C5A"/>
    <w:rsid w:val="00337F23"/>
    <w:rsid w:val="00337FCF"/>
    <w:rsid w:val="0034016B"/>
    <w:rsid w:val="0034020E"/>
    <w:rsid w:val="00340747"/>
    <w:rsid w:val="00341963"/>
    <w:rsid w:val="00341E7D"/>
    <w:rsid w:val="00342368"/>
    <w:rsid w:val="00342502"/>
    <w:rsid w:val="003425EB"/>
    <w:rsid w:val="00342996"/>
    <w:rsid w:val="003429A9"/>
    <w:rsid w:val="00342A1C"/>
    <w:rsid w:val="00342E72"/>
    <w:rsid w:val="00343479"/>
    <w:rsid w:val="00343484"/>
    <w:rsid w:val="003434BB"/>
    <w:rsid w:val="0034354D"/>
    <w:rsid w:val="00343734"/>
    <w:rsid w:val="003438B1"/>
    <w:rsid w:val="003438DC"/>
    <w:rsid w:val="003439ED"/>
    <w:rsid w:val="003441DC"/>
    <w:rsid w:val="003448B5"/>
    <w:rsid w:val="00344A7B"/>
    <w:rsid w:val="00344A8A"/>
    <w:rsid w:val="003453B7"/>
    <w:rsid w:val="00345917"/>
    <w:rsid w:val="00345A8E"/>
    <w:rsid w:val="00345E20"/>
    <w:rsid w:val="00346424"/>
    <w:rsid w:val="0034720F"/>
    <w:rsid w:val="00347212"/>
    <w:rsid w:val="0034736D"/>
    <w:rsid w:val="00347626"/>
    <w:rsid w:val="0034791B"/>
    <w:rsid w:val="00347A42"/>
    <w:rsid w:val="00347CF2"/>
    <w:rsid w:val="00347DD2"/>
    <w:rsid w:val="0035005D"/>
    <w:rsid w:val="0035027E"/>
    <w:rsid w:val="003503A6"/>
    <w:rsid w:val="003504FB"/>
    <w:rsid w:val="003506D4"/>
    <w:rsid w:val="0035073D"/>
    <w:rsid w:val="00350A5E"/>
    <w:rsid w:val="00350A89"/>
    <w:rsid w:val="00350C2C"/>
    <w:rsid w:val="00351208"/>
    <w:rsid w:val="00351227"/>
    <w:rsid w:val="00351776"/>
    <w:rsid w:val="00351DE3"/>
    <w:rsid w:val="003522F2"/>
    <w:rsid w:val="00352325"/>
    <w:rsid w:val="00352483"/>
    <w:rsid w:val="00352593"/>
    <w:rsid w:val="003527D6"/>
    <w:rsid w:val="00352E1D"/>
    <w:rsid w:val="00352E98"/>
    <w:rsid w:val="003531B8"/>
    <w:rsid w:val="0035337F"/>
    <w:rsid w:val="00353575"/>
    <w:rsid w:val="00353805"/>
    <w:rsid w:val="00353B0F"/>
    <w:rsid w:val="00353B62"/>
    <w:rsid w:val="00353F57"/>
    <w:rsid w:val="00353FD4"/>
    <w:rsid w:val="0035433E"/>
    <w:rsid w:val="003544C8"/>
    <w:rsid w:val="003545E6"/>
    <w:rsid w:val="00354791"/>
    <w:rsid w:val="00354A71"/>
    <w:rsid w:val="00354BD3"/>
    <w:rsid w:val="00354D28"/>
    <w:rsid w:val="00354FF0"/>
    <w:rsid w:val="00355033"/>
    <w:rsid w:val="00355504"/>
    <w:rsid w:val="003556D5"/>
    <w:rsid w:val="003558D5"/>
    <w:rsid w:val="00355AF7"/>
    <w:rsid w:val="00355B18"/>
    <w:rsid w:val="00355D03"/>
    <w:rsid w:val="00355D67"/>
    <w:rsid w:val="00355DC0"/>
    <w:rsid w:val="00356916"/>
    <w:rsid w:val="00356937"/>
    <w:rsid w:val="003569A1"/>
    <w:rsid w:val="00356A23"/>
    <w:rsid w:val="00356B94"/>
    <w:rsid w:val="00356C8F"/>
    <w:rsid w:val="00356CC7"/>
    <w:rsid w:val="00356EF6"/>
    <w:rsid w:val="00357149"/>
    <w:rsid w:val="0035744A"/>
    <w:rsid w:val="00357582"/>
    <w:rsid w:val="0035777D"/>
    <w:rsid w:val="003577A9"/>
    <w:rsid w:val="00357BF8"/>
    <w:rsid w:val="00357CF8"/>
    <w:rsid w:val="003606BA"/>
    <w:rsid w:val="00360794"/>
    <w:rsid w:val="003607DF"/>
    <w:rsid w:val="003607E8"/>
    <w:rsid w:val="003607FF"/>
    <w:rsid w:val="00360A56"/>
    <w:rsid w:val="00360AF3"/>
    <w:rsid w:val="00360B2E"/>
    <w:rsid w:val="00360E12"/>
    <w:rsid w:val="00360F44"/>
    <w:rsid w:val="00360FE7"/>
    <w:rsid w:val="00361130"/>
    <w:rsid w:val="0036120F"/>
    <w:rsid w:val="0036126E"/>
    <w:rsid w:val="00361429"/>
    <w:rsid w:val="00361548"/>
    <w:rsid w:val="00361569"/>
    <w:rsid w:val="003616B3"/>
    <w:rsid w:val="00361B79"/>
    <w:rsid w:val="003620D0"/>
    <w:rsid w:val="003621B4"/>
    <w:rsid w:val="00362596"/>
    <w:rsid w:val="003627A6"/>
    <w:rsid w:val="003628E2"/>
    <w:rsid w:val="00362A5C"/>
    <w:rsid w:val="00362F14"/>
    <w:rsid w:val="00363314"/>
    <w:rsid w:val="00363559"/>
    <w:rsid w:val="00363734"/>
    <w:rsid w:val="00363D4F"/>
    <w:rsid w:val="00363D72"/>
    <w:rsid w:val="003644BA"/>
    <w:rsid w:val="0036503C"/>
    <w:rsid w:val="00365272"/>
    <w:rsid w:val="00365315"/>
    <w:rsid w:val="00365394"/>
    <w:rsid w:val="00365953"/>
    <w:rsid w:val="00365FA6"/>
    <w:rsid w:val="00366377"/>
    <w:rsid w:val="0036640A"/>
    <w:rsid w:val="003665D5"/>
    <w:rsid w:val="003667D1"/>
    <w:rsid w:val="00366A92"/>
    <w:rsid w:val="00367078"/>
    <w:rsid w:val="003678F9"/>
    <w:rsid w:val="003709FD"/>
    <w:rsid w:val="00370A0D"/>
    <w:rsid w:val="00370ACB"/>
    <w:rsid w:val="00370E09"/>
    <w:rsid w:val="00370F35"/>
    <w:rsid w:val="003713CC"/>
    <w:rsid w:val="00371844"/>
    <w:rsid w:val="00371B80"/>
    <w:rsid w:val="00371DEB"/>
    <w:rsid w:val="003724EB"/>
    <w:rsid w:val="003725C6"/>
    <w:rsid w:val="00372673"/>
    <w:rsid w:val="00372D29"/>
    <w:rsid w:val="00372E91"/>
    <w:rsid w:val="00372F3B"/>
    <w:rsid w:val="00373936"/>
    <w:rsid w:val="00373C36"/>
    <w:rsid w:val="00373C82"/>
    <w:rsid w:val="00373FC9"/>
    <w:rsid w:val="0037460E"/>
    <w:rsid w:val="00374963"/>
    <w:rsid w:val="003749CF"/>
    <w:rsid w:val="00374A72"/>
    <w:rsid w:val="00374C9C"/>
    <w:rsid w:val="00374DBA"/>
    <w:rsid w:val="0037504D"/>
    <w:rsid w:val="003750BE"/>
    <w:rsid w:val="00375568"/>
    <w:rsid w:val="0037556C"/>
    <w:rsid w:val="0037557F"/>
    <w:rsid w:val="0037573E"/>
    <w:rsid w:val="003759F9"/>
    <w:rsid w:val="00375AEB"/>
    <w:rsid w:val="00375DBC"/>
    <w:rsid w:val="00375FF7"/>
    <w:rsid w:val="003766F0"/>
    <w:rsid w:val="00376760"/>
    <w:rsid w:val="00376980"/>
    <w:rsid w:val="00376C36"/>
    <w:rsid w:val="00376DAD"/>
    <w:rsid w:val="00376E7D"/>
    <w:rsid w:val="00376EE9"/>
    <w:rsid w:val="00376F6A"/>
    <w:rsid w:val="0037706E"/>
    <w:rsid w:val="003770F8"/>
    <w:rsid w:val="003771FA"/>
    <w:rsid w:val="0037731B"/>
    <w:rsid w:val="00377820"/>
    <w:rsid w:val="003778D4"/>
    <w:rsid w:val="003779B3"/>
    <w:rsid w:val="00377AF3"/>
    <w:rsid w:val="00377B5C"/>
    <w:rsid w:val="0038002B"/>
    <w:rsid w:val="0038021D"/>
    <w:rsid w:val="0038025A"/>
    <w:rsid w:val="003802C8"/>
    <w:rsid w:val="00380B4E"/>
    <w:rsid w:val="00380CBF"/>
    <w:rsid w:val="0038142C"/>
    <w:rsid w:val="00381807"/>
    <w:rsid w:val="003818A0"/>
    <w:rsid w:val="00381901"/>
    <w:rsid w:val="00381906"/>
    <w:rsid w:val="00381F05"/>
    <w:rsid w:val="00381F6C"/>
    <w:rsid w:val="00381FBB"/>
    <w:rsid w:val="00382183"/>
    <w:rsid w:val="003822F6"/>
    <w:rsid w:val="003824DD"/>
    <w:rsid w:val="00382797"/>
    <w:rsid w:val="00382AA5"/>
    <w:rsid w:val="00382BD4"/>
    <w:rsid w:val="00382F46"/>
    <w:rsid w:val="00383354"/>
    <w:rsid w:val="0038360F"/>
    <w:rsid w:val="0038367F"/>
    <w:rsid w:val="00383740"/>
    <w:rsid w:val="00383BD4"/>
    <w:rsid w:val="00383D51"/>
    <w:rsid w:val="00383FA2"/>
    <w:rsid w:val="00384297"/>
    <w:rsid w:val="003848F5"/>
    <w:rsid w:val="00384AB5"/>
    <w:rsid w:val="003853F2"/>
    <w:rsid w:val="0038556F"/>
    <w:rsid w:val="00385637"/>
    <w:rsid w:val="00385A5D"/>
    <w:rsid w:val="00385D40"/>
    <w:rsid w:val="00386080"/>
    <w:rsid w:val="0038627A"/>
    <w:rsid w:val="003864A1"/>
    <w:rsid w:val="00386668"/>
    <w:rsid w:val="003869D3"/>
    <w:rsid w:val="00386A33"/>
    <w:rsid w:val="00386B9E"/>
    <w:rsid w:val="00386EB2"/>
    <w:rsid w:val="003874EC"/>
    <w:rsid w:val="003875C6"/>
    <w:rsid w:val="0038770A"/>
    <w:rsid w:val="00387782"/>
    <w:rsid w:val="00387A8B"/>
    <w:rsid w:val="00390046"/>
    <w:rsid w:val="00390180"/>
    <w:rsid w:val="0039066F"/>
    <w:rsid w:val="00390719"/>
    <w:rsid w:val="00390CBE"/>
    <w:rsid w:val="00390D5B"/>
    <w:rsid w:val="00390F7E"/>
    <w:rsid w:val="003915A7"/>
    <w:rsid w:val="00391FE5"/>
    <w:rsid w:val="003921D9"/>
    <w:rsid w:val="0039239F"/>
    <w:rsid w:val="0039247A"/>
    <w:rsid w:val="003926BF"/>
    <w:rsid w:val="00392851"/>
    <w:rsid w:val="00392A64"/>
    <w:rsid w:val="00392F90"/>
    <w:rsid w:val="003933FC"/>
    <w:rsid w:val="00393C23"/>
    <w:rsid w:val="00393F33"/>
    <w:rsid w:val="003942FF"/>
    <w:rsid w:val="00394C69"/>
    <w:rsid w:val="00394D53"/>
    <w:rsid w:val="00394E8C"/>
    <w:rsid w:val="003957A7"/>
    <w:rsid w:val="00395925"/>
    <w:rsid w:val="00395BBF"/>
    <w:rsid w:val="00395F1E"/>
    <w:rsid w:val="003965EA"/>
    <w:rsid w:val="00396898"/>
    <w:rsid w:val="00396C11"/>
    <w:rsid w:val="00396D25"/>
    <w:rsid w:val="00397144"/>
    <w:rsid w:val="0039754E"/>
    <w:rsid w:val="00397898"/>
    <w:rsid w:val="00397B5D"/>
    <w:rsid w:val="00397CAD"/>
    <w:rsid w:val="0039AA82"/>
    <w:rsid w:val="003A0498"/>
    <w:rsid w:val="003A0897"/>
    <w:rsid w:val="003A091B"/>
    <w:rsid w:val="003A0C86"/>
    <w:rsid w:val="003A0DFC"/>
    <w:rsid w:val="003A10B5"/>
    <w:rsid w:val="003A17BD"/>
    <w:rsid w:val="003A1A43"/>
    <w:rsid w:val="003A1D79"/>
    <w:rsid w:val="003A1FEF"/>
    <w:rsid w:val="003A2303"/>
    <w:rsid w:val="003A2650"/>
    <w:rsid w:val="003A26D5"/>
    <w:rsid w:val="003A271E"/>
    <w:rsid w:val="003A2C13"/>
    <w:rsid w:val="003A2EF0"/>
    <w:rsid w:val="003A2F37"/>
    <w:rsid w:val="003A2F5E"/>
    <w:rsid w:val="003A304B"/>
    <w:rsid w:val="003A31DF"/>
    <w:rsid w:val="003A3451"/>
    <w:rsid w:val="003A36C9"/>
    <w:rsid w:val="003A371B"/>
    <w:rsid w:val="003A372B"/>
    <w:rsid w:val="003A38EE"/>
    <w:rsid w:val="003A39DE"/>
    <w:rsid w:val="003A3AF3"/>
    <w:rsid w:val="003A3DD0"/>
    <w:rsid w:val="003A3EC7"/>
    <w:rsid w:val="003A3FCE"/>
    <w:rsid w:val="003A418D"/>
    <w:rsid w:val="003A4200"/>
    <w:rsid w:val="003A46EC"/>
    <w:rsid w:val="003A482C"/>
    <w:rsid w:val="003A4831"/>
    <w:rsid w:val="003A4992"/>
    <w:rsid w:val="003A4AE4"/>
    <w:rsid w:val="003A4B4F"/>
    <w:rsid w:val="003A4B93"/>
    <w:rsid w:val="003A4C29"/>
    <w:rsid w:val="003A4D46"/>
    <w:rsid w:val="003A533F"/>
    <w:rsid w:val="003A5438"/>
    <w:rsid w:val="003A5439"/>
    <w:rsid w:val="003A5674"/>
    <w:rsid w:val="003A5B2E"/>
    <w:rsid w:val="003A5B35"/>
    <w:rsid w:val="003A5DD6"/>
    <w:rsid w:val="003A5F96"/>
    <w:rsid w:val="003A61F9"/>
    <w:rsid w:val="003A62E4"/>
    <w:rsid w:val="003A65E4"/>
    <w:rsid w:val="003A66DF"/>
    <w:rsid w:val="003A674F"/>
    <w:rsid w:val="003A697B"/>
    <w:rsid w:val="003A6A5F"/>
    <w:rsid w:val="003A6EBF"/>
    <w:rsid w:val="003A701B"/>
    <w:rsid w:val="003A714F"/>
    <w:rsid w:val="003A7A69"/>
    <w:rsid w:val="003A7D64"/>
    <w:rsid w:val="003A7FC3"/>
    <w:rsid w:val="003B008C"/>
    <w:rsid w:val="003B03B9"/>
    <w:rsid w:val="003B0547"/>
    <w:rsid w:val="003B063B"/>
    <w:rsid w:val="003B0B2C"/>
    <w:rsid w:val="003B0C1F"/>
    <w:rsid w:val="003B0F92"/>
    <w:rsid w:val="003B1165"/>
    <w:rsid w:val="003B14D3"/>
    <w:rsid w:val="003B1595"/>
    <w:rsid w:val="003B16A4"/>
    <w:rsid w:val="003B1708"/>
    <w:rsid w:val="003B17BF"/>
    <w:rsid w:val="003B1B5B"/>
    <w:rsid w:val="003B1EA9"/>
    <w:rsid w:val="003B1F10"/>
    <w:rsid w:val="003B246E"/>
    <w:rsid w:val="003B27D5"/>
    <w:rsid w:val="003B2C2C"/>
    <w:rsid w:val="003B2D85"/>
    <w:rsid w:val="003B2FE8"/>
    <w:rsid w:val="003B36AD"/>
    <w:rsid w:val="003B3BDC"/>
    <w:rsid w:val="003B3EAC"/>
    <w:rsid w:val="003B43D9"/>
    <w:rsid w:val="003B43F9"/>
    <w:rsid w:val="003B4472"/>
    <w:rsid w:val="003B44D8"/>
    <w:rsid w:val="003B4654"/>
    <w:rsid w:val="003B46A7"/>
    <w:rsid w:val="003B4AF3"/>
    <w:rsid w:val="003B50E1"/>
    <w:rsid w:val="003B545B"/>
    <w:rsid w:val="003B57E6"/>
    <w:rsid w:val="003B59B4"/>
    <w:rsid w:val="003B5C15"/>
    <w:rsid w:val="003B5F75"/>
    <w:rsid w:val="003B627F"/>
    <w:rsid w:val="003B63F8"/>
    <w:rsid w:val="003B6777"/>
    <w:rsid w:val="003B6810"/>
    <w:rsid w:val="003B684A"/>
    <w:rsid w:val="003B6850"/>
    <w:rsid w:val="003B68D1"/>
    <w:rsid w:val="003B6AF5"/>
    <w:rsid w:val="003B6B2B"/>
    <w:rsid w:val="003B754C"/>
    <w:rsid w:val="003B78A9"/>
    <w:rsid w:val="003B7B24"/>
    <w:rsid w:val="003C0530"/>
    <w:rsid w:val="003C058E"/>
    <w:rsid w:val="003C05B0"/>
    <w:rsid w:val="003C05FE"/>
    <w:rsid w:val="003C090C"/>
    <w:rsid w:val="003C0E43"/>
    <w:rsid w:val="003C13E2"/>
    <w:rsid w:val="003C1949"/>
    <w:rsid w:val="003C1958"/>
    <w:rsid w:val="003C1EF7"/>
    <w:rsid w:val="003C1FCC"/>
    <w:rsid w:val="003C2186"/>
    <w:rsid w:val="003C235E"/>
    <w:rsid w:val="003C263C"/>
    <w:rsid w:val="003C276A"/>
    <w:rsid w:val="003C2772"/>
    <w:rsid w:val="003C2930"/>
    <w:rsid w:val="003C2952"/>
    <w:rsid w:val="003C2C7A"/>
    <w:rsid w:val="003C30CC"/>
    <w:rsid w:val="003C3181"/>
    <w:rsid w:val="003C33AF"/>
    <w:rsid w:val="003C3764"/>
    <w:rsid w:val="003C3766"/>
    <w:rsid w:val="003C3938"/>
    <w:rsid w:val="003C3A1A"/>
    <w:rsid w:val="003C3CA4"/>
    <w:rsid w:val="003C48A2"/>
    <w:rsid w:val="003C4ACB"/>
    <w:rsid w:val="003C4C52"/>
    <w:rsid w:val="003C4D9B"/>
    <w:rsid w:val="003C4DB1"/>
    <w:rsid w:val="003C4E8C"/>
    <w:rsid w:val="003C5C06"/>
    <w:rsid w:val="003C5E1F"/>
    <w:rsid w:val="003C626B"/>
    <w:rsid w:val="003C62AC"/>
    <w:rsid w:val="003C6777"/>
    <w:rsid w:val="003C6C30"/>
    <w:rsid w:val="003C73A8"/>
    <w:rsid w:val="003C7570"/>
    <w:rsid w:val="003C77DC"/>
    <w:rsid w:val="003D0164"/>
    <w:rsid w:val="003D0443"/>
    <w:rsid w:val="003D06B1"/>
    <w:rsid w:val="003D081A"/>
    <w:rsid w:val="003D0B7A"/>
    <w:rsid w:val="003D1216"/>
    <w:rsid w:val="003D125F"/>
    <w:rsid w:val="003D1327"/>
    <w:rsid w:val="003D136B"/>
    <w:rsid w:val="003D153D"/>
    <w:rsid w:val="003D1B54"/>
    <w:rsid w:val="003D1B5D"/>
    <w:rsid w:val="003D1FA7"/>
    <w:rsid w:val="003D223F"/>
    <w:rsid w:val="003D248F"/>
    <w:rsid w:val="003D26FD"/>
    <w:rsid w:val="003D2B56"/>
    <w:rsid w:val="003D2D1F"/>
    <w:rsid w:val="003D2E32"/>
    <w:rsid w:val="003D34DF"/>
    <w:rsid w:val="003D3595"/>
    <w:rsid w:val="003D35B4"/>
    <w:rsid w:val="003D3B04"/>
    <w:rsid w:val="003D3CF9"/>
    <w:rsid w:val="003D4255"/>
    <w:rsid w:val="003D43C8"/>
    <w:rsid w:val="003D4429"/>
    <w:rsid w:val="003D4643"/>
    <w:rsid w:val="003D4AF0"/>
    <w:rsid w:val="003D4E9F"/>
    <w:rsid w:val="003D51BE"/>
    <w:rsid w:val="003D520B"/>
    <w:rsid w:val="003D521D"/>
    <w:rsid w:val="003D5312"/>
    <w:rsid w:val="003D544E"/>
    <w:rsid w:val="003D58AF"/>
    <w:rsid w:val="003D5969"/>
    <w:rsid w:val="003D59A8"/>
    <w:rsid w:val="003D5A62"/>
    <w:rsid w:val="003D5C4A"/>
    <w:rsid w:val="003D5E28"/>
    <w:rsid w:val="003D6125"/>
    <w:rsid w:val="003D6A9C"/>
    <w:rsid w:val="003D6B5E"/>
    <w:rsid w:val="003D6DFF"/>
    <w:rsid w:val="003D6E3D"/>
    <w:rsid w:val="003D6E70"/>
    <w:rsid w:val="003D6E95"/>
    <w:rsid w:val="003D7753"/>
    <w:rsid w:val="003D7876"/>
    <w:rsid w:val="003D7F20"/>
    <w:rsid w:val="003E0039"/>
    <w:rsid w:val="003E0109"/>
    <w:rsid w:val="003E0414"/>
    <w:rsid w:val="003E0988"/>
    <w:rsid w:val="003E0AB0"/>
    <w:rsid w:val="003E0B14"/>
    <w:rsid w:val="003E12DF"/>
    <w:rsid w:val="003E1330"/>
    <w:rsid w:val="003E1356"/>
    <w:rsid w:val="003E146C"/>
    <w:rsid w:val="003E17E2"/>
    <w:rsid w:val="003E185A"/>
    <w:rsid w:val="003E18DD"/>
    <w:rsid w:val="003E18FD"/>
    <w:rsid w:val="003E19FC"/>
    <w:rsid w:val="003E1B0B"/>
    <w:rsid w:val="003E1B66"/>
    <w:rsid w:val="003E1C01"/>
    <w:rsid w:val="003E1CCD"/>
    <w:rsid w:val="003E1FF4"/>
    <w:rsid w:val="003E23C8"/>
    <w:rsid w:val="003E25BC"/>
    <w:rsid w:val="003E2E19"/>
    <w:rsid w:val="003E3049"/>
    <w:rsid w:val="003E31C4"/>
    <w:rsid w:val="003E3465"/>
    <w:rsid w:val="003E3968"/>
    <w:rsid w:val="003E42F2"/>
    <w:rsid w:val="003E45A4"/>
    <w:rsid w:val="003E4936"/>
    <w:rsid w:val="003E4A7A"/>
    <w:rsid w:val="003E564A"/>
    <w:rsid w:val="003E5767"/>
    <w:rsid w:val="003E6156"/>
    <w:rsid w:val="003E6195"/>
    <w:rsid w:val="003E66FF"/>
    <w:rsid w:val="003E6C07"/>
    <w:rsid w:val="003E6D36"/>
    <w:rsid w:val="003E6FB3"/>
    <w:rsid w:val="003E7383"/>
    <w:rsid w:val="003E76DF"/>
    <w:rsid w:val="003E77A2"/>
    <w:rsid w:val="003E7988"/>
    <w:rsid w:val="003E7A44"/>
    <w:rsid w:val="003E7C9C"/>
    <w:rsid w:val="003E7DF1"/>
    <w:rsid w:val="003E7E4B"/>
    <w:rsid w:val="003E7E68"/>
    <w:rsid w:val="003F056D"/>
    <w:rsid w:val="003F06C8"/>
    <w:rsid w:val="003F08B8"/>
    <w:rsid w:val="003F0B9B"/>
    <w:rsid w:val="003F19B2"/>
    <w:rsid w:val="003F1B04"/>
    <w:rsid w:val="003F212D"/>
    <w:rsid w:val="003F2474"/>
    <w:rsid w:val="003F2868"/>
    <w:rsid w:val="003F2D7D"/>
    <w:rsid w:val="003F2F0A"/>
    <w:rsid w:val="003F3021"/>
    <w:rsid w:val="003F3046"/>
    <w:rsid w:val="003F30EC"/>
    <w:rsid w:val="003F31E0"/>
    <w:rsid w:val="003F331A"/>
    <w:rsid w:val="003F3561"/>
    <w:rsid w:val="003F37A7"/>
    <w:rsid w:val="003F3BE1"/>
    <w:rsid w:val="003F3F57"/>
    <w:rsid w:val="003F4321"/>
    <w:rsid w:val="003F4702"/>
    <w:rsid w:val="003F4865"/>
    <w:rsid w:val="003F49CE"/>
    <w:rsid w:val="003F49D0"/>
    <w:rsid w:val="003F4C0D"/>
    <w:rsid w:val="003F4C2D"/>
    <w:rsid w:val="003F4E61"/>
    <w:rsid w:val="003F50E7"/>
    <w:rsid w:val="003F510F"/>
    <w:rsid w:val="003F513C"/>
    <w:rsid w:val="003F5529"/>
    <w:rsid w:val="003F5B83"/>
    <w:rsid w:val="003F5D91"/>
    <w:rsid w:val="003F5F72"/>
    <w:rsid w:val="003F6869"/>
    <w:rsid w:val="003F68C8"/>
    <w:rsid w:val="003F68D4"/>
    <w:rsid w:val="003F6A29"/>
    <w:rsid w:val="003F6FFF"/>
    <w:rsid w:val="003F7022"/>
    <w:rsid w:val="003F7103"/>
    <w:rsid w:val="003F7482"/>
    <w:rsid w:val="003F756E"/>
    <w:rsid w:val="003F761B"/>
    <w:rsid w:val="003F7B8B"/>
    <w:rsid w:val="003F7C37"/>
    <w:rsid w:val="0040074A"/>
    <w:rsid w:val="00400C90"/>
    <w:rsid w:val="00400D11"/>
    <w:rsid w:val="0040110D"/>
    <w:rsid w:val="004011C8"/>
    <w:rsid w:val="00401560"/>
    <w:rsid w:val="00401643"/>
    <w:rsid w:val="00401798"/>
    <w:rsid w:val="0040268A"/>
    <w:rsid w:val="00402A51"/>
    <w:rsid w:val="00402AC7"/>
    <w:rsid w:val="00402B3E"/>
    <w:rsid w:val="00402CFB"/>
    <w:rsid w:val="00402E7E"/>
    <w:rsid w:val="00402EF4"/>
    <w:rsid w:val="00403275"/>
    <w:rsid w:val="004032CE"/>
    <w:rsid w:val="0040367F"/>
    <w:rsid w:val="00403BB9"/>
    <w:rsid w:val="004042DC"/>
    <w:rsid w:val="00404493"/>
    <w:rsid w:val="00404847"/>
    <w:rsid w:val="00404882"/>
    <w:rsid w:val="0040496B"/>
    <w:rsid w:val="00404AFB"/>
    <w:rsid w:val="00404B39"/>
    <w:rsid w:val="00404CE2"/>
    <w:rsid w:val="004050D7"/>
    <w:rsid w:val="0040558A"/>
    <w:rsid w:val="004056E9"/>
    <w:rsid w:val="00405D02"/>
    <w:rsid w:val="004066F7"/>
    <w:rsid w:val="00406A1A"/>
    <w:rsid w:val="00406A4E"/>
    <w:rsid w:val="00406CD7"/>
    <w:rsid w:val="004072C9"/>
    <w:rsid w:val="004072DF"/>
    <w:rsid w:val="00407309"/>
    <w:rsid w:val="004079B2"/>
    <w:rsid w:val="00407A0E"/>
    <w:rsid w:val="00407A79"/>
    <w:rsid w:val="00407B43"/>
    <w:rsid w:val="0041041E"/>
    <w:rsid w:val="00410488"/>
    <w:rsid w:val="004104F2"/>
    <w:rsid w:val="004104FC"/>
    <w:rsid w:val="004107F3"/>
    <w:rsid w:val="00410B37"/>
    <w:rsid w:val="0041133A"/>
    <w:rsid w:val="0041157F"/>
    <w:rsid w:val="004115CF"/>
    <w:rsid w:val="00411758"/>
    <w:rsid w:val="00411777"/>
    <w:rsid w:val="004122E4"/>
    <w:rsid w:val="00412300"/>
    <w:rsid w:val="00412A68"/>
    <w:rsid w:val="00413156"/>
    <w:rsid w:val="00413266"/>
    <w:rsid w:val="00413372"/>
    <w:rsid w:val="004138D3"/>
    <w:rsid w:val="00413964"/>
    <w:rsid w:val="00413DEA"/>
    <w:rsid w:val="004141FA"/>
    <w:rsid w:val="004144A0"/>
    <w:rsid w:val="00415165"/>
    <w:rsid w:val="00415251"/>
    <w:rsid w:val="00415365"/>
    <w:rsid w:val="00415493"/>
    <w:rsid w:val="0041567F"/>
    <w:rsid w:val="00415B4F"/>
    <w:rsid w:val="00415CFC"/>
    <w:rsid w:val="00415FAD"/>
    <w:rsid w:val="00416AD5"/>
    <w:rsid w:val="00416EAE"/>
    <w:rsid w:val="004173F1"/>
    <w:rsid w:val="0041742C"/>
    <w:rsid w:val="00417456"/>
    <w:rsid w:val="004177F5"/>
    <w:rsid w:val="00417C60"/>
    <w:rsid w:val="004200DA"/>
    <w:rsid w:val="0042077E"/>
    <w:rsid w:val="0042087A"/>
    <w:rsid w:val="00420B95"/>
    <w:rsid w:val="004213EB"/>
    <w:rsid w:val="004214E5"/>
    <w:rsid w:val="00421721"/>
    <w:rsid w:val="0042177E"/>
    <w:rsid w:val="004218AD"/>
    <w:rsid w:val="00421B83"/>
    <w:rsid w:val="00421D96"/>
    <w:rsid w:val="004224A4"/>
    <w:rsid w:val="00422A8E"/>
    <w:rsid w:val="00422C4D"/>
    <w:rsid w:val="0042355E"/>
    <w:rsid w:val="0042384C"/>
    <w:rsid w:val="004238ED"/>
    <w:rsid w:val="00423A54"/>
    <w:rsid w:val="00423BC7"/>
    <w:rsid w:val="00423EF5"/>
    <w:rsid w:val="00424487"/>
    <w:rsid w:val="00424912"/>
    <w:rsid w:val="00424ABA"/>
    <w:rsid w:val="00424ABC"/>
    <w:rsid w:val="00424BE7"/>
    <w:rsid w:val="00424E70"/>
    <w:rsid w:val="00425D0B"/>
    <w:rsid w:val="00425FBC"/>
    <w:rsid w:val="004263F5"/>
    <w:rsid w:val="0042665F"/>
    <w:rsid w:val="00426FFD"/>
    <w:rsid w:val="004270D1"/>
    <w:rsid w:val="004272EA"/>
    <w:rsid w:val="0042731A"/>
    <w:rsid w:val="00427571"/>
    <w:rsid w:val="004275E3"/>
    <w:rsid w:val="004276AF"/>
    <w:rsid w:val="00427B7D"/>
    <w:rsid w:val="00427CC8"/>
    <w:rsid w:val="00427CE0"/>
    <w:rsid w:val="00427CED"/>
    <w:rsid w:val="00427EB7"/>
    <w:rsid w:val="00430399"/>
    <w:rsid w:val="004304B2"/>
    <w:rsid w:val="004304E7"/>
    <w:rsid w:val="004306A2"/>
    <w:rsid w:val="004307BD"/>
    <w:rsid w:val="004307EF"/>
    <w:rsid w:val="004309CA"/>
    <w:rsid w:val="00430B6B"/>
    <w:rsid w:val="00430C80"/>
    <w:rsid w:val="00430CF1"/>
    <w:rsid w:val="00430D04"/>
    <w:rsid w:val="004311E5"/>
    <w:rsid w:val="00431289"/>
    <w:rsid w:val="004316DA"/>
    <w:rsid w:val="004317AB"/>
    <w:rsid w:val="0043182F"/>
    <w:rsid w:val="00431D30"/>
    <w:rsid w:val="00431E1D"/>
    <w:rsid w:val="00431E4A"/>
    <w:rsid w:val="00431F06"/>
    <w:rsid w:val="00432071"/>
    <w:rsid w:val="004321BA"/>
    <w:rsid w:val="0043223B"/>
    <w:rsid w:val="0043255F"/>
    <w:rsid w:val="00432C75"/>
    <w:rsid w:val="00432EF0"/>
    <w:rsid w:val="004332EC"/>
    <w:rsid w:val="00433325"/>
    <w:rsid w:val="004337C9"/>
    <w:rsid w:val="00433888"/>
    <w:rsid w:val="00433BA5"/>
    <w:rsid w:val="00433DA9"/>
    <w:rsid w:val="004342D6"/>
    <w:rsid w:val="0043436D"/>
    <w:rsid w:val="00434544"/>
    <w:rsid w:val="00434597"/>
    <w:rsid w:val="004346AF"/>
    <w:rsid w:val="004348C3"/>
    <w:rsid w:val="00434ACE"/>
    <w:rsid w:val="00434BBF"/>
    <w:rsid w:val="00434E1D"/>
    <w:rsid w:val="00435000"/>
    <w:rsid w:val="0043593A"/>
    <w:rsid w:val="00435E98"/>
    <w:rsid w:val="0043628F"/>
    <w:rsid w:val="004364D1"/>
    <w:rsid w:val="00436B40"/>
    <w:rsid w:val="004375F2"/>
    <w:rsid w:val="00437BAA"/>
    <w:rsid w:val="00437BAB"/>
    <w:rsid w:val="0044040F"/>
    <w:rsid w:val="00440A1E"/>
    <w:rsid w:val="00440F0E"/>
    <w:rsid w:val="00440F41"/>
    <w:rsid w:val="00440FC5"/>
    <w:rsid w:val="00441D65"/>
    <w:rsid w:val="004420EF"/>
    <w:rsid w:val="0044211D"/>
    <w:rsid w:val="00442235"/>
    <w:rsid w:val="0044232A"/>
    <w:rsid w:val="004426B3"/>
    <w:rsid w:val="0044279A"/>
    <w:rsid w:val="004429E6"/>
    <w:rsid w:val="00442D06"/>
    <w:rsid w:val="00442E9C"/>
    <w:rsid w:val="00442F12"/>
    <w:rsid w:val="004433FD"/>
    <w:rsid w:val="0044352C"/>
    <w:rsid w:val="00443AE8"/>
    <w:rsid w:val="00443DF2"/>
    <w:rsid w:val="00443E41"/>
    <w:rsid w:val="00444064"/>
    <w:rsid w:val="00444115"/>
    <w:rsid w:val="00444207"/>
    <w:rsid w:val="004444A8"/>
    <w:rsid w:val="0044459F"/>
    <w:rsid w:val="004451C9"/>
    <w:rsid w:val="0044532E"/>
    <w:rsid w:val="0044535A"/>
    <w:rsid w:val="004453EC"/>
    <w:rsid w:val="004454D2"/>
    <w:rsid w:val="004459BD"/>
    <w:rsid w:val="00445A32"/>
    <w:rsid w:val="00445B04"/>
    <w:rsid w:val="00445CB2"/>
    <w:rsid w:val="004464EC"/>
    <w:rsid w:val="00446883"/>
    <w:rsid w:val="00446B36"/>
    <w:rsid w:val="004474FC"/>
    <w:rsid w:val="00447CDE"/>
    <w:rsid w:val="00447F23"/>
    <w:rsid w:val="0045005E"/>
    <w:rsid w:val="0045047E"/>
    <w:rsid w:val="00450700"/>
    <w:rsid w:val="004508C8"/>
    <w:rsid w:val="00450A9E"/>
    <w:rsid w:val="00450CC2"/>
    <w:rsid w:val="00450D4A"/>
    <w:rsid w:val="00450E20"/>
    <w:rsid w:val="0045156B"/>
    <w:rsid w:val="0045196D"/>
    <w:rsid w:val="00451E68"/>
    <w:rsid w:val="0045209B"/>
    <w:rsid w:val="004521D8"/>
    <w:rsid w:val="004524F7"/>
    <w:rsid w:val="004525B1"/>
    <w:rsid w:val="004527F0"/>
    <w:rsid w:val="00452A9D"/>
    <w:rsid w:val="00452AD6"/>
    <w:rsid w:val="00452B39"/>
    <w:rsid w:val="00452C17"/>
    <w:rsid w:val="004533D0"/>
    <w:rsid w:val="0045364B"/>
    <w:rsid w:val="004536AD"/>
    <w:rsid w:val="00453701"/>
    <w:rsid w:val="00453A2B"/>
    <w:rsid w:val="00453DBF"/>
    <w:rsid w:val="0045415E"/>
    <w:rsid w:val="0045496D"/>
    <w:rsid w:val="00454A53"/>
    <w:rsid w:val="00454AE5"/>
    <w:rsid w:val="00454E66"/>
    <w:rsid w:val="004550B1"/>
    <w:rsid w:val="00455507"/>
    <w:rsid w:val="0045554A"/>
    <w:rsid w:val="00455B74"/>
    <w:rsid w:val="00455C38"/>
    <w:rsid w:val="004561C9"/>
    <w:rsid w:val="00456211"/>
    <w:rsid w:val="00456438"/>
    <w:rsid w:val="00456490"/>
    <w:rsid w:val="00456508"/>
    <w:rsid w:val="004567B1"/>
    <w:rsid w:val="00456A4C"/>
    <w:rsid w:val="00456B51"/>
    <w:rsid w:val="00457261"/>
    <w:rsid w:val="004574BC"/>
    <w:rsid w:val="004575FA"/>
    <w:rsid w:val="00457A51"/>
    <w:rsid w:val="00457FAF"/>
    <w:rsid w:val="0046005C"/>
    <w:rsid w:val="00460253"/>
    <w:rsid w:val="0046044D"/>
    <w:rsid w:val="004605C6"/>
    <w:rsid w:val="004607A3"/>
    <w:rsid w:val="0046084E"/>
    <w:rsid w:val="00460AE7"/>
    <w:rsid w:val="00460CAF"/>
    <w:rsid w:val="00460E95"/>
    <w:rsid w:val="00460EB4"/>
    <w:rsid w:val="0046152A"/>
    <w:rsid w:val="00461928"/>
    <w:rsid w:val="00461B17"/>
    <w:rsid w:val="00461B7C"/>
    <w:rsid w:val="00461CDB"/>
    <w:rsid w:val="00461D64"/>
    <w:rsid w:val="00461DB7"/>
    <w:rsid w:val="00461EC6"/>
    <w:rsid w:val="0046284E"/>
    <w:rsid w:val="00462E94"/>
    <w:rsid w:val="00462EE4"/>
    <w:rsid w:val="00463F15"/>
    <w:rsid w:val="00463F1D"/>
    <w:rsid w:val="0046498F"/>
    <w:rsid w:val="004649B3"/>
    <w:rsid w:val="00464C92"/>
    <w:rsid w:val="00464E7C"/>
    <w:rsid w:val="00464F28"/>
    <w:rsid w:val="00465256"/>
    <w:rsid w:val="004655D4"/>
    <w:rsid w:val="00465902"/>
    <w:rsid w:val="00465A9C"/>
    <w:rsid w:val="00465B9C"/>
    <w:rsid w:val="00466374"/>
    <w:rsid w:val="0046664A"/>
    <w:rsid w:val="00466856"/>
    <w:rsid w:val="004668AB"/>
    <w:rsid w:val="00466C84"/>
    <w:rsid w:val="00466E62"/>
    <w:rsid w:val="0046702D"/>
    <w:rsid w:val="0046718A"/>
    <w:rsid w:val="0046749B"/>
    <w:rsid w:val="00467708"/>
    <w:rsid w:val="004677E5"/>
    <w:rsid w:val="0046796A"/>
    <w:rsid w:val="00467972"/>
    <w:rsid w:val="00467B4D"/>
    <w:rsid w:val="00467DD0"/>
    <w:rsid w:val="00467E1D"/>
    <w:rsid w:val="00467EC3"/>
    <w:rsid w:val="00467EC9"/>
    <w:rsid w:val="00470357"/>
    <w:rsid w:val="004707E5"/>
    <w:rsid w:val="00470894"/>
    <w:rsid w:val="004712F9"/>
    <w:rsid w:val="0047134E"/>
    <w:rsid w:val="00471413"/>
    <w:rsid w:val="0047195A"/>
    <w:rsid w:val="00471DC0"/>
    <w:rsid w:val="004721F5"/>
    <w:rsid w:val="00472484"/>
    <w:rsid w:val="004726BD"/>
    <w:rsid w:val="004726C7"/>
    <w:rsid w:val="00472B63"/>
    <w:rsid w:val="00472C1D"/>
    <w:rsid w:val="00473043"/>
    <w:rsid w:val="004732AB"/>
    <w:rsid w:val="004733B9"/>
    <w:rsid w:val="004738A4"/>
    <w:rsid w:val="00473C51"/>
    <w:rsid w:val="00473DD6"/>
    <w:rsid w:val="0047403C"/>
    <w:rsid w:val="0047407D"/>
    <w:rsid w:val="00474857"/>
    <w:rsid w:val="0047487F"/>
    <w:rsid w:val="00474A8D"/>
    <w:rsid w:val="00474C68"/>
    <w:rsid w:val="00474D05"/>
    <w:rsid w:val="00474D22"/>
    <w:rsid w:val="00474D6E"/>
    <w:rsid w:val="00474DFB"/>
    <w:rsid w:val="00475689"/>
    <w:rsid w:val="0047597A"/>
    <w:rsid w:val="00475BA1"/>
    <w:rsid w:val="00475D11"/>
    <w:rsid w:val="00475E0C"/>
    <w:rsid w:val="00475EEC"/>
    <w:rsid w:val="00476474"/>
    <w:rsid w:val="0047657E"/>
    <w:rsid w:val="00476C9C"/>
    <w:rsid w:val="00476E4B"/>
    <w:rsid w:val="0047767B"/>
    <w:rsid w:val="0047770D"/>
    <w:rsid w:val="004777FD"/>
    <w:rsid w:val="00480002"/>
    <w:rsid w:val="00480189"/>
    <w:rsid w:val="004802F5"/>
    <w:rsid w:val="00480764"/>
    <w:rsid w:val="00480890"/>
    <w:rsid w:val="00480988"/>
    <w:rsid w:val="00480C0A"/>
    <w:rsid w:val="00480EFC"/>
    <w:rsid w:val="00480F31"/>
    <w:rsid w:val="00481173"/>
    <w:rsid w:val="0048128B"/>
    <w:rsid w:val="004814FF"/>
    <w:rsid w:val="004815E8"/>
    <w:rsid w:val="004819B0"/>
    <w:rsid w:val="00481A0A"/>
    <w:rsid w:val="0048215A"/>
    <w:rsid w:val="00482225"/>
    <w:rsid w:val="00482379"/>
    <w:rsid w:val="004824F5"/>
    <w:rsid w:val="0048291B"/>
    <w:rsid w:val="00482C72"/>
    <w:rsid w:val="00482D60"/>
    <w:rsid w:val="00482D9D"/>
    <w:rsid w:val="00482E99"/>
    <w:rsid w:val="004830C4"/>
    <w:rsid w:val="00483378"/>
    <w:rsid w:val="004834B3"/>
    <w:rsid w:val="00483505"/>
    <w:rsid w:val="004835A1"/>
    <w:rsid w:val="004837D0"/>
    <w:rsid w:val="0048389F"/>
    <w:rsid w:val="00483DC8"/>
    <w:rsid w:val="00483E31"/>
    <w:rsid w:val="004840F6"/>
    <w:rsid w:val="00484379"/>
    <w:rsid w:val="0048464C"/>
    <w:rsid w:val="00484720"/>
    <w:rsid w:val="00484D40"/>
    <w:rsid w:val="00484E72"/>
    <w:rsid w:val="00484F1E"/>
    <w:rsid w:val="004851FB"/>
    <w:rsid w:val="00485682"/>
    <w:rsid w:val="00485887"/>
    <w:rsid w:val="004859B4"/>
    <w:rsid w:val="00486277"/>
    <w:rsid w:val="004864AD"/>
    <w:rsid w:val="0048652E"/>
    <w:rsid w:val="004866C1"/>
    <w:rsid w:val="004867CC"/>
    <w:rsid w:val="00486933"/>
    <w:rsid w:val="00486A01"/>
    <w:rsid w:val="00486CAA"/>
    <w:rsid w:val="00486D20"/>
    <w:rsid w:val="004870F9"/>
    <w:rsid w:val="00487164"/>
    <w:rsid w:val="00487548"/>
    <w:rsid w:val="004876FC"/>
    <w:rsid w:val="00487B0E"/>
    <w:rsid w:val="00487C00"/>
    <w:rsid w:val="00487C60"/>
    <w:rsid w:val="00489B9C"/>
    <w:rsid w:val="00490319"/>
    <w:rsid w:val="00490549"/>
    <w:rsid w:val="004906EC"/>
    <w:rsid w:val="00490749"/>
    <w:rsid w:val="004907C8"/>
    <w:rsid w:val="00490B7C"/>
    <w:rsid w:val="00490B93"/>
    <w:rsid w:val="00490E94"/>
    <w:rsid w:val="00491056"/>
    <w:rsid w:val="00491318"/>
    <w:rsid w:val="0049142C"/>
    <w:rsid w:val="0049153C"/>
    <w:rsid w:val="004917FE"/>
    <w:rsid w:val="00491819"/>
    <w:rsid w:val="00491823"/>
    <w:rsid w:val="004918AF"/>
    <w:rsid w:val="00491DB1"/>
    <w:rsid w:val="00491DFA"/>
    <w:rsid w:val="00491EC8"/>
    <w:rsid w:val="004923FD"/>
    <w:rsid w:val="00492876"/>
    <w:rsid w:val="0049294A"/>
    <w:rsid w:val="004929CE"/>
    <w:rsid w:val="00492AC2"/>
    <w:rsid w:val="00492CC0"/>
    <w:rsid w:val="0049342C"/>
    <w:rsid w:val="00493515"/>
    <w:rsid w:val="00494151"/>
    <w:rsid w:val="00494931"/>
    <w:rsid w:val="00494957"/>
    <w:rsid w:val="00494B90"/>
    <w:rsid w:val="004950C6"/>
    <w:rsid w:val="00495128"/>
    <w:rsid w:val="004955EF"/>
    <w:rsid w:val="004958C2"/>
    <w:rsid w:val="00495AC6"/>
    <w:rsid w:val="00495E7D"/>
    <w:rsid w:val="00496389"/>
    <w:rsid w:val="004965C5"/>
    <w:rsid w:val="004965DA"/>
    <w:rsid w:val="0049662A"/>
    <w:rsid w:val="00496881"/>
    <w:rsid w:val="0049696B"/>
    <w:rsid w:val="00496D3B"/>
    <w:rsid w:val="00497382"/>
    <w:rsid w:val="0049779B"/>
    <w:rsid w:val="00497884"/>
    <w:rsid w:val="00497AB4"/>
    <w:rsid w:val="00497C35"/>
    <w:rsid w:val="00497C5B"/>
    <w:rsid w:val="00497DF6"/>
    <w:rsid w:val="00497F82"/>
    <w:rsid w:val="004A03D7"/>
    <w:rsid w:val="004A04AA"/>
    <w:rsid w:val="004A0B39"/>
    <w:rsid w:val="004A0DC0"/>
    <w:rsid w:val="004A0E1A"/>
    <w:rsid w:val="004A11D3"/>
    <w:rsid w:val="004A120B"/>
    <w:rsid w:val="004A1234"/>
    <w:rsid w:val="004A1308"/>
    <w:rsid w:val="004A185B"/>
    <w:rsid w:val="004A19F2"/>
    <w:rsid w:val="004A1AA4"/>
    <w:rsid w:val="004A1B5A"/>
    <w:rsid w:val="004A1B5E"/>
    <w:rsid w:val="004A1D68"/>
    <w:rsid w:val="004A1DF5"/>
    <w:rsid w:val="004A22E1"/>
    <w:rsid w:val="004A2E53"/>
    <w:rsid w:val="004A2F5F"/>
    <w:rsid w:val="004A3395"/>
    <w:rsid w:val="004A359E"/>
    <w:rsid w:val="004A37CA"/>
    <w:rsid w:val="004A381A"/>
    <w:rsid w:val="004A3B81"/>
    <w:rsid w:val="004A46ED"/>
    <w:rsid w:val="004A4D9C"/>
    <w:rsid w:val="004A4FFA"/>
    <w:rsid w:val="004A506D"/>
    <w:rsid w:val="004A5246"/>
    <w:rsid w:val="004A586F"/>
    <w:rsid w:val="004A5C0C"/>
    <w:rsid w:val="004A63D6"/>
    <w:rsid w:val="004A65E8"/>
    <w:rsid w:val="004A6953"/>
    <w:rsid w:val="004A699E"/>
    <w:rsid w:val="004A6ACB"/>
    <w:rsid w:val="004A6BF3"/>
    <w:rsid w:val="004A6CE1"/>
    <w:rsid w:val="004A71CC"/>
    <w:rsid w:val="004A727D"/>
    <w:rsid w:val="004A7392"/>
    <w:rsid w:val="004A7890"/>
    <w:rsid w:val="004A79C5"/>
    <w:rsid w:val="004A7C00"/>
    <w:rsid w:val="004A7D1A"/>
    <w:rsid w:val="004B043E"/>
    <w:rsid w:val="004B0613"/>
    <w:rsid w:val="004B06F0"/>
    <w:rsid w:val="004B0979"/>
    <w:rsid w:val="004B09DF"/>
    <w:rsid w:val="004B0E22"/>
    <w:rsid w:val="004B0ED9"/>
    <w:rsid w:val="004B1169"/>
    <w:rsid w:val="004B140D"/>
    <w:rsid w:val="004B14F0"/>
    <w:rsid w:val="004B17BC"/>
    <w:rsid w:val="004B1874"/>
    <w:rsid w:val="004B1D05"/>
    <w:rsid w:val="004B1F2A"/>
    <w:rsid w:val="004B2025"/>
    <w:rsid w:val="004B2086"/>
    <w:rsid w:val="004B2EA2"/>
    <w:rsid w:val="004B30C2"/>
    <w:rsid w:val="004B3257"/>
    <w:rsid w:val="004B34DF"/>
    <w:rsid w:val="004B36AD"/>
    <w:rsid w:val="004B370E"/>
    <w:rsid w:val="004B37DC"/>
    <w:rsid w:val="004B3E97"/>
    <w:rsid w:val="004B472A"/>
    <w:rsid w:val="004B4944"/>
    <w:rsid w:val="004B4B7A"/>
    <w:rsid w:val="004B4DAD"/>
    <w:rsid w:val="004B4E8F"/>
    <w:rsid w:val="004B50EA"/>
    <w:rsid w:val="004B5121"/>
    <w:rsid w:val="004B51C5"/>
    <w:rsid w:val="004B5358"/>
    <w:rsid w:val="004B545F"/>
    <w:rsid w:val="004B580E"/>
    <w:rsid w:val="004B5BAD"/>
    <w:rsid w:val="004B6A76"/>
    <w:rsid w:val="004B6F44"/>
    <w:rsid w:val="004B6FB5"/>
    <w:rsid w:val="004B7017"/>
    <w:rsid w:val="004B745A"/>
    <w:rsid w:val="004B76DF"/>
    <w:rsid w:val="004B7942"/>
    <w:rsid w:val="004B7978"/>
    <w:rsid w:val="004B79F0"/>
    <w:rsid w:val="004B7ACE"/>
    <w:rsid w:val="004B7DF9"/>
    <w:rsid w:val="004C006A"/>
    <w:rsid w:val="004C0256"/>
    <w:rsid w:val="004C03AF"/>
    <w:rsid w:val="004C0430"/>
    <w:rsid w:val="004C049A"/>
    <w:rsid w:val="004C05BF"/>
    <w:rsid w:val="004C0C78"/>
    <w:rsid w:val="004C0D3F"/>
    <w:rsid w:val="004C14E5"/>
    <w:rsid w:val="004C1692"/>
    <w:rsid w:val="004C179C"/>
    <w:rsid w:val="004C20C9"/>
    <w:rsid w:val="004C22D9"/>
    <w:rsid w:val="004C231A"/>
    <w:rsid w:val="004C255C"/>
    <w:rsid w:val="004C280F"/>
    <w:rsid w:val="004C28E4"/>
    <w:rsid w:val="004C29A0"/>
    <w:rsid w:val="004C2D7F"/>
    <w:rsid w:val="004C3487"/>
    <w:rsid w:val="004C36AF"/>
    <w:rsid w:val="004C3E5C"/>
    <w:rsid w:val="004C3EBD"/>
    <w:rsid w:val="004C3F0C"/>
    <w:rsid w:val="004C3F94"/>
    <w:rsid w:val="004C40D0"/>
    <w:rsid w:val="004C4C20"/>
    <w:rsid w:val="004C4C80"/>
    <w:rsid w:val="004C4E28"/>
    <w:rsid w:val="004C4F7D"/>
    <w:rsid w:val="004C504F"/>
    <w:rsid w:val="004C52FF"/>
    <w:rsid w:val="004C536B"/>
    <w:rsid w:val="004C54A1"/>
    <w:rsid w:val="004C58FD"/>
    <w:rsid w:val="004C5A78"/>
    <w:rsid w:val="004C5C6A"/>
    <w:rsid w:val="004C5FCC"/>
    <w:rsid w:val="004C65B4"/>
    <w:rsid w:val="004C661B"/>
    <w:rsid w:val="004C66C5"/>
    <w:rsid w:val="004C68D9"/>
    <w:rsid w:val="004C6A5A"/>
    <w:rsid w:val="004C6C91"/>
    <w:rsid w:val="004C7276"/>
    <w:rsid w:val="004C72EE"/>
    <w:rsid w:val="004C7A10"/>
    <w:rsid w:val="004D0101"/>
    <w:rsid w:val="004D0276"/>
    <w:rsid w:val="004D061D"/>
    <w:rsid w:val="004D07CD"/>
    <w:rsid w:val="004D07FE"/>
    <w:rsid w:val="004D09DB"/>
    <w:rsid w:val="004D0C5A"/>
    <w:rsid w:val="004D0D95"/>
    <w:rsid w:val="004D1133"/>
    <w:rsid w:val="004D12D3"/>
    <w:rsid w:val="004D1565"/>
    <w:rsid w:val="004D1749"/>
    <w:rsid w:val="004D1811"/>
    <w:rsid w:val="004D1F40"/>
    <w:rsid w:val="004D2134"/>
    <w:rsid w:val="004D2151"/>
    <w:rsid w:val="004D23FB"/>
    <w:rsid w:val="004D2715"/>
    <w:rsid w:val="004D27FC"/>
    <w:rsid w:val="004D2896"/>
    <w:rsid w:val="004D2AE6"/>
    <w:rsid w:val="004D2C4D"/>
    <w:rsid w:val="004D2DF0"/>
    <w:rsid w:val="004D2E5D"/>
    <w:rsid w:val="004D2EB2"/>
    <w:rsid w:val="004D2EFC"/>
    <w:rsid w:val="004D2F9E"/>
    <w:rsid w:val="004D3454"/>
    <w:rsid w:val="004D385C"/>
    <w:rsid w:val="004D3CB9"/>
    <w:rsid w:val="004D4219"/>
    <w:rsid w:val="004D4424"/>
    <w:rsid w:val="004D48F3"/>
    <w:rsid w:val="004D4954"/>
    <w:rsid w:val="004D4A57"/>
    <w:rsid w:val="004D4A7F"/>
    <w:rsid w:val="004D52A9"/>
    <w:rsid w:val="004D5785"/>
    <w:rsid w:val="004D5BC7"/>
    <w:rsid w:val="004D5DB0"/>
    <w:rsid w:val="004D64B2"/>
    <w:rsid w:val="004D6620"/>
    <w:rsid w:val="004D6A43"/>
    <w:rsid w:val="004D6C0C"/>
    <w:rsid w:val="004D6DC5"/>
    <w:rsid w:val="004D727E"/>
    <w:rsid w:val="004D7575"/>
    <w:rsid w:val="004D7ACC"/>
    <w:rsid w:val="004E0507"/>
    <w:rsid w:val="004E0751"/>
    <w:rsid w:val="004E0C65"/>
    <w:rsid w:val="004E102E"/>
    <w:rsid w:val="004E1105"/>
    <w:rsid w:val="004E1120"/>
    <w:rsid w:val="004E1218"/>
    <w:rsid w:val="004E1435"/>
    <w:rsid w:val="004E1621"/>
    <w:rsid w:val="004E20E9"/>
    <w:rsid w:val="004E27D9"/>
    <w:rsid w:val="004E27EC"/>
    <w:rsid w:val="004E2AED"/>
    <w:rsid w:val="004E2B20"/>
    <w:rsid w:val="004E3003"/>
    <w:rsid w:val="004E3013"/>
    <w:rsid w:val="004E3583"/>
    <w:rsid w:val="004E36BB"/>
    <w:rsid w:val="004E3C22"/>
    <w:rsid w:val="004E3C96"/>
    <w:rsid w:val="004E3DB6"/>
    <w:rsid w:val="004E4016"/>
    <w:rsid w:val="004E4186"/>
    <w:rsid w:val="004E4274"/>
    <w:rsid w:val="004E4454"/>
    <w:rsid w:val="004E47CB"/>
    <w:rsid w:val="004E48C8"/>
    <w:rsid w:val="004E4954"/>
    <w:rsid w:val="004E49B6"/>
    <w:rsid w:val="004E511F"/>
    <w:rsid w:val="004E5349"/>
    <w:rsid w:val="004E538E"/>
    <w:rsid w:val="004E5410"/>
    <w:rsid w:val="004E55B6"/>
    <w:rsid w:val="004E5998"/>
    <w:rsid w:val="004E5A5A"/>
    <w:rsid w:val="004E5B5E"/>
    <w:rsid w:val="004E5BFC"/>
    <w:rsid w:val="004E5E9A"/>
    <w:rsid w:val="004E6822"/>
    <w:rsid w:val="004E68E2"/>
    <w:rsid w:val="004E69DD"/>
    <w:rsid w:val="004E6A1F"/>
    <w:rsid w:val="004E6AC7"/>
    <w:rsid w:val="004E6B01"/>
    <w:rsid w:val="004E6B17"/>
    <w:rsid w:val="004E6B46"/>
    <w:rsid w:val="004E6C3D"/>
    <w:rsid w:val="004E72B5"/>
    <w:rsid w:val="004E738C"/>
    <w:rsid w:val="004E74C2"/>
    <w:rsid w:val="004E79EF"/>
    <w:rsid w:val="004E7ADD"/>
    <w:rsid w:val="004F0130"/>
    <w:rsid w:val="004F0309"/>
    <w:rsid w:val="004F0E36"/>
    <w:rsid w:val="004F0ECC"/>
    <w:rsid w:val="004F11B3"/>
    <w:rsid w:val="004F1262"/>
    <w:rsid w:val="004F154A"/>
    <w:rsid w:val="004F19DC"/>
    <w:rsid w:val="004F1A12"/>
    <w:rsid w:val="004F1D4F"/>
    <w:rsid w:val="004F2108"/>
    <w:rsid w:val="004F237B"/>
    <w:rsid w:val="004F338A"/>
    <w:rsid w:val="004F35CA"/>
    <w:rsid w:val="004F3948"/>
    <w:rsid w:val="004F3A72"/>
    <w:rsid w:val="004F3EDB"/>
    <w:rsid w:val="004F3F2A"/>
    <w:rsid w:val="004F4116"/>
    <w:rsid w:val="004F4547"/>
    <w:rsid w:val="004F4806"/>
    <w:rsid w:val="004F4A76"/>
    <w:rsid w:val="004F4BEE"/>
    <w:rsid w:val="004F4FB7"/>
    <w:rsid w:val="004F5097"/>
    <w:rsid w:val="004F5276"/>
    <w:rsid w:val="004F5340"/>
    <w:rsid w:val="004F5481"/>
    <w:rsid w:val="004F569B"/>
    <w:rsid w:val="004F59A8"/>
    <w:rsid w:val="004F5B29"/>
    <w:rsid w:val="004F5C06"/>
    <w:rsid w:val="004F5C2D"/>
    <w:rsid w:val="004F60A8"/>
    <w:rsid w:val="004F60F6"/>
    <w:rsid w:val="004F621B"/>
    <w:rsid w:val="004F6693"/>
    <w:rsid w:val="004F6B09"/>
    <w:rsid w:val="004F6D24"/>
    <w:rsid w:val="004F6D2A"/>
    <w:rsid w:val="004F6FBE"/>
    <w:rsid w:val="004F76D7"/>
    <w:rsid w:val="005000FF"/>
    <w:rsid w:val="005006B7"/>
    <w:rsid w:val="005009DC"/>
    <w:rsid w:val="00500A68"/>
    <w:rsid w:val="00500AA8"/>
    <w:rsid w:val="00500D7F"/>
    <w:rsid w:val="005012B2"/>
    <w:rsid w:val="00501488"/>
    <w:rsid w:val="00501746"/>
    <w:rsid w:val="005017C0"/>
    <w:rsid w:val="0050250D"/>
    <w:rsid w:val="0050257F"/>
    <w:rsid w:val="00502885"/>
    <w:rsid w:val="00502D67"/>
    <w:rsid w:val="005032C7"/>
    <w:rsid w:val="00503415"/>
    <w:rsid w:val="005034EB"/>
    <w:rsid w:val="00503603"/>
    <w:rsid w:val="00504368"/>
    <w:rsid w:val="005043BD"/>
    <w:rsid w:val="00504695"/>
    <w:rsid w:val="005053CB"/>
    <w:rsid w:val="00505B1B"/>
    <w:rsid w:val="00505FEA"/>
    <w:rsid w:val="00506256"/>
    <w:rsid w:val="005062CF"/>
    <w:rsid w:val="00506A51"/>
    <w:rsid w:val="00506D7A"/>
    <w:rsid w:val="00507411"/>
    <w:rsid w:val="0050752E"/>
    <w:rsid w:val="005079A9"/>
    <w:rsid w:val="00507BBE"/>
    <w:rsid w:val="00507CFA"/>
    <w:rsid w:val="00507E45"/>
    <w:rsid w:val="0051024D"/>
    <w:rsid w:val="00510275"/>
    <w:rsid w:val="005106AB"/>
    <w:rsid w:val="005106C1"/>
    <w:rsid w:val="00510B5A"/>
    <w:rsid w:val="00510D53"/>
    <w:rsid w:val="00511194"/>
    <w:rsid w:val="00511672"/>
    <w:rsid w:val="0051172F"/>
    <w:rsid w:val="00512004"/>
    <w:rsid w:val="00512288"/>
    <w:rsid w:val="00512580"/>
    <w:rsid w:val="0051268A"/>
    <w:rsid w:val="00512974"/>
    <w:rsid w:val="0051305B"/>
    <w:rsid w:val="00513089"/>
    <w:rsid w:val="005131D4"/>
    <w:rsid w:val="005137E1"/>
    <w:rsid w:val="005139FA"/>
    <w:rsid w:val="00513C91"/>
    <w:rsid w:val="00513F73"/>
    <w:rsid w:val="0051426D"/>
    <w:rsid w:val="00514392"/>
    <w:rsid w:val="005144C7"/>
    <w:rsid w:val="0051471D"/>
    <w:rsid w:val="0051493D"/>
    <w:rsid w:val="00514EBC"/>
    <w:rsid w:val="00515383"/>
    <w:rsid w:val="00515DDC"/>
    <w:rsid w:val="00515E71"/>
    <w:rsid w:val="00516165"/>
    <w:rsid w:val="0051629D"/>
    <w:rsid w:val="005165F5"/>
    <w:rsid w:val="00516A32"/>
    <w:rsid w:val="00516F0C"/>
    <w:rsid w:val="005170DE"/>
    <w:rsid w:val="0051721F"/>
    <w:rsid w:val="0051734E"/>
    <w:rsid w:val="00517725"/>
    <w:rsid w:val="005179E0"/>
    <w:rsid w:val="00517B67"/>
    <w:rsid w:val="00517BE9"/>
    <w:rsid w:val="005201E4"/>
    <w:rsid w:val="00520292"/>
    <w:rsid w:val="0052088F"/>
    <w:rsid w:val="005208B4"/>
    <w:rsid w:val="00520AFF"/>
    <w:rsid w:val="00520D5C"/>
    <w:rsid w:val="00520EA3"/>
    <w:rsid w:val="00520F99"/>
    <w:rsid w:val="00521029"/>
    <w:rsid w:val="005215C7"/>
    <w:rsid w:val="005215E8"/>
    <w:rsid w:val="00521634"/>
    <w:rsid w:val="00521704"/>
    <w:rsid w:val="00521728"/>
    <w:rsid w:val="00521878"/>
    <w:rsid w:val="005222C3"/>
    <w:rsid w:val="00522608"/>
    <w:rsid w:val="0052261C"/>
    <w:rsid w:val="00522922"/>
    <w:rsid w:val="00522EE8"/>
    <w:rsid w:val="0052343C"/>
    <w:rsid w:val="00523782"/>
    <w:rsid w:val="0052383D"/>
    <w:rsid w:val="00523C1F"/>
    <w:rsid w:val="00523E81"/>
    <w:rsid w:val="00523EE9"/>
    <w:rsid w:val="00524985"/>
    <w:rsid w:val="00524C5F"/>
    <w:rsid w:val="00524DE3"/>
    <w:rsid w:val="005250ED"/>
    <w:rsid w:val="00525372"/>
    <w:rsid w:val="005253DB"/>
    <w:rsid w:val="00525547"/>
    <w:rsid w:val="00525692"/>
    <w:rsid w:val="00525748"/>
    <w:rsid w:val="0052591A"/>
    <w:rsid w:val="00525B1C"/>
    <w:rsid w:val="00525C0E"/>
    <w:rsid w:val="00525DD7"/>
    <w:rsid w:val="00525E1C"/>
    <w:rsid w:val="00526091"/>
    <w:rsid w:val="005261E6"/>
    <w:rsid w:val="005262B0"/>
    <w:rsid w:val="005265A0"/>
    <w:rsid w:val="00526994"/>
    <w:rsid w:val="00527034"/>
    <w:rsid w:val="0052748F"/>
    <w:rsid w:val="0052756C"/>
    <w:rsid w:val="00527582"/>
    <w:rsid w:val="00527C08"/>
    <w:rsid w:val="00527E72"/>
    <w:rsid w:val="00527EF2"/>
    <w:rsid w:val="00530010"/>
    <w:rsid w:val="00530220"/>
    <w:rsid w:val="005302C5"/>
    <w:rsid w:val="0053037B"/>
    <w:rsid w:val="0053054D"/>
    <w:rsid w:val="00530580"/>
    <w:rsid w:val="005307A1"/>
    <w:rsid w:val="005307F8"/>
    <w:rsid w:val="00530BDC"/>
    <w:rsid w:val="00530C5C"/>
    <w:rsid w:val="005312B4"/>
    <w:rsid w:val="005313DA"/>
    <w:rsid w:val="0053142D"/>
    <w:rsid w:val="00531596"/>
    <w:rsid w:val="00531759"/>
    <w:rsid w:val="005318C1"/>
    <w:rsid w:val="00531A93"/>
    <w:rsid w:val="00531BE7"/>
    <w:rsid w:val="00531DA8"/>
    <w:rsid w:val="00531FDB"/>
    <w:rsid w:val="00532320"/>
    <w:rsid w:val="00532844"/>
    <w:rsid w:val="0053290E"/>
    <w:rsid w:val="005329E5"/>
    <w:rsid w:val="00532C2F"/>
    <w:rsid w:val="00532F47"/>
    <w:rsid w:val="005331F5"/>
    <w:rsid w:val="00533733"/>
    <w:rsid w:val="00533A40"/>
    <w:rsid w:val="0053402D"/>
    <w:rsid w:val="0053412D"/>
    <w:rsid w:val="0053445D"/>
    <w:rsid w:val="00534A35"/>
    <w:rsid w:val="00534A93"/>
    <w:rsid w:val="00534B0D"/>
    <w:rsid w:val="00534FB5"/>
    <w:rsid w:val="00535CCE"/>
    <w:rsid w:val="00535F67"/>
    <w:rsid w:val="00535FB6"/>
    <w:rsid w:val="005360C3"/>
    <w:rsid w:val="0053629F"/>
    <w:rsid w:val="005362A9"/>
    <w:rsid w:val="005364C5"/>
    <w:rsid w:val="005364F1"/>
    <w:rsid w:val="00536681"/>
    <w:rsid w:val="005366B6"/>
    <w:rsid w:val="00536DE1"/>
    <w:rsid w:val="00536F49"/>
    <w:rsid w:val="005371D0"/>
    <w:rsid w:val="005375A3"/>
    <w:rsid w:val="00537927"/>
    <w:rsid w:val="00537B40"/>
    <w:rsid w:val="00537D7C"/>
    <w:rsid w:val="00540176"/>
    <w:rsid w:val="005404ED"/>
    <w:rsid w:val="00540754"/>
    <w:rsid w:val="0054087C"/>
    <w:rsid w:val="00540FB4"/>
    <w:rsid w:val="00541046"/>
    <w:rsid w:val="00541341"/>
    <w:rsid w:val="00541440"/>
    <w:rsid w:val="00541834"/>
    <w:rsid w:val="0054187B"/>
    <w:rsid w:val="0054194B"/>
    <w:rsid w:val="00541D95"/>
    <w:rsid w:val="00541DE9"/>
    <w:rsid w:val="00541FBD"/>
    <w:rsid w:val="00542336"/>
    <w:rsid w:val="005429AD"/>
    <w:rsid w:val="00542ACA"/>
    <w:rsid w:val="00542D9A"/>
    <w:rsid w:val="00543414"/>
    <w:rsid w:val="00543C36"/>
    <w:rsid w:val="00543C9E"/>
    <w:rsid w:val="00543F5E"/>
    <w:rsid w:val="0054454E"/>
    <w:rsid w:val="005448F3"/>
    <w:rsid w:val="00544BB6"/>
    <w:rsid w:val="00544C86"/>
    <w:rsid w:val="00544DB6"/>
    <w:rsid w:val="00544E1C"/>
    <w:rsid w:val="005450BE"/>
    <w:rsid w:val="005452F4"/>
    <w:rsid w:val="00545412"/>
    <w:rsid w:val="0054548A"/>
    <w:rsid w:val="00545B11"/>
    <w:rsid w:val="00545BE3"/>
    <w:rsid w:val="00545CD2"/>
    <w:rsid w:val="00545DE9"/>
    <w:rsid w:val="005461A9"/>
    <w:rsid w:val="00546784"/>
    <w:rsid w:val="005472EF"/>
    <w:rsid w:val="005474E4"/>
    <w:rsid w:val="005477F2"/>
    <w:rsid w:val="00547C24"/>
    <w:rsid w:val="00547DA1"/>
    <w:rsid w:val="005500F7"/>
    <w:rsid w:val="005505BE"/>
    <w:rsid w:val="0055079D"/>
    <w:rsid w:val="00550C2D"/>
    <w:rsid w:val="0055101F"/>
    <w:rsid w:val="005511D6"/>
    <w:rsid w:val="00551357"/>
    <w:rsid w:val="0055137C"/>
    <w:rsid w:val="0055168E"/>
    <w:rsid w:val="005519FE"/>
    <w:rsid w:val="00551B43"/>
    <w:rsid w:val="00551B56"/>
    <w:rsid w:val="005522AE"/>
    <w:rsid w:val="00552308"/>
    <w:rsid w:val="0055266F"/>
    <w:rsid w:val="0055291C"/>
    <w:rsid w:val="00552D55"/>
    <w:rsid w:val="005530B2"/>
    <w:rsid w:val="00553116"/>
    <w:rsid w:val="0055381C"/>
    <w:rsid w:val="0055453C"/>
    <w:rsid w:val="005547DD"/>
    <w:rsid w:val="00554901"/>
    <w:rsid w:val="00554932"/>
    <w:rsid w:val="00554DB3"/>
    <w:rsid w:val="00554EF8"/>
    <w:rsid w:val="00555414"/>
    <w:rsid w:val="00555660"/>
    <w:rsid w:val="00555688"/>
    <w:rsid w:val="00555969"/>
    <w:rsid w:val="005559E7"/>
    <w:rsid w:val="00555AF3"/>
    <w:rsid w:val="00555BB8"/>
    <w:rsid w:val="005561E1"/>
    <w:rsid w:val="00556245"/>
    <w:rsid w:val="00556353"/>
    <w:rsid w:val="005565CC"/>
    <w:rsid w:val="00556631"/>
    <w:rsid w:val="00556A96"/>
    <w:rsid w:val="00556DFC"/>
    <w:rsid w:val="00557292"/>
    <w:rsid w:val="00557C6C"/>
    <w:rsid w:val="00557ED6"/>
    <w:rsid w:val="005601A2"/>
    <w:rsid w:val="005602CC"/>
    <w:rsid w:val="005607E9"/>
    <w:rsid w:val="005608DE"/>
    <w:rsid w:val="005609E5"/>
    <w:rsid w:val="00560A5F"/>
    <w:rsid w:val="00560E91"/>
    <w:rsid w:val="00561238"/>
    <w:rsid w:val="00561667"/>
    <w:rsid w:val="005619F0"/>
    <w:rsid w:val="00561A6B"/>
    <w:rsid w:val="00561B96"/>
    <w:rsid w:val="00561D49"/>
    <w:rsid w:val="00561ED9"/>
    <w:rsid w:val="0056209A"/>
    <w:rsid w:val="005622FB"/>
    <w:rsid w:val="0056263D"/>
    <w:rsid w:val="00562881"/>
    <w:rsid w:val="005629A6"/>
    <w:rsid w:val="00562D06"/>
    <w:rsid w:val="00563088"/>
    <w:rsid w:val="0056311F"/>
    <w:rsid w:val="00563149"/>
    <w:rsid w:val="0056357A"/>
    <w:rsid w:val="00563772"/>
    <w:rsid w:val="00563B81"/>
    <w:rsid w:val="00563F86"/>
    <w:rsid w:val="00564337"/>
    <w:rsid w:val="0056448C"/>
    <w:rsid w:val="005645CD"/>
    <w:rsid w:val="005647E0"/>
    <w:rsid w:val="00564837"/>
    <w:rsid w:val="00565188"/>
    <w:rsid w:val="00565475"/>
    <w:rsid w:val="00565908"/>
    <w:rsid w:val="00565ADB"/>
    <w:rsid w:val="00566438"/>
    <w:rsid w:val="005665A4"/>
    <w:rsid w:val="00566727"/>
    <w:rsid w:val="00566AD6"/>
    <w:rsid w:val="00566B08"/>
    <w:rsid w:val="00566DC4"/>
    <w:rsid w:val="00566E3E"/>
    <w:rsid w:val="00566EE3"/>
    <w:rsid w:val="00566F10"/>
    <w:rsid w:val="00567040"/>
    <w:rsid w:val="00567353"/>
    <w:rsid w:val="00567581"/>
    <w:rsid w:val="00567A9E"/>
    <w:rsid w:val="00567B93"/>
    <w:rsid w:val="00570919"/>
    <w:rsid w:val="0057094F"/>
    <w:rsid w:val="00570D21"/>
    <w:rsid w:val="00570D5E"/>
    <w:rsid w:val="00570F36"/>
    <w:rsid w:val="00571039"/>
    <w:rsid w:val="005711A8"/>
    <w:rsid w:val="0057129F"/>
    <w:rsid w:val="005715A7"/>
    <w:rsid w:val="005715DC"/>
    <w:rsid w:val="005716CC"/>
    <w:rsid w:val="00571911"/>
    <w:rsid w:val="005719F3"/>
    <w:rsid w:val="00571C88"/>
    <w:rsid w:val="00571EED"/>
    <w:rsid w:val="00572075"/>
    <w:rsid w:val="00572148"/>
    <w:rsid w:val="00572550"/>
    <w:rsid w:val="00572586"/>
    <w:rsid w:val="0057270D"/>
    <w:rsid w:val="005727E7"/>
    <w:rsid w:val="005732E8"/>
    <w:rsid w:val="0057348D"/>
    <w:rsid w:val="0057357C"/>
    <w:rsid w:val="00573735"/>
    <w:rsid w:val="00573873"/>
    <w:rsid w:val="00573A23"/>
    <w:rsid w:val="00573B0C"/>
    <w:rsid w:val="00573DDE"/>
    <w:rsid w:val="00573E96"/>
    <w:rsid w:val="005744B0"/>
    <w:rsid w:val="005748D5"/>
    <w:rsid w:val="00574A17"/>
    <w:rsid w:val="00574C56"/>
    <w:rsid w:val="00574DC7"/>
    <w:rsid w:val="00574E36"/>
    <w:rsid w:val="00574ED0"/>
    <w:rsid w:val="00574EDD"/>
    <w:rsid w:val="00574F17"/>
    <w:rsid w:val="005750EC"/>
    <w:rsid w:val="005752AD"/>
    <w:rsid w:val="00575718"/>
    <w:rsid w:val="005759A6"/>
    <w:rsid w:val="00575D23"/>
    <w:rsid w:val="00576991"/>
    <w:rsid w:val="00576B65"/>
    <w:rsid w:val="00576C1A"/>
    <w:rsid w:val="00576F6F"/>
    <w:rsid w:val="005771C6"/>
    <w:rsid w:val="0057768D"/>
    <w:rsid w:val="00577817"/>
    <w:rsid w:val="00577836"/>
    <w:rsid w:val="00577915"/>
    <w:rsid w:val="0057795D"/>
    <w:rsid w:val="005779B7"/>
    <w:rsid w:val="00577A5F"/>
    <w:rsid w:val="00577B93"/>
    <w:rsid w:val="00577CC0"/>
    <w:rsid w:val="00577DD5"/>
    <w:rsid w:val="0058005A"/>
    <w:rsid w:val="005800C1"/>
    <w:rsid w:val="005801B6"/>
    <w:rsid w:val="00580860"/>
    <w:rsid w:val="005816B1"/>
    <w:rsid w:val="0058174F"/>
    <w:rsid w:val="00581E89"/>
    <w:rsid w:val="00581F0C"/>
    <w:rsid w:val="00581F46"/>
    <w:rsid w:val="00581FB1"/>
    <w:rsid w:val="00582204"/>
    <w:rsid w:val="005823C6"/>
    <w:rsid w:val="00582A32"/>
    <w:rsid w:val="00582B5E"/>
    <w:rsid w:val="00582B8D"/>
    <w:rsid w:val="00582DE9"/>
    <w:rsid w:val="005830B9"/>
    <w:rsid w:val="005830FD"/>
    <w:rsid w:val="00583172"/>
    <w:rsid w:val="005839E6"/>
    <w:rsid w:val="00583BEA"/>
    <w:rsid w:val="00585020"/>
    <w:rsid w:val="0058544D"/>
    <w:rsid w:val="00586377"/>
    <w:rsid w:val="00586511"/>
    <w:rsid w:val="00586701"/>
    <w:rsid w:val="00586893"/>
    <w:rsid w:val="0058755E"/>
    <w:rsid w:val="0058789F"/>
    <w:rsid w:val="00587BDA"/>
    <w:rsid w:val="00587CE0"/>
    <w:rsid w:val="00587EE7"/>
    <w:rsid w:val="005900D1"/>
    <w:rsid w:val="005901AB"/>
    <w:rsid w:val="005902D1"/>
    <w:rsid w:val="005906E1"/>
    <w:rsid w:val="00590780"/>
    <w:rsid w:val="00590C08"/>
    <w:rsid w:val="00591416"/>
    <w:rsid w:val="0059183D"/>
    <w:rsid w:val="0059190F"/>
    <w:rsid w:val="00591960"/>
    <w:rsid w:val="00591B9F"/>
    <w:rsid w:val="00592367"/>
    <w:rsid w:val="00592459"/>
    <w:rsid w:val="00592574"/>
    <w:rsid w:val="00592920"/>
    <w:rsid w:val="00592C0C"/>
    <w:rsid w:val="0059306C"/>
    <w:rsid w:val="00593176"/>
    <w:rsid w:val="005931BD"/>
    <w:rsid w:val="00593653"/>
    <w:rsid w:val="00593DC4"/>
    <w:rsid w:val="00593EE9"/>
    <w:rsid w:val="0059401F"/>
    <w:rsid w:val="00594040"/>
    <w:rsid w:val="005942C0"/>
    <w:rsid w:val="0059440B"/>
    <w:rsid w:val="00594475"/>
    <w:rsid w:val="005946B7"/>
    <w:rsid w:val="00594A96"/>
    <w:rsid w:val="00594DC3"/>
    <w:rsid w:val="005954A1"/>
    <w:rsid w:val="00595560"/>
    <w:rsid w:val="00595963"/>
    <w:rsid w:val="00595967"/>
    <w:rsid w:val="00595CBF"/>
    <w:rsid w:val="00595D93"/>
    <w:rsid w:val="00596634"/>
    <w:rsid w:val="005966FF"/>
    <w:rsid w:val="00596BDC"/>
    <w:rsid w:val="00596F19"/>
    <w:rsid w:val="00597082"/>
    <w:rsid w:val="005970AD"/>
    <w:rsid w:val="00597436"/>
    <w:rsid w:val="0059747A"/>
    <w:rsid w:val="005976D5"/>
    <w:rsid w:val="00597983"/>
    <w:rsid w:val="00597F5A"/>
    <w:rsid w:val="005A06D7"/>
    <w:rsid w:val="005A0AC2"/>
    <w:rsid w:val="005A0D16"/>
    <w:rsid w:val="005A12FF"/>
    <w:rsid w:val="005A15F0"/>
    <w:rsid w:val="005A165C"/>
    <w:rsid w:val="005A16D5"/>
    <w:rsid w:val="005A1B9C"/>
    <w:rsid w:val="005A2070"/>
    <w:rsid w:val="005A27EE"/>
    <w:rsid w:val="005A2A68"/>
    <w:rsid w:val="005A2C0A"/>
    <w:rsid w:val="005A2D5D"/>
    <w:rsid w:val="005A2DE1"/>
    <w:rsid w:val="005A2FE5"/>
    <w:rsid w:val="005A3653"/>
    <w:rsid w:val="005A3A67"/>
    <w:rsid w:val="005A43CB"/>
    <w:rsid w:val="005A43D6"/>
    <w:rsid w:val="005A46A5"/>
    <w:rsid w:val="005A488F"/>
    <w:rsid w:val="005A4C67"/>
    <w:rsid w:val="005A4F8A"/>
    <w:rsid w:val="005A509B"/>
    <w:rsid w:val="005A53F0"/>
    <w:rsid w:val="005A5405"/>
    <w:rsid w:val="005A598E"/>
    <w:rsid w:val="005A5F69"/>
    <w:rsid w:val="005A65C2"/>
    <w:rsid w:val="005A6778"/>
    <w:rsid w:val="005A6AB8"/>
    <w:rsid w:val="005A6B94"/>
    <w:rsid w:val="005A6CCA"/>
    <w:rsid w:val="005A6EB7"/>
    <w:rsid w:val="005A71E1"/>
    <w:rsid w:val="005A777E"/>
    <w:rsid w:val="005A7D83"/>
    <w:rsid w:val="005B005F"/>
    <w:rsid w:val="005B0428"/>
    <w:rsid w:val="005B0560"/>
    <w:rsid w:val="005B058C"/>
    <w:rsid w:val="005B0608"/>
    <w:rsid w:val="005B08A9"/>
    <w:rsid w:val="005B0A27"/>
    <w:rsid w:val="005B0A68"/>
    <w:rsid w:val="005B100B"/>
    <w:rsid w:val="005B1668"/>
    <w:rsid w:val="005B17A1"/>
    <w:rsid w:val="005B1897"/>
    <w:rsid w:val="005B196E"/>
    <w:rsid w:val="005B1BF3"/>
    <w:rsid w:val="005B1F38"/>
    <w:rsid w:val="005B1F7C"/>
    <w:rsid w:val="005B2076"/>
    <w:rsid w:val="005B2453"/>
    <w:rsid w:val="005B267A"/>
    <w:rsid w:val="005B2BE9"/>
    <w:rsid w:val="005B2C3C"/>
    <w:rsid w:val="005B3343"/>
    <w:rsid w:val="005B37D5"/>
    <w:rsid w:val="005B3DA9"/>
    <w:rsid w:val="005B40BA"/>
    <w:rsid w:val="005B449F"/>
    <w:rsid w:val="005B45DB"/>
    <w:rsid w:val="005B479A"/>
    <w:rsid w:val="005B4B17"/>
    <w:rsid w:val="005B4CE3"/>
    <w:rsid w:val="005B52BD"/>
    <w:rsid w:val="005B5754"/>
    <w:rsid w:val="005B592E"/>
    <w:rsid w:val="005B629A"/>
    <w:rsid w:val="005B64E2"/>
    <w:rsid w:val="005B6686"/>
    <w:rsid w:val="005B6A04"/>
    <w:rsid w:val="005B6EEF"/>
    <w:rsid w:val="005B71BD"/>
    <w:rsid w:val="005B7233"/>
    <w:rsid w:val="005B7645"/>
    <w:rsid w:val="005C0011"/>
    <w:rsid w:val="005C02A5"/>
    <w:rsid w:val="005C05A1"/>
    <w:rsid w:val="005C07C9"/>
    <w:rsid w:val="005C083C"/>
    <w:rsid w:val="005C0B00"/>
    <w:rsid w:val="005C0FBF"/>
    <w:rsid w:val="005C1716"/>
    <w:rsid w:val="005C248C"/>
    <w:rsid w:val="005C26A2"/>
    <w:rsid w:val="005C2821"/>
    <w:rsid w:val="005C2A6A"/>
    <w:rsid w:val="005C2B12"/>
    <w:rsid w:val="005C2CFF"/>
    <w:rsid w:val="005C2F15"/>
    <w:rsid w:val="005C342D"/>
    <w:rsid w:val="005C3B67"/>
    <w:rsid w:val="005C402F"/>
    <w:rsid w:val="005C4071"/>
    <w:rsid w:val="005C42F9"/>
    <w:rsid w:val="005C42FE"/>
    <w:rsid w:val="005C4440"/>
    <w:rsid w:val="005C4BAA"/>
    <w:rsid w:val="005C4C6F"/>
    <w:rsid w:val="005C5201"/>
    <w:rsid w:val="005C52CB"/>
    <w:rsid w:val="005C53E0"/>
    <w:rsid w:val="005C5400"/>
    <w:rsid w:val="005C5BE4"/>
    <w:rsid w:val="005C5D3E"/>
    <w:rsid w:val="005C5ED6"/>
    <w:rsid w:val="005C5FB9"/>
    <w:rsid w:val="005C6033"/>
    <w:rsid w:val="005C634F"/>
    <w:rsid w:val="005C679F"/>
    <w:rsid w:val="005C6AE1"/>
    <w:rsid w:val="005C6BB1"/>
    <w:rsid w:val="005C6F02"/>
    <w:rsid w:val="005C731D"/>
    <w:rsid w:val="005C7582"/>
    <w:rsid w:val="005C7BB0"/>
    <w:rsid w:val="005C7DEF"/>
    <w:rsid w:val="005C7EA7"/>
    <w:rsid w:val="005D0083"/>
    <w:rsid w:val="005D0383"/>
    <w:rsid w:val="005D0D26"/>
    <w:rsid w:val="005D0DFC"/>
    <w:rsid w:val="005D0E64"/>
    <w:rsid w:val="005D0F5F"/>
    <w:rsid w:val="005D0FB6"/>
    <w:rsid w:val="005D1142"/>
    <w:rsid w:val="005D14A9"/>
    <w:rsid w:val="005D17B7"/>
    <w:rsid w:val="005D19A3"/>
    <w:rsid w:val="005D1C73"/>
    <w:rsid w:val="005D1F3F"/>
    <w:rsid w:val="005D2EC2"/>
    <w:rsid w:val="005D2EC6"/>
    <w:rsid w:val="005D3433"/>
    <w:rsid w:val="005D3A74"/>
    <w:rsid w:val="005D3CCE"/>
    <w:rsid w:val="005D3D66"/>
    <w:rsid w:val="005D42B5"/>
    <w:rsid w:val="005D4558"/>
    <w:rsid w:val="005D48A4"/>
    <w:rsid w:val="005D4A50"/>
    <w:rsid w:val="005D4C05"/>
    <w:rsid w:val="005D5059"/>
    <w:rsid w:val="005D50AE"/>
    <w:rsid w:val="005D5223"/>
    <w:rsid w:val="005D52AA"/>
    <w:rsid w:val="005D53B8"/>
    <w:rsid w:val="005D554A"/>
    <w:rsid w:val="005D5B0F"/>
    <w:rsid w:val="005D5BE4"/>
    <w:rsid w:val="005D5F0D"/>
    <w:rsid w:val="005D616B"/>
    <w:rsid w:val="005D653F"/>
    <w:rsid w:val="005D6677"/>
    <w:rsid w:val="005D69EA"/>
    <w:rsid w:val="005D6B33"/>
    <w:rsid w:val="005D72BF"/>
    <w:rsid w:val="005D7338"/>
    <w:rsid w:val="005D74F3"/>
    <w:rsid w:val="005D7592"/>
    <w:rsid w:val="005D7C0A"/>
    <w:rsid w:val="005D7CE8"/>
    <w:rsid w:val="005D7ECA"/>
    <w:rsid w:val="005E02DE"/>
    <w:rsid w:val="005E0356"/>
    <w:rsid w:val="005E037A"/>
    <w:rsid w:val="005E04F0"/>
    <w:rsid w:val="005E0959"/>
    <w:rsid w:val="005E0A9A"/>
    <w:rsid w:val="005E10B8"/>
    <w:rsid w:val="005E11C8"/>
    <w:rsid w:val="005E12A1"/>
    <w:rsid w:val="005E18F3"/>
    <w:rsid w:val="005E1AED"/>
    <w:rsid w:val="005E1D4C"/>
    <w:rsid w:val="005E20AE"/>
    <w:rsid w:val="005E232C"/>
    <w:rsid w:val="005E2373"/>
    <w:rsid w:val="005E272E"/>
    <w:rsid w:val="005E2A35"/>
    <w:rsid w:val="005E2AA2"/>
    <w:rsid w:val="005E2E3E"/>
    <w:rsid w:val="005E3204"/>
    <w:rsid w:val="005E3269"/>
    <w:rsid w:val="005E3BD1"/>
    <w:rsid w:val="005E4050"/>
    <w:rsid w:val="005E432E"/>
    <w:rsid w:val="005E444C"/>
    <w:rsid w:val="005E4828"/>
    <w:rsid w:val="005E4BF3"/>
    <w:rsid w:val="005E5055"/>
    <w:rsid w:val="005E591E"/>
    <w:rsid w:val="005E59AD"/>
    <w:rsid w:val="005E59C6"/>
    <w:rsid w:val="005E5EF8"/>
    <w:rsid w:val="005E611F"/>
    <w:rsid w:val="005E6272"/>
    <w:rsid w:val="005E6952"/>
    <w:rsid w:val="005E7393"/>
    <w:rsid w:val="005E74C6"/>
    <w:rsid w:val="005E7DEC"/>
    <w:rsid w:val="005E7E9D"/>
    <w:rsid w:val="005F0192"/>
    <w:rsid w:val="005F054E"/>
    <w:rsid w:val="005F05F3"/>
    <w:rsid w:val="005F06CD"/>
    <w:rsid w:val="005F0B83"/>
    <w:rsid w:val="005F0BB9"/>
    <w:rsid w:val="005F0D1F"/>
    <w:rsid w:val="005F0F80"/>
    <w:rsid w:val="005F11DD"/>
    <w:rsid w:val="005F1482"/>
    <w:rsid w:val="005F158F"/>
    <w:rsid w:val="005F16E6"/>
    <w:rsid w:val="005F1EE1"/>
    <w:rsid w:val="005F1EE3"/>
    <w:rsid w:val="005F1FB3"/>
    <w:rsid w:val="005F2007"/>
    <w:rsid w:val="005F2037"/>
    <w:rsid w:val="005F2876"/>
    <w:rsid w:val="005F28F0"/>
    <w:rsid w:val="005F2973"/>
    <w:rsid w:val="005F2FEE"/>
    <w:rsid w:val="005F33D8"/>
    <w:rsid w:val="005F3719"/>
    <w:rsid w:val="005F3A22"/>
    <w:rsid w:val="005F4E26"/>
    <w:rsid w:val="005F50CB"/>
    <w:rsid w:val="005F5900"/>
    <w:rsid w:val="005F5ADB"/>
    <w:rsid w:val="005F5C3D"/>
    <w:rsid w:val="005F5E6B"/>
    <w:rsid w:val="005F5F6B"/>
    <w:rsid w:val="005F60CE"/>
    <w:rsid w:val="005F61CE"/>
    <w:rsid w:val="005F6A1A"/>
    <w:rsid w:val="005F6A30"/>
    <w:rsid w:val="005F6E19"/>
    <w:rsid w:val="005F7068"/>
    <w:rsid w:val="005F739F"/>
    <w:rsid w:val="005F7594"/>
    <w:rsid w:val="005F7680"/>
    <w:rsid w:val="005F7922"/>
    <w:rsid w:val="005F7C5D"/>
    <w:rsid w:val="00600004"/>
    <w:rsid w:val="00600414"/>
    <w:rsid w:val="0060046B"/>
    <w:rsid w:val="006005DD"/>
    <w:rsid w:val="00600686"/>
    <w:rsid w:val="00600A2A"/>
    <w:rsid w:val="00600ABE"/>
    <w:rsid w:val="00600BA0"/>
    <w:rsid w:val="00600BE7"/>
    <w:rsid w:val="00600D6F"/>
    <w:rsid w:val="00600E05"/>
    <w:rsid w:val="00600F04"/>
    <w:rsid w:val="006016E1"/>
    <w:rsid w:val="00601A27"/>
    <w:rsid w:val="00601ABD"/>
    <w:rsid w:val="00601AF6"/>
    <w:rsid w:val="00601CCF"/>
    <w:rsid w:val="00601D40"/>
    <w:rsid w:val="0060208B"/>
    <w:rsid w:val="006022C1"/>
    <w:rsid w:val="00602307"/>
    <w:rsid w:val="00602324"/>
    <w:rsid w:val="00602B99"/>
    <w:rsid w:val="00602CC0"/>
    <w:rsid w:val="00602CE2"/>
    <w:rsid w:val="0060330A"/>
    <w:rsid w:val="00603547"/>
    <w:rsid w:val="006035C3"/>
    <w:rsid w:val="00603775"/>
    <w:rsid w:val="0060448C"/>
    <w:rsid w:val="0060483E"/>
    <w:rsid w:val="00604CB2"/>
    <w:rsid w:val="00604D64"/>
    <w:rsid w:val="0060517F"/>
    <w:rsid w:val="00605631"/>
    <w:rsid w:val="00605D4F"/>
    <w:rsid w:val="00605FDB"/>
    <w:rsid w:val="006060F3"/>
    <w:rsid w:val="0060611D"/>
    <w:rsid w:val="0060619E"/>
    <w:rsid w:val="006063D4"/>
    <w:rsid w:val="00606B88"/>
    <w:rsid w:val="00606CC1"/>
    <w:rsid w:val="00606DC9"/>
    <w:rsid w:val="00607037"/>
    <w:rsid w:val="0060721D"/>
    <w:rsid w:val="00607338"/>
    <w:rsid w:val="006079E9"/>
    <w:rsid w:val="00610160"/>
    <w:rsid w:val="0061080B"/>
    <w:rsid w:val="006114C8"/>
    <w:rsid w:val="0061153A"/>
    <w:rsid w:val="00611553"/>
    <w:rsid w:val="00611BA4"/>
    <w:rsid w:val="00611ED3"/>
    <w:rsid w:val="006124A0"/>
    <w:rsid w:val="0061257D"/>
    <w:rsid w:val="00612712"/>
    <w:rsid w:val="00612B90"/>
    <w:rsid w:val="00613110"/>
    <w:rsid w:val="006132B7"/>
    <w:rsid w:val="0061336F"/>
    <w:rsid w:val="006134E9"/>
    <w:rsid w:val="0061378E"/>
    <w:rsid w:val="006138AB"/>
    <w:rsid w:val="00613BF5"/>
    <w:rsid w:val="00613E4F"/>
    <w:rsid w:val="00613F28"/>
    <w:rsid w:val="00614631"/>
    <w:rsid w:val="006147E3"/>
    <w:rsid w:val="00614B22"/>
    <w:rsid w:val="00614B2E"/>
    <w:rsid w:val="00614D11"/>
    <w:rsid w:val="00614E86"/>
    <w:rsid w:val="0061569D"/>
    <w:rsid w:val="006159AE"/>
    <w:rsid w:val="006159EC"/>
    <w:rsid w:val="006164DC"/>
    <w:rsid w:val="00616D9A"/>
    <w:rsid w:val="00616E6F"/>
    <w:rsid w:val="00617303"/>
    <w:rsid w:val="00617856"/>
    <w:rsid w:val="00617879"/>
    <w:rsid w:val="00617949"/>
    <w:rsid w:val="00617D56"/>
    <w:rsid w:val="006201FD"/>
    <w:rsid w:val="00620451"/>
    <w:rsid w:val="00620867"/>
    <w:rsid w:val="0062087D"/>
    <w:rsid w:val="00621005"/>
    <w:rsid w:val="00621416"/>
    <w:rsid w:val="00621427"/>
    <w:rsid w:val="00621490"/>
    <w:rsid w:val="00621A6D"/>
    <w:rsid w:val="00621B31"/>
    <w:rsid w:val="00621D77"/>
    <w:rsid w:val="00622230"/>
    <w:rsid w:val="00622517"/>
    <w:rsid w:val="0062262C"/>
    <w:rsid w:val="006228CB"/>
    <w:rsid w:val="0062299A"/>
    <w:rsid w:val="00622A1B"/>
    <w:rsid w:val="00622CC0"/>
    <w:rsid w:val="00622EF5"/>
    <w:rsid w:val="006237CC"/>
    <w:rsid w:val="00623865"/>
    <w:rsid w:val="006239DC"/>
    <w:rsid w:val="00623B31"/>
    <w:rsid w:val="00623D63"/>
    <w:rsid w:val="00623F3B"/>
    <w:rsid w:val="0062402F"/>
    <w:rsid w:val="00624100"/>
    <w:rsid w:val="00624283"/>
    <w:rsid w:val="00624392"/>
    <w:rsid w:val="0062463A"/>
    <w:rsid w:val="00624D10"/>
    <w:rsid w:val="006253E5"/>
    <w:rsid w:val="00625893"/>
    <w:rsid w:val="00625A61"/>
    <w:rsid w:val="00625A6B"/>
    <w:rsid w:val="00625CBE"/>
    <w:rsid w:val="00625E2E"/>
    <w:rsid w:val="006262B8"/>
    <w:rsid w:val="00626569"/>
    <w:rsid w:val="006268D0"/>
    <w:rsid w:val="0062693F"/>
    <w:rsid w:val="00626A3D"/>
    <w:rsid w:val="00626FA7"/>
    <w:rsid w:val="00627323"/>
    <w:rsid w:val="006273CC"/>
    <w:rsid w:val="00627DD5"/>
    <w:rsid w:val="00627DEA"/>
    <w:rsid w:val="00627E30"/>
    <w:rsid w:val="0063008B"/>
    <w:rsid w:val="0063061C"/>
    <w:rsid w:val="006307AA"/>
    <w:rsid w:val="00630F16"/>
    <w:rsid w:val="00630F67"/>
    <w:rsid w:val="0063102C"/>
    <w:rsid w:val="00631740"/>
    <w:rsid w:val="00631777"/>
    <w:rsid w:val="00631826"/>
    <w:rsid w:val="00631A6E"/>
    <w:rsid w:val="00631AE7"/>
    <w:rsid w:val="006321A7"/>
    <w:rsid w:val="006328AE"/>
    <w:rsid w:val="006328B3"/>
    <w:rsid w:val="006329D0"/>
    <w:rsid w:val="00632C5B"/>
    <w:rsid w:val="006334C5"/>
    <w:rsid w:val="006337C1"/>
    <w:rsid w:val="00633981"/>
    <w:rsid w:val="00633B35"/>
    <w:rsid w:val="006340EB"/>
    <w:rsid w:val="00634B0D"/>
    <w:rsid w:val="00634C19"/>
    <w:rsid w:val="00634CFC"/>
    <w:rsid w:val="00635612"/>
    <w:rsid w:val="00635A8A"/>
    <w:rsid w:val="00635CB0"/>
    <w:rsid w:val="00635F09"/>
    <w:rsid w:val="0063623F"/>
    <w:rsid w:val="00636372"/>
    <w:rsid w:val="00636411"/>
    <w:rsid w:val="006366A2"/>
    <w:rsid w:val="006367FA"/>
    <w:rsid w:val="00636A1E"/>
    <w:rsid w:val="00636B32"/>
    <w:rsid w:val="006370C3"/>
    <w:rsid w:val="0063762F"/>
    <w:rsid w:val="0063781D"/>
    <w:rsid w:val="00637A64"/>
    <w:rsid w:val="00637B1A"/>
    <w:rsid w:val="00637DAB"/>
    <w:rsid w:val="00637F98"/>
    <w:rsid w:val="006401D8"/>
    <w:rsid w:val="006402DE"/>
    <w:rsid w:val="00640303"/>
    <w:rsid w:val="006408A0"/>
    <w:rsid w:val="0064109D"/>
    <w:rsid w:val="00641128"/>
    <w:rsid w:val="0064113A"/>
    <w:rsid w:val="00641142"/>
    <w:rsid w:val="006416EE"/>
    <w:rsid w:val="00641725"/>
    <w:rsid w:val="00642095"/>
    <w:rsid w:val="0064223C"/>
    <w:rsid w:val="006425AF"/>
    <w:rsid w:val="006425DB"/>
    <w:rsid w:val="006426EE"/>
    <w:rsid w:val="00642841"/>
    <w:rsid w:val="00642E14"/>
    <w:rsid w:val="00643297"/>
    <w:rsid w:val="00643313"/>
    <w:rsid w:val="006433B2"/>
    <w:rsid w:val="00643688"/>
    <w:rsid w:val="00643731"/>
    <w:rsid w:val="00644273"/>
    <w:rsid w:val="0064429E"/>
    <w:rsid w:val="0064441A"/>
    <w:rsid w:val="006446D1"/>
    <w:rsid w:val="00644A9D"/>
    <w:rsid w:val="00644B37"/>
    <w:rsid w:val="00644CE7"/>
    <w:rsid w:val="00644E34"/>
    <w:rsid w:val="00645420"/>
    <w:rsid w:val="00645754"/>
    <w:rsid w:val="00645E31"/>
    <w:rsid w:val="00645EC0"/>
    <w:rsid w:val="006461E1"/>
    <w:rsid w:val="00646448"/>
    <w:rsid w:val="00646562"/>
    <w:rsid w:val="006467FD"/>
    <w:rsid w:val="00646BBC"/>
    <w:rsid w:val="00646E71"/>
    <w:rsid w:val="00647243"/>
    <w:rsid w:val="0064761F"/>
    <w:rsid w:val="00647764"/>
    <w:rsid w:val="0064782D"/>
    <w:rsid w:val="0064791E"/>
    <w:rsid w:val="00647A8C"/>
    <w:rsid w:val="00647B6E"/>
    <w:rsid w:val="006503CA"/>
    <w:rsid w:val="006505EE"/>
    <w:rsid w:val="00650736"/>
    <w:rsid w:val="006507DA"/>
    <w:rsid w:val="00650C67"/>
    <w:rsid w:val="00650D0C"/>
    <w:rsid w:val="00650D43"/>
    <w:rsid w:val="00651249"/>
    <w:rsid w:val="006512CF"/>
    <w:rsid w:val="0065134E"/>
    <w:rsid w:val="0065196B"/>
    <w:rsid w:val="00651C8A"/>
    <w:rsid w:val="0065208E"/>
    <w:rsid w:val="00652294"/>
    <w:rsid w:val="00652B24"/>
    <w:rsid w:val="00652CCE"/>
    <w:rsid w:val="00652D12"/>
    <w:rsid w:val="00653046"/>
    <w:rsid w:val="00653884"/>
    <w:rsid w:val="006539C0"/>
    <w:rsid w:val="00653C38"/>
    <w:rsid w:val="00653EEF"/>
    <w:rsid w:val="00653FA2"/>
    <w:rsid w:val="00653FEA"/>
    <w:rsid w:val="006543A1"/>
    <w:rsid w:val="00654405"/>
    <w:rsid w:val="00654512"/>
    <w:rsid w:val="00654A9C"/>
    <w:rsid w:val="00654C2F"/>
    <w:rsid w:val="00654C4D"/>
    <w:rsid w:val="00654D93"/>
    <w:rsid w:val="0065507F"/>
    <w:rsid w:val="00655342"/>
    <w:rsid w:val="00655A93"/>
    <w:rsid w:val="00655D30"/>
    <w:rsid w:val="00655D9C"/>
    <w:rsid w:val="00655D9E"/>
    <w:rsid w:val="00655FB5"/>
    <w:rsid w:val="00656447"/>
    <w:rsid w:val="00656757"/>
    <w:rsid w:val="006568BA"/>
    <w:rsid w:val="00656F61"/>
    <w:rsid w:val="00656F79"/>
    <w:rsid w:val="0065761F"/>
    <w:rsid w:val="00657682"/>
    <w:rsid w:val="00657787"/>
    <w:rsid w:val="00660457"/>
    <w:rsid w:val="00660C53"/>
    <w:rsid w:val="00661334"/>
    <w:rsid w:val="00661748"/>
    <w:rsid w:val="0066177C"/>
    <w:rsid w:val="006619E4"/>
    <w:rsid w:val="00661F74"/>
    <w:rsid w:val="0066203A"/>
    <w:rsid w:val="00662206"/>
    <w:rsid w:val="0066231E"/>
    <w:rsid w:val="0066255B"/>
    <w:rsid w:val="00662774"/>
    <w:rsid w:val="006627C6"/>
    <w:rsid w:val="00662AEE"/>
    <w:rsid w:val="00662F73"/>
    <w:rsid w:val="006630A5"/>
    <w:rsid w:val="006630C5"/>
    <w:rsid w:val="006631A8"/>
    <w:rsid w:val="006631F8"/>
    <w:rsid w:val="00663C73"/>
    <w:rsid w:val="00663D14"/>
    <w:rsid w:val="00663E3C"/>
    <w:rsid w:val="0066433A"/>
    <w:rsid w:val="00664387"/>
    <w:rsid w:val="00664698"/>
    <w:rsid w:val="00664BB8"/>
    <w:rsid w:val="00664EBC"/>
    <w:rsid w:val="0066589C"/>
    <w:rsid w:val="006659D3"/>
    <w:rsid w:val="00665E74"/>
    <w:rsid w:val="0066604F"/>
    <w:rsid w:val="00666688"/>
    <w:rsid w:val="006666F3"/>
    <w:rsid w:val="00666CDC"/>
    <w:rsid w:val="00666FC5"/>
    <w:rsid w:val="006672A7"/>
    <w:rsid w:val="006679C7"/>
    <w:rsid w:val="006679E7"/>
    <w:rsid w:val="00667F92"/>
    <w:rsid w:val="00670134"/>
    <w:rsid w:val="006701ED"/>
    <w:rsid w:val="006705CF"/>
    <w:rsid w:val="006706BA"/>
    <w:rsid w:val="0067073A"/>
    <w:rsid w:val="006708F3"/>
    <w:rsid w:val="00670A84"/>
    <w:rsid w:val="00670F40"/>
    <w:rsid w:val="00671896"/>
    <w:rsid w:val="006718C4"/>
    <w:rsid w:val="00671B82"/>
    <w:rsid w:val="00671C94"/>
    <w:rsid w:val="006722C0"/>
    <w:rsid w:val="00672388"/>
    <w:rsid w:val="006724D1"/>
    <w:rsid w:val="00672C8A"/>
    <w:rsid w:val="00672E7A"/>
    <w:rsid w:val="00673384"/>
    <w:rsid w:val="006735E7"/>
    <w:rsid w:val="0067395F"/>
    <w:rsid w:val="0067399A"/>
    <w:rsid w:val="00674157"/>
    <w:rsid w:val="00674624"/>
    <w:rsid w:val="0067469A"/>
    <w:rsid w:val="006749AD"/>
    <w:rsid w:val="00674C18"/>
    <w:rsid w:val="00674E0F"/>
    <w:rsid w:val="006757CB"/>
    <w:rsid w:val="006761E1"/>
    <w:rsid w:val="006762B1"/>
    <w:rsid w:val="00676386"/>
    <w:rsid w:val="0067643E"/>
    <w:rsid w:val="006768AE"/>
    <w:rsid w:val="006775EB"/>
    <w:rsid w:val="00677634"/>
    <w:rsid w:val="00677753"/>
    <w:rsid w:val="00677D7E"/>
    <w:rsid w:val="00677F51"/>
    <w:rsid w:val="00680279"/>
    <w:rsid w:val="006806AB"/>
    <w:rsid w:val="0068079B"/>
    <w:rsid w:val="00680F64"/>
    <w:rsid w:val="00681402"/>
    <w:rsid w:val="00681B0E"/>
    <w:rsid w:val="00681B62"/>
    <w:rsid w:val="00681BA6"/>
    <w:rsid w:val="00681DCE"/>
    <w:rsid w:val="00682188"/>
    <w:rsid w:val="006821EA"/>
    <w:rsid w:val="00682686"/>
    <w:rsid w:val="006827E3"/>
    <w:rsid w:val="006828F3"/>
    <w:rsid w:val="00682925"/>
    <w:rsid w:val="006830D1"/>
    <w:rsid w:val="006831DD"/>
    <w:rsid w:val="0068327C"/>
    <w:rsid w:val="006832C2"/>
    <w:rsid w:val="006838B5"/>
    <w:rsid w:val="00683C31"/>
    <w:rsid w:val="006844C1"/>
    <w:rsid w:val="0068466F"/>
    <w:rsid w:val="00684738"/>
    <w:rsid w:val="00684DC8"/>
    <w:rsid w:val="00684EAE"/>
    <w:rsid w:val="00685180"/>
    <w:rsid w:val="006856D1"/>
    <w:rsid w:val="00685A32"/>
    <w:rsid w:val="00685A95"/>
    <w:rsid w:val="00686262"/>
    <w:rsid w:val="006863D9"/>
    <w:rsid w:val="006869FA"/>
    <w:rsid w:val="00686D0C"/>
    <w:rsid w:val="00686F8F"/>
    <w:rsid w:val="0068763C"/>
    <w:rsid w:val="00687933"/>
    <w:rsid w:val="00687BDD"/>
    <w:rsid w:val="0069066D"/>
    <w:rsid w:val="006907BF"/>
    <w:rsid w:val="00690867"/>
    <w:rsid w:val="00690B24"/>
    <w:rsid w:val="00690B2A"/>
    <w:rsid w:val="00690BBF"/>
    <w:rsid w:val="00690C8D"/>
    <w:rsid w:val="00691136"/>
    <w:rsid w:val="00691159"/>
    <w:rsid w:val="0069162A"/>
    <w:rsid w:val="006918D7"/>
    <w:rsid w:val="00691A17"/>
    <w:rsid w:val="00691A9F"/>
    <w:rsid w:val="00691F15"/>
    <w:rsid w:val="00692DDB"/>
    <w:rsid w:val="00693253"/>
    <w:rsid w:val="0069349C"/>
    <w:rsid w:val="006934AE"/>
    <w:rsid w:val="006936CF"/>
    <w:rsid w:val="006937EB"/>
    <w:rsid w:val="006939B3"/>
    <w:rsid w:val="00693E82"/>
    <w:rsid w:val="00694426"/>
    <w:rsid w:val="00694D8D"/>
    <w:rsid w:val="00694DAC"/>
    <w:rsid w:val="0069503D"/>
    <w:rsid w:val="00695194"/>
    <w:rsid w:val="00695248"/>
    <w:rsid w:val="00695749"/>
    <w:rsid w:val="00695786"/>
    <w:rsid w:val="00695C01"/>
    <w:rsid w:val="00695C44"/>
    <w:rsid w:val="00695E96"/>
    <w:rsid w:val="006961EE"/>
    <w:rsid w:val="006965EE"/>
    <w:rsid w:val="006965F1"/>
    <w:rsid w:val="006966F1"/>
    <w:rsid w:val="0069673F"/>
    <w:rsid w:val="00696781"/>
    <w:rsid w:val="00696F4B"/>
    <w:rsid w:val="00697086"/>
    <w:rsid w:val="00697395"/>
    <w:rsid w:val="00697741"/>
    <w:rsid w:val="006A0006"/>
    <w:rsid w:val="006A0183"/>
    <w:rsid w:val="006A03EE"/>
    <w:rsid w:val="006A0450"/>
    <w:rsid w:val="006A05B2"/>
    <w:rsid w:val="006A05B3"/>
    <w:rsid w:val="006A05BC"/>
    <w:rsid w:val="006A062F"/>
    <w:rsid w:val="006A0AE7"/>
    <w:rsid w:val="006A0C99"/>
    <w:rsid w:val="006A0DF3"/>
    <w:rsid w:val="006A0E7A"/>
    <w:rsid w:val="006A0F39"/>
    <w:rsid w:val="006A12DD"/>
    <w:rsid w:val="006A12E9"/>
    <w:rsid w:val="006A15F7"/>
    <w:rsid w:val="006A189D"/>
    <w:rsid w:val="006A19E1"/>
    <w:rsid w:val="006A1EE3"/>
    <w:rsid w:val="006A229A"/>
    <w:rsid w:val="006A22BB"/>
    <w:rsid w:val="006A239B"/>
    <w:rsid w:val="006A24B4"/>
    <w:rsid w:val="006A2671"/>
    <w:rsid w:val="006A2785"/>
    <w:rsid w:val="006A2A41"/>
    <w:rsid w:val="006A311D"/>
    <w:rsid w:val="006A3722"/>
    <w:rsid w:val="006A3772"/>
    <w:rsid w:val="006A3912"/>
    <w:rsid w:val="006A3AD8"/>
    <w:rsid w:val="006A3EAE"/>
    <w:rsid w:val="006A3F61"/>
    <w:rsid w:val="006A40D3"/>
    <w:rsid w:val="006A4583"/>
    <w:rsid w:val="006A498B"/>
    <w:rsid w:val="006A4B2D"/>
    <w:rsid w:val="006A4C3F"/>
    <w:rsid w:val="006A5383"/>
    <w:rsid w:val="006A53B2"/>
    <w:rsid w:val="006A5409"/>
    <w:rsid w:val="006A59D4"/>
    <w:rsid w:val="006A5A09"/>
    <w:rsid w:val="006A5CAE"/>
    <w:rsid w:val="006A604C"/>
    <w:rsid w:val="006A6664"/>
    <w:rsid w:val="006A6AE7"/>
    <w:rsid w:val="006A6F5E"/>
    <w:rsid w:val="006A7333"/>
    <w:rsid w:val="006A756C"/>
    <w:rsid w:val="006A7905"/>
    <w:rsid w:val="006A790B"/>
    <w:rsid w:val="006A7CA7"/>
    <w:rsid w:val="006A7D0E"/>
    <w:rsid w:val="006B000D"/>
    <w:rsid w:val="006B0041"/>
    <w:rsid w:val="006B0088"/>
    <w:rsid w:val="006B022D"/>
    <w:rsid w:val="006B040B"/>
    <w:rsid w:val="006B0507"/>
    <w:rsid w:val="006B062A"/>
    <w:rsid w:val="006B0713"/>
    <w:rsid w:val="006B08F0"/>
    <w:rsid w:val="006B0B54"/>
    <w:rsid w:val="006B0BED"/>
    <w:rsid w:val="006B0C83"/>
    <w:rsid w:val="006B0DFD"/>
    <w:rsid w:val="006B0ED5"/>
    <w:rsid w:val="006B1101"/>
    <w:rsid w:val="006B11B0"/>
    <w:rsid w:val="006B13CA"/>
    <w:rsid w:val="006B161F"/>
    <w:rsid w:val="006B1630"/>
    <w:rsid w:val="006B1893"/>
    <w:rsid w:val="006B18EC"/>
    <w:rsid w:val="006B1D20"/>
    <w:rsid w:val="006B20FE"/>
    <w:rsid w:val="006B2144"/>
    <w:rsid w:val="006B223B"/>
    <w:rsid w:val="006B24D6"/>
    <w:rsid w:val="006B286B"/>
    <w:rsid w:val="006B299D"/>
    <w:rsid w:val="006B2E4F"/>
    <w:rsid w:val="006B32A8"/>
    <w:rsid w:val="006B32BE"/>
    <w:rsid w:val="006B34DD"/>
    <w:rsid w:val="006B3B38"/>
    <w:rsid w:val="006B4153"/>
    <w:rsid w:val="006B4451"/>
    <w:rsid w:val="006B44CE"/>
    <w:rsid w:val="006B4923"/>
    <w:rsid w:val="006B49EE"/>
    <w:rsid w:val="006B4DA1"/>
    <w:rsid w:val="006B4EF7"/>
    <w:rsid w:val="006B5836"/>
    <w:rsid w:val="006B5996"/>
    <w:rsid w:val="006B5A29"/>
    <w:rsid w:val="006B5A73"/>
    <w:rsid w:val="006B5ABD"/>
    <w:rsid w:val="006B5C27"/>
    <w:rsid w:val="006B5CEB"/>
    <w:rsid w:val="006B5FFC"/>
    <w:rsid w:val="006B609E"/>
    <w:rsid w:val="006B6228"/>
    <w:rsid w:val="006B658A"/>
    <w:rsid w:val="006B66E1"/>
    <w:rsid w:val="006B6BCB"/>
    <w:rsid w:val="006B6CA8"/>
    <w:rsid w:val="006B73EA"/>
    <w:rsid w:val="006B7410"/>
    <w:rsid w:val="006B755C"/>
    <w:rsid w:val="006B75F3"/>
    <w:rsid w:val="006B7740"/>
    <w:rsid w:val="006B7E28"/>
    <w:rsid w:val="006C0055"/>
    <w:rsid w:val="006C00AD"/>
    <w:rsid w:val="006C07EA"/>
    <w:rsid w:val="006C0891"/>
    <w:rsid w:val="006C08F0"/>
    <w:rsid w:val="006C0A2D"/>
    <w:rsid w:val="006C0FFE"/>
    <w:rsid w:val="006C138D"/>
    <w:rsid w:val="006C1739"/>
    <w:rsid w:val="006C1867"/>
    <w:rsid w:val="006C1921"/>
    <w:rsid w:val="006C1B98"/>
    <w:rsid w:val="006C1C8B"/>
    <w:rsid w:val="006C205D"/>
    <w:rsid w:val="006C224B"/>
    <w:rsid w:val="006C2435"/>
    <w:rsid w:val="006C255F"/>
    <w:rsid w:val="006C2743"/>
    <w:rsid w:val="006C27E1"/>
    <w:rsid w:val="006C2817"/>
    <w:rsid w:val="006C30AD"/>
    <w:rsid w:val="006C395C"/>
    <w:rsid w:val="006C3B26"/>
    <w:rsid w:val="006C3EC9"/>
    <w:rsid w:val="006C40C5"/>
    <w:rsid w:val="006C47DD"/>
    <w:rsid w:val="006C49DA"/>
    <w:rsid w:val="006C4A7D"/>
    <w:rsid w:val="006C4F6D"/>
    <w:rsid w:val="006C556D"/>
    <w:rsid w:val="006C58DB"/>
    <w:rsid w:val="006C5E8E"/>
    <w:rsid w:val="006C5F13"/>
    <w:rsid w:val="006C603E"/>
    <w:rsid w:val="006C617B"/>
    <w:rsid w:val="006C6362"/>
    <w:rsid w:val="006C65AA"/>
    <w:rsid w:val="006C672E"/>
    <w:rsid w:val="006C6977"/>
    <w:rsid w:val="006C6BD4"/>
    <w:rsid w:val="006C6DA6"/>
    <w:rsid w:val="006C752C"/>
    <w:rsid w:val="006C7673"/>
    <w:rsid w:val="006C779E"/>
    <w:rsid w:val="006C7960"/>
    <w:rsid w:val="006C7DE9"/>
    <w:rsid w:val="006C7F58"/>
    <w:rsid w:val="006D0278"/>
    <w:rsid w:val="006D02B6"/>
    <w:rsid w:val="006D0431"/>
    <w:rsid w:val="006D15BE"/>
    <w:rsid w:val="006D1D53"/>
    <w:rsid w:val="006D1E2F"/>
    <w:rsid w:val="006D21C6"/>
    <w:rsid w:val="006D24C1"/>
    <w:rsid w:val="006D250B"/>
    <w:rsid w:val="006D25AC"/>
    <w:rsid w:val="006D25DF"/>
    <w:rsid w:val="006D26D8"/>
    <w:rsid w:val="006D27A8"/>
    <w:rsid w:val="006D27BD"/>
    <w:rsid w:val="006D2A4F"/>
    <w:rsid w:val="006D2CB1"/>
    <w:rsid w:val="006D2D69"/>
    <w:rsid w:val="006D2DB9"/>
    <w:rsid w:val="006D2EB5"/>
    <w:rsid w:val="006D3163"/>
    <w:rsid w:val="006D338A"/>
    <w:rsid w:val="006D3721"/>
    <w:rsid w:val="006D3A05"/>
    <w:rsid w:val="006D4181"/>
    <w:rsid w:val="006D4248"/>
    <w:rsid w:val="006D43FF"/>
    <w:rsid w:val="006D444B"/>
    <w:rsid w:val="006D46C0"/>
    <w:rsid w:val="006D48BA"/>
    <w:rsid w:val="006D4BF1"/>
    <w:rsid w:val="006D4E3A"/>
    <w:rsid w:val="006D5151"/>
    <w:rsid w:val="006D56F3"/>
    <w:rsid w:val="006D58FE"/>
    <w:rsid w:val="006D5E5C"/>
    <w:rsid w:val="006D5FFE"/>
    <w:rsid w:val="006D67C3"/>
    <w:rsid w:val="006D6C65"/>
    <w:rsid w:val="006D6F31"/>
    <w:rsid w:val="006D7282"/>
    <w:rsid w:val="006D729B"/>
    <w:rsid w:val="006D73CB"/>
    <w:rsid w:val="006D73D3"/>
    <w:rsid w:val="006D7560"/>
    <w:rsid w:val="006D761A"/>
    <w:rsid w:val="006D77E0"/>
    <w:rsid w:val="006D781B"/>
    <w:rsid w:val="006D792B"/>
    <w:rsid w:val="006D7A99"/>
    <w:rsid w:val="006D7B5E"/>
    <w:rsid w:val="006D7BE3"/>
    <w:rsid w:val="006D7E8A"/>
    <w:rsid w:val="006E035E"/>
    <w:rsid w:val="006E0A68"/>
    <w:rsid w:val="006E0E8C"/>
    <w:rsid w:val="006E1060"/>
    <w:rsid w:val="006E1459"/>
    <w:rsid w:val="006E14C2"/>
    <w:rsid w:val="006E1571"/>
    <w:rsid w:val="006E15E0"/>
    <w:rsid w:val="006E17A8"/>
    <w:rsid w:val="006E17C7"/>
    <w:rsid w:val="006E1B02"/>
    <w:rsid w:val="006E1B26"/>
    <w:rsid w:val="006E1B47"/>
    <w:rsid w:val="006E1C3A"/>
    <w:rsid w:val="006E1C71"/>
    <w:rsid w:val="006E1CD4"/>
    <w:rsid w:val="006E2067"/>
    <w:rsid w:val="006E2171"/>
    <w:rsid w:val="006E23B5"/>
    <w:rsid w:val="006E2495"/>
    <w:rsid w:val="006E2563"/>
    <w:rsid w:val="006E25D8"/>
    <w:rsid w:val="006E25FC"/>
    <w:rsid w:val="006E2888"/>
    <w:rsid w:val="006E29D9"/>
    <w:rsid w:val="006E2A0E"/>
    <w:rsid w:val="006E2AE8"/>
    <w:rsid w:val="006E331D"/>
    <w:rsid w:val="006E3800"/>
    <w:rsid w:val="006E3822"/>
    <w:rsid w:val="006E3894"/>
    <w:rsid w:val="006E38C0"/>
    <w:rsid w:val="006E3FB1"/>
    <w:rsid w:val="006E4828"/>
    <w:rsid w:val="006E4BEA"/>
    <w:rsid w:val="006E4E72"/>
    <w:rsid w:val="006E5925"/>
    <w:rsid w:val="006E5E4B"/>
    <w:rsid w:val="006E69BC"/>
    <w:rsid w:val="006E6D42"/>
    <w:rsid w:val="006E6D45"/>
    <w:rsid w:val="006E6E10"/>
    <w:rsid w:val="006E6E55"/>
    <w:rsid w:val="006E724D"/>
    <w:rsid w:val="006E750C"/>
    <w:rsid w:val="006E777A"/>
    <w:rsid w:val="006E79F5"/>
    <w:rsid w:val="006E7A1C"/>
    <w:rsid w:val="006F001C"/>
    <w:rsid w:val="006F084F"/>
    <w:rsid w:val="006F097B"/>
    <w:rsid w:val="006F0A73"/>
    <w:rsid w:val="006F1494"/>
    <w:rsid w:val="006F1510"/>
    <w:rsid w:val="006F198F"/>
    <w:rsid w:val="006F1BE0"/>
    <w:rsid w:val="006F1C74"/>
    <w:rsid w:val="006F2001"/>
    <w:rsid w:val="006F2297"/>
    <w:rsid w:val="006F24B5"/>
    <w:rsid w:val="006F28FB"/>
    <w:rsid w:val="006F2AC9"/>
    <w:rsid w:val="006F2E35"/>
    <w:rsid w:val="006F3094"/>
    <w:rsid w:val="006F312A"/>
    <w:rsid w:val="006F3155"/>
    <w:rsid w:val="006F34BC"/>
    <w:rsid w:val="006F359A"/>
    <w:rsid w:val="006F35E1"/>
    <w:rsid w:val="006F399C"/>
    <w:rsid w:val="006F3B14"/>
    <w:rsid w:val="006F3D51"/>
    <w:rsid w:val="006F4217"/>
    <w:rsid w:val="006F4884"/>
    <w:rsid w:val="006F49D3"/>
    <w:rsid w:val="006F4E6D"/>
    <w:rsid w:val="006F5165"/>
    <w:rsid w:val="006F561E"/>
    <w:rsid w:val="006F57E8"/>
    <w:rsid w:val="006F5927"/>
    <w:rsid w:val="006F59EC"/>
    <w:rsid w:val="006F5C0C"/>
    <w:rsid w:val="006F5DE9"/>
    <w:rsid w:val="006F613A"/>
    <w:rsid w:val="006F6505"/>
    <w:rsid w:val="006F70C9"/>
    <w:rsid w:val="006F7716"/>
    <w:rsid w:val="006F7720"/>
    <w:rsid w:val="006F7839"/>
    <w:rsid w:val="006F78FA"/>
    <w:rsid w:val="006F7B33"/>
    <w:rsid w:val="006F7DD6"/>
    <w:rsid w:val="0070023D"/>
    <w:rsid w:val="007003FB"/>
    <w:rsid w:val="00700E5B"/>
    <w:rsid w:val="00700F5E"/>
    <w:rsid w:val="007014E7"/>
    <w:rsid w:val="007017B5"/>
    <w:rsid w:val="007017FE"/>
    <w:rsid w:val="00701B07"/>
    <w:rsid w:val="00701EF3"/>
    <w:rsid w:val="00702292"/>
    <w:rsid w:val="00702732"/>
    <w:rsid w:val="00702794"/>
    <w:rsid w:val="007027B1"/>
    <w:rsid w:val="007027F1"/>
    <w:rsid w:val="00702967"/>
    <w:rsid w:val="007029F6"/>
    <w:rsid w:val="00702EE2"/>
    <w:rsid w:val="00702F54"/>
    <w:rsid w:val="007033D7"/>
    <w:rsid w:val="007033FF"/>
    <w:rsid w:val="0070356A"/>
    <w:rsid w:val="007036E7"/>
    <w:rsid w:val="0070370E"/>
    <w:rsid w:val="0070394E"/>
    <w:rsid w:val="00703E32"/>
    <w:rsid w:val="0070408E"/>
    <w:rsid w:val="00704196"/>
    <w:rsid w:val="00704221"/>
    <w:rsid w:val="007046A5"/>
    <w:rsid w:val="00704707"/>
    <w:rsid w:val="0070475A"/>
    <w:rsid w:val="00704CB1"/>
    <w:rsid w:val="0070503B"/>
    <w:rsid w:val="0070504E"/>
    <w:rsid w:val="00705085"/>
    <w:rsid w:val="00705086"/>
    <w:rsid w:val="007051FD"/>
    <w:rsid w:val="007053EE"/>
    <w:rsid w:val="007059F2"/>
    <w:rsid w:val="00705BEE"/>
    <w:rsid w:val="00705CA0"/>
    <w:rsid w:val="00705D01"/>
    <w:rsid w:val="00705D5E"/>
    <w:rsid w:val="00706161"/>
    <w:rsid w:val="007061C3"/>
    <w:rsid w:val="007063AF"/>
    <w:rsid w:val="00706494"/>
    <w:rsid w:val="00706851"/>
    <w:rsid w:val="00706D2D"/>
    <w:rsid w:val="00706E39"/>
    <w:rsid w:val="00706E72"/>
    <w:rsid w:val="00707285"/>
    <w:rsid w:val="007072F6"/>
    <w:rsid w:val="007075CE"/>
    <w:rsid w:val="007075D9"/>
    <w:rsid w:val="00707958"/>
    <w:rsid w:val="007079EE"/>
    <w:rsid w:val="00710075"/>
    <w:rsid w:val="00710249"/>
    <w:rsid w:val="007106D4"/>
    <w:rsid w:val="0071087D"/>
    <w:rsid w:val="00710972"/>
    <w:rsid w:val="00710F4D"/>
    <w:rsid w:val="00710F8B"/>
    <w:rsid w:val="00711127"/>
    <w:rsid w:val="007114A9"/>
    <w:rsid w:val="007114D1"/>
    <w:rsid w:val="00712223"/>
    <w:rsid w:val="00712290"/>
    <w:rsid w:val="007123A4"/>
    <w:rsid w:val="00712E6F"/>
    <w:rsid w:val="0071310D"/>
    <w:rsid w:val="0071310E"/>
    <w:rsid w:val="00713351"/>
    <w:rsid w:val="007133E9"/>
    <w:rsid w:val="0071343D"/>
    <w:rsid w:val="00713506"/>
    <w:rsid w:val="00713AFF"/>
    <w:rsid w:val="00713C8E"/>
    <w:rsid w:val="00713D6D"/>
    <w:rsid w:val="00714542"/>
    <w:rsid w:val="0071460F"/>
    <w:rsid w:val="0071469A"/>
    <w:rsid w:val="00714820"/>
    <w:rsid w:val="00714C99"/>
    <w:rsid w:val="00714FA2"/>
    <w:rsid w:val="00715077"/>
    <w:rsid w:val="0071562F"/>
    <w:rsid w:val="00715C42"/>
    <w:rsid w:val="00715E18"/>
    <w:rsid w:val="00715EFD"/>
    <w:rsid w:val="00715F35"/>
    <w:rsid w:val="007162D5"/>
    <w:rsid w:val="00716415"/>
    <w:rsid w:val="00716537"/>
    <w:rsid w:val="00716BE3"/>
    <w:rsid w:val="00716EFE"/>
    <w:rsid w:val="00716F44"/>
    <w:rsid w:val="00716FA3"/>
    <w:rsid w:val="007172DB"/>
    <w:rsid w:val="00717737"/>
    <w:rsid w:val="007179C7"/>
    <w:rsid w:val="00717D24"/>
    <w:rsid w:val="00717D63"/>
    <w:rsid w:val="00720104"/>
    <w:rsid w:val="00720128"/>
    <w:rsid w:val="007204D9"/>
    <w:rsid w:val="007204EB"/>
    <w:rsid w:val="007211D6"/>
    <w:rsid w:val="00721380"/>
    <w:rsid w:val="0072145B"/>
    <w:rsid w:val="00721C40"/>
    <w:rsid w:val="00721CF9"/>
    <w:rsid w:val="00721DC8"/>
    <w:rsid w:val="00721DD0"/>
    <w:rsid w:val="00722150"/>
    <w:rsid w:val="007222B2"/>
    <w:rsid w:val="0072233F"/>
    <w:rsid w:val="007225A8"/>
    <w:rsid w:val="0072296F"/>
    <w:rsid w:val="00722B36"/>
    <w:rsid w:val="00722EC3"/>
    <w:rsid w:val="0072323C"/>
    <w:rsid w:val="00723244"/>
    <w:rsid w:val="0072328E"/>
    <w:rsid w:val="00723360"/>
    <w:rsid w:val="00723688"/>
    <w:rsid w:val="00723697"/>
    <w:rsid w:val="00723B77"/>
    <w:rsid w:val="00723EBB"/>
    <w:rsid w:val="00723F4D"/>
    <w:rsid w:val="0072417D"/>
    <w:rsid w:val="0072443D"/>
    <w:rsid w:val="007246AA"/>
    <w:rsid w:val="00724912"/>
    <w:rsid w:val="00724996"/>
    <w:rsid w:val="00724A98"/>
    <w:rsid w:val="007251C0"/>
    <w:rsid w:val="00725632"/>
    <w:rsid w:val="00725BA9"/>
    <w:rsid w:val="0072600A"/>
    <w:rsid w:val="0072606E"/>
    <w:rsid w:val="00726113"/>
    <w:rsid w:val="007261AA"/>
    <w:rsid w:val="007261DB"/>
    <w:rsid w:val="007264F7"/>
    <w:rsid w:val="00726936"/>
    <w:rsid w:val="00726A05"/>
    <w:rsid w:val="00726C24"/>
    <w:rsid w:val="00726FA8"/>
    <w:rsid w:val="0072756C"/>
    <w:rsid w:val="00727B0E"/>
    <w:rsid w:val="00727E72"/>
    <w:rsid w:val="00730298"/>
    <w:rsid w:val="00730377"/>
    <w:rsid w:val="007304C0"/>
    <w:rsid w:val="00730B47"/>
    <w:rsid w:val="00730FB0"/>
    <w:rsid w:val="00731166"/>
    <w:rsid w:val="00731682"/>
    <w:rsid w:val="00731896"/>
    <w:rsid w:val="00732023"/>
    <w:rsid w:val="00732448"/>
    <w:rsid w:val="00732468"/>
    <w:rsid w:val="00732654"/>
    <w:rsid w:val="00732929"/>
    <w:rsid w:val="00732BF0"/>
    <w:rsid w:val="00732C96"/>
    <w:rsid w:val="00732F6C"/>
    <w:rsid w:val="007331FB"/>
    <w:rsid w:val="00733366"/>
    <w:rsid w:val="007339A4"/>
    <w:rsid w:val="00733CC3"/>
    <w:rsid w:val="00733CCB"/>
    <w:rsid w:val="00733D2A"/>
    <w:rsid w:val="00734033"/>
    <w:rsid w:val="007345C2"/>
    <w:rsid w:val="00734719"/>
    <w:rsid w:val="00734D50"/>
    <w:rsid w:val="00734DEF"/>
    <w:rsid w:val="00734F7A"/>
    <w:rsid w:val="007350A9"/>
    <w:rsid w:val="00735435"/>
    <w:rsid w:val="00735950"/>
    <w:rsid w:val="007359C9"/>
    <w:rsid w:val="00735A1B"/>
    <w:rsid w:val="00735AF6"/>
    <w:rsid w:val="00735B3A"/>
    <w:rsid w:val="00735B41"/>
    <w:rsid w:val="0073635C"/>
    <w:rsid w:val="00736605"/>
    <w:rsid w:val="00736FE9"/>
    <w:rsid w:val="007371EC"/>
    <w:rsid w:val="00737568"/>
    <w:rsid w:val="007377D8"/>
    <w:rsid w:val="00740102"/>
    <w:rsid w:val="007403E7"/>
    <w:rsid w:val="00740760"/>
    <w:rsid w:val="00740BE0"/>
    <w:rsid w:val="007410A8"/>
    <w:rsid w:val="0074156F"/>
    <w:rsid w:val="007416D2"/>
    <w:rsid w:val="007418CC"/>
    <w:rsid w:val="0074195E"/>
    <w:rsid w:val="007419F0"/>
    <w:rsid w:val="00741E57"/>
    <w:rsid w:val="00741F19"/>
    <w:rsid w:val="00741F52"/>
    <w:rsid w:val="00741FFC"/>
    <w:rsid w:val="0074209C"/>
    <w:rsid w:val="0074256D"/>
    <w:rsid w:val="007425E0"/>
    <w:rsid w:val="00742654"/>
    <w:rsid w:val="00742842"/>
    <w:rsid w:val="00742B58"/>
    <w:rsid w:val="00742E48"/>
    <w:rsid w:val="00743007"/>
    <w:rsid w:val="0074302D"/>
    <w:rsid w:val="00743160"/>
    <w:rsid w:val="0074334F"/>
    <w:rsid w:val="007433BB"/>
    <w:rsid w:val="007433EF"/>
    <w:rsid w:val="00743422"/>
    <w:rsid w:val="00743697"/>
    <w:rsid w:val="007437D3"/>
    <w:rsid w:val="00743A96"/>
    <w:rsid w:val="00743E07"/>
    <w:rsid w:val="00744324"/>
    <w:rsid w:val="00744891"/>
    <w:rsid w:val="0074502B"/>
    <w:rsid w:val="0074588E"/>
    <w:rsid w:val="0074596D"/>
    <w:rsid w:val="00745A48"/>
    <w:rsid w:val="00746292"/>
    <w:rsid w:val="007462C7"/>
    <w:rsid w:val="007462F5"/>
    <w:rsid w:val="007463D5"/>
    <w:rsid w:val="007463E5"/>
    <w:rsid w:val="007464C5"/>
    <w:rsid w:val="007464E8"/>
    <w:rsid w:val="007465CE"/>
    <w:rsid w:val="007468D3"/>
    <w:rsid w:val="00746AC3"/>
    <w:rsid w:val="00746E97"/>
    <w:rsid w:val="00747064"/>
    <w:rsid w:val="00747330"/>
    <w:rsid w:val="0074737B"/>
    <w:rsid w:val="007473C2"/>
    <w:rsid w:val="007474EF"/>
    <w:rsid w:val="00747647"/>
    <w:rsid w:val="00747903"/>
    <w:rsid w:val="00747CB7"/>
    <w:rsid w:val="00747EB0"/>
    <w:rsid w:val="00750241"/>
    <w:rsid w:val="0075053A"/>
    <w:rsid w:val="007509B2"/>
    <w:rsid w:val="00750D7B"/>
    <w:rsid w:val="00750F61"/>
    <w:rsid w:val="00751577"/>
    <w:rsid w:val="007515EA"/>
    <w:rsid w:val="00751704"/>
    <w:rsid w:val="00751897"/>
    <w:rsid w:val="00751B49"/>
    <w:rsid w:val="00751B9E"/>
    <w:rsid w:val="00751C34"/>
    <w:rsid w:val="007524A5"/>
    <w:rsid w:val="00752529"/>
    <w:rsid w:val="0075269C"/>
    <w:rsid w:val="007527D4"/>
    <w:rsid w:val="0075289B"/>
    <w:rsid w:val="00752DE5"/>
    <w:rsid w:val="00752F12"/>
    <w:rsid w:val="007531B2"/>
    <w:rsid w:val="007534BC"/>
    <w:rsid w:val="00753753"/>
    <w:rsid w:val="00753767"/>
    <w:rsid w:val="00753D41"/>
    <w:rsid w:val="00753E03"/>
    <w:rsid w:val="00753F36"/>
    <w:rsid w:val="007543C4"/>
    <w:rsid w:val="00754671"/>
    <w:rsid w:val="00754ADD"/>
    <w:rsid w:val="00754CA1"/>
    <w:rsid w:val="00754E69"/>
    <w:rsid w:val="00754ED1"/>
    <w:rsid w:val="00755346"/>
    <w:rsid w:val="00755385"/>
    <w:rsid w:val="007554CA"/>
    <w:rsid w:val="00755681"/>
    <w:rsid w:val="007556CE"/>
    <w:rsid w:val="007557F3"/>
    <w:rsid w:val="00755821"/>
    <w:rsid w:val="00755BF2"/>
    <w:rsid w:val="00755D3E"/>
    <w:rsid w:val="0075602B"/>
    <w:rsid w:val="0075607F"/>
    <w:rsid w:val="007561C6"/>
    <w:rsid w:val="00756698"/>
    <w:rsid w:val="007568EE"/>
    <w:rsid w:val="007569C9"/>
    <w:rsid w:val="00756EBD"/>
    <w:rsid w:val="0075732C"/>
    <w:rsid w:val="0075737B"/>
    <w:rsid w:val="007574B8"/>
    <w:rsid w:val="007576BC"/>
    <w:rsid w:val="00757717"/>
    <w:rsid w:val="007577F7"/>
    <w:rsid w:val="00757A2B"/>
    <w:rsid w:val="00757FC9"/>
    <w:rsid w:val="007605A8"/>
    <w:rsid w:val="0076077F"/>
    <w:rsid w:val="0076089B"/>
    <w:rsid w:val="00760B4A"/>
    <w:rsid w:val="00760E32"/>
    <w:rsid w:val="00760F29"/>
    <w:rsid w:val="00761152"/>
    <w:rsid w:val="007611F5"/>
    <w:rsid w:val="007617FA"/>
    <w:rsid w:val="007618A2"/>
    <w:rsid w:val="00761B2E"/>
    <w:rsid w:val="00761D7C"/>
    <w:rsid w:val="00762572"/>
    <w:rsid w:val="007625C3"/>
    <w:rsid w:val="0076265E"/>
    <w:rsid w:val="0076266D"/>
    <w:rsid w:val="00763024"/>
    <w:rsid w:val="0076316D"/>
    <w:rsid w:val="0076344A"/>
    <w:rsid w:val="00763675"/>
    <w:rsid w:val="00763788"/>
    <w:rsid w:val="00763917"/>
    <w:rsid w:val="00763B0A"/>
    <w:rsid w:val="007641BE"/>
    <w:rsid w:val="0076433C"/>
    <w:rsid w:val="007644CF"/>
    <w:rsid w:val="00764828"/>
    <w:rsid w:val="00764A09"/>
    <w:rsid w:val="00764A86"/>
    <w:rsid w:val="00764B49"/>
    <w:rsid w:val="00764D28"/>
    <w:rsid w:val="0076521C"/>
    <w:rsid w:val="007653E8"/>
    <w:rsid w:val="00765A01"/>
    <w:rsid w:val="00765A58"/>
    <w:rsid w:val="00765F79"/>
    <w:rsid w:val="0076660F"/>
    <w:rsid w:val="00766B77"/>
    <w:rsid w:val="00766CB1"/>
    <w:rsid w:val="00766DEB"/>
    <w:rsid w:val="007676C1"/>
    <w:rsid w:val="00767D40"/>
    <w:rsid w:val="00767D87"/>
    <w:rsid w:val="00767F85"/>
    <w:rsid w:val="00770040"/>
    <w:rsid w:val="007704E3"/>
    <w:rsid w:val="007706ED"/>
    <w:rsid w:val="007710BD"/>
    <w:rsid w:val="0077120D"/>
    <w:rsid w:val="007712EB"/>
    <w:rsid w:val="0077154B"/>
    <w:rsid w:val="007719CE"/>
    <w:rsid w:val="00771EF6"/>
    <w:rsid w:val="00771FA0"/>
    <w:rsid w:val="00772098"/>
    <w:rsid w:val="0077247D"/>
    <w:rsid w:val="00772BA6"/>
    <w:rsid w:val="00772BAB"/>
    <w:rsid w:val="0077304A"/>
    <w:rsid w:val="007731FC"/>
    <w:rsid w:val="007733B1"/>
    <w:rsid w:val="0077348F"/>
    <w:rsid w:val="00773AE8"/>
    <w:rsid w:val="00773B5D"/>
    <w:rsid w:val="00773BF0"/>
    <w:rsid w:val="00773C83"/>
    <w:rsid w:val="00773E61"/>
    <w:rsid w:val="00774113"/>
    <w:rsid w:val="007742B0"/>
    <w:rsid w:val="007742EA"/>
    <w:rsid w:val="007748E3"/>
    <w:rsid w:val="00774A5B"/>
    <w:rsid w:val="00774BCA"/>
    <w:rsid w:val="00774E10"/>
    <w:rsid w:val="00775019"/>
    <w:rsid w:val="00775314"/>
    <w:rsid w:val="0077541D"/>
    <w:rsid w:val="007754C6"/>
    <w:rsid w:val="00775653"/>
    <w:rsid w:val="00775C04"/>
    <w:rsid w:val="00775CC6"/>
    <w:rsid w:val="00775DEF"/>
    <w:rsid w:val="00775F23"/>
    <w:rsid w:val="00776034"/>
    <w:rsid w:val="0077641D"/>
    <w:rsid w:val="007765F6"/>
    <w:rsid w:val="007768E4"/>
    <w:rsid w:val="0077706E"/>
    <w:rsid w:val="0077746A"/>
    <w:rsid w:val="00777512"/>
    <w:rsid w:val="00777635"/>
    <w:rsid w:val="00777EC0"/>
    <w:rsid w:val="00777FDE"/>
    <w:rsid w:val="0078007F"/>
    <w:rsid w:val="0078031A"/>
    <w:rsid w:val="00780654"/>
    <w:rsid w:val="007807BE"/>
    <w:rsid w:val="00780A69"/>
    <w:rsid w:val="00780C5C"/>
    <w:rsid w:val="00780DA4"/>
    <w:rsid w:val="00780EDD"/>
    <w:rsid w:val="00780EFF"/>
    <w:rsid w:val="0078122A"/>
    <w:rsid w:val="00781456"/>
    <w:rsid w:val="0078169F"/>
    <w:rsid w:val="00781899"/>
    <w:rsid w:val="00781C7D"/>
    <w:rsid w:val="00781F3B"/>
    <w:rsid w:val="00781FC0"/>
    <w:rsid w:val="0078236B"/>
    <w:rsid w:val="007824AE"/>
    <w:rsid w:val="00782532"/>
    <w:rsid w:val="00783087"/>
    <w:rsid w:val="00783130"/>
    <w:rsid w:val="00783868"/>
    <w:rsid w:val="00783BBF"/>
    <w:rsid w:val="00783F63"/>
    <w:rsid w:val="007843FE"/>
    <w:rsid w:val="00784DD5"/>
    <w:rsid w:val="00784EDD"/>
    <w:rsid w:val="00784FEE"/>
    <w:rsid w:val="00785940"/>
    <w:rsid w:val="00785AB3"/>
    <w:rsid w:val="00785B75"/>
    <w:rsid w:val="00785C84"/>
    <w:rsid w:val="00785D82"/>
    <w:rsid w:val="00785DFE"/>
    <w:rsid w:val="007860EA"/>
    <w:rsid w:val="007861F8"/>
    <w:rsid w:val="007863D6"/>
    <w:rsid w:val="00786D36"/>
    <w:rsid w:val="00786EDB"/>
    <w:rsid w:val="0078701D"/>
    <w:rsid w:val="0078707A"/>
    <w:rsid w:val="0078716E"/>
    <w:rsid w:val="00787202"/>
    <w:rsid w:val="00787531"/>
    <w:rsid w:val="0078768F"/>
    <w:rsid w:val="00787AA3"/>
    <w:rsid w:val="00787B91"/>
    <w:rsid w:val="00787E35"/>
    <w:rsid w:val="00790065"/>
    <w:rsid w:val="007902F6"/>
    <w:rsid w:val="00790464"/>
    <w:rsid w:val="00790908"/>
    <w:rsid w:val="00790B1E"/>
    <w:rsid w:val="00791A42"/>
    <w:rsid w:val="00791AD2"/>
    <w:rsid w:val="00791B5F"/>
    <w:rsid w:val="00791BF0"/>
    <w:rsid w:val="00791D01"/>
    <w:rsid w:val="00791DF7"/>
    <w:rsid w:val="00791ED3"/>
    <w:rsid w:val="007921B4"/>
    <w:rsid w:val="00792353"/>
    <w:rsid w:val="007927F8"/>
    <w:rsid w:val="0079280B"/>
    <w:rsid w:val="0079280C"/>
    <w:rsid w:val="007928BC"/>
    <w:rsid w:val="00792A8B"/>
    <w:rsid w:val="0079318B"/>
    <w:rsid w:val="00793BDC"/>
    <w:rsid w:val="00793F28"/>
    <w:rsid w:val="007943FC"/>
    <w:rsid w:val="00794400"/>
    <w:rsid w:val="00794F93"/>
    <w:rsid w:val="00794FB1"/>
    <w:rsid w:val="0079522B"/>
    <w:rsid w:val="0079524B"/>
    <w:rsid w:val="007952B0"/>
    <w:rsid w:val="007957B2"/>
    <w:rsid w:val="00795873"/>
    <w:rsid w:val="00795886"/>
    <w:rsid w:val="00795D89"/>
    <w:rsid w:val="00795D99"/>
    <w:rsid w:val="007960EB"/>
    <w:rsid w:val="0079663B"/>
    <w:rsid w:val="0079678E"/>
    <w:rsid w:val="00796D28"/>
    <w:rsid w:val="00796E51"/>
    <w:rsid w:val="0079717D"/>
    <w:rsid w:val="007971CF"/>
    <w:rsid w:val="00797423"/>
    <w:rsid w:val="0079743C"/>
    <w:rsid w:val="00797710"/>
    <w:rsid w:val="0079784F"/>
    <w:rsid w:val="00797C1E"/>
    <w:rsid w:val="00797E58"/>
    <w:rsid w:val="007A0245"/>
    <w:rsid w:val="007A0506"/>
    <w:rsid w:val="007A06E2"/>
    <w:rsid w:val="007A070A"/>
    <w:rsid w:val="007A0D66"/>
    <w:rsid w:val="007A0E19"/>
    <w:rsid w:val="007A1248"/>
    <w:rsid w:val="007A12FD"/>
    <w:rsid w:val="007A15BD"/>
    <w:rsid w:val="007A163D"/>
    <w:rsid w:val="007A1E20"/>
    <w:rsid w:val="007A1F3E"/>
    <w:rsid w:val="007A28F2"/>
    <w:rsid w:val="007A2CB0"/>
    <w:rsid w:val="007A2DCD"/>
    <w:rsid w:val="007A30D6"/>
    <w:rsid w:val="007A3168"/>
    <w:rsid w:val="007A32BC"/>
    <w:rsid w:val="007A3A60"/>
    <w:rsid w:val="007A3CD8"/>
    <w:rsid w:val="007A4041"/>
    <w:rsid w:val="007A4119"/>
    <w:rsid w:val="007A413C"/>
    <w:rsid w:val="007A501E"/>
    <w:rsid w:val="007A503A"/>
    <w:rsid w:val="007A51D5"/>
    <w:rsid w:val="007A5202"/>
    <w:rsid w:val="007A5EFC"/>
    <w:rsid w:val="007A60E7"/>
    <w:rsid w:val="007A612C"/>
    <w:rsid w:val="007A6299"/>
    <w:rsid w:val="007A64E5"/>
    <w:rsid w:val="007A6B97"/>
    <w:rsid w:val="007A6C42"/>
    <w:rsid w:val="007A6D9F"/>
    <w:rsid w:val="007A6DE2"/>
    <w:rsid w:val="007A71E7"/>
    <w:rsid w:val="007A77C0"/>
    <w:rsid w:val="007A7AA8"/>
    <w:rsid w:val="007A7EDD"/>
    <w:rsid w:val="007A7F20"/>
    <w:rsid w:val="007B00D1"/>
    <w:rsid w:val="007B02A0"/>
    <w:rsid w:val="007B0312"/>
    <w:rsid w:val="007B033A"/>
    <w:rsid w:val="007B0608"/>
    <w:rsid w:val="007B0823"/>
    <w:rsid w:val="007B0E32"/>
    <w:rsid w:val="007B0F40"/>
    <w:rsid w:val="007B1140"/>
    <w:rsid w:val="007B1585"/>
    <w:rsid w:val="007B1663"/>
    <w:rsid w:val="007B17C7"/>
    <w:rsid w:val="007B1B80"/>
    <w:rsid w:val="007B1D59"/>
    <w:rsid w:val="007B1DB7"/>
    <w:rsid w:val="007B1F81"/>
    <w:rsid w:val="007B2B7D"/>
    <w:rsid w:val="007B30F0"/>
    <w:rsid w:val="007B31C6"/>
    <w:rsid w:val="007B3612"/>
    <w:rsid w:val="007B37E3"/>
    <w:rsid w:val="007B39C8"/>
    <w:rsid w:val="007B3B9A"/>
    <w:rsid w:val="007B3F30"/>
    <w:rsid w:val="007B40C9"/>
    <w:rsid w:val="007B42DC"/>
    <w:rsid w:val="007B45AA"/>
    <w:rsid w:val="007B48A8"/>
    <w:rsid w:val="007B48CF"/>
    <w:rsid w:val="007B4C31"/>
    <w:rsid w:val="007B4D7F"/>
    <w:rsid w:val="007B4E98"/>
    <w:rsid w:val="007B4FA1"/>
    <w:rsid w:val="007B511D"/>
    <w:rsid w:val="007B582D"/>
    <w:rsid w:val="007B5BD0"/>
    <w:rsid w:val="007B5EA7"/>
    <w:rsid w:val="007B5EAB"/>
    <w:rsid w:val="007B5F98"/>
    <w:rsid w:val="007B66E2"/>
    <w:rsid w:val="007B6827"/>
    <w:rsid w:val="007B6DDE"/>
    <w:rsid w:val="007B6ED7"/>
    <w:rsid w:val="007B7133"/>
    <w:rsid w:val="007B75E7"/>
    <w:rsid w:val="007B7A98"/>
    <w:rsid w:val="007B7BAE"/>
    <w:rsid w:val="007B7DC9"/>
    <w:rsid w:val="007B7F7C"/>
    <w:rsid w:val="007B7FB0"/>
    <w:rsid w:val="007C0096"/>
    <w:rsid w:val="007C0256"/>
    <w:rsid w:val="007C06E6"/>
    <w:rsid w:val="007C0800"/>
    <w:rsid w:val="007C0B6B"/>
    <w:rsid w:val="007C0C87"/>
    <w:rsid w:val="007C0CFB"/>
    <w:rsid w:val="007C11EF"/>
    <w:rsid w:val="007C15A3"/>
    <w:rsid w:val="007C180F"/>
    <w:rsid w:val="007C1A44"/>
    <w:rsid w:val="007C1B3D"/>
    <w:rsid w:val="007C1BF1"/>
    <w:rsid w:val="007C2139"/>
    <w:rsid w:val="007C2567"/>
    <w:rsid w:val="007C29CF"/>
    <w:rsid w:val="007C2AA6"/>
    <w:rsid w:val="007C2C5A"/>
    <w:rsid w:val="007C2CDF"/>
    <w:rsid w:val="007C303E"/>
    <w:rsid w:val="007C3C74"/>
    <w:rsid w:val="007C3E8F"/>
    <w:rsid w:val="007C3F66"/>
    <w:rsid w:val="007C40AF"/>
    <w:rsid w:val="007C4172"/>
    <w:rsid w:val="007C42C9"/>
    <w:rsid w:val="007C4376"/>
    <w:rsid w:val="007C4DCE"/>
    <w:rsid w:val="007C53A7"/>
    <w:rsid w:val="007C5557"/>
    <w:rsid w:val="007C5B70"/>
    <w:rsid w:val="007C5C6F"/>
    <w:rsid w:val="007C60AD"/>
    <w:rsid w:val="007C60F9"/>
    <w:rsid w:val="007C6188"/>
    <w:rsid w:val="007C61C0"/>
    <w:rsid w:val="007C6333"/>
    <w:rsid w:val="007C66DE"/>
    <w:rsid w:val="007C6D6A"/>
    <w:rsid w:val="007C6EA8"/>
    <w:rsid w:val="007C7033"/>
    <w:rsid w:val="007C70BE"/>
    <w:rsid w:val="007C70CB"/>
    <w:rsid w:val="007C74FC"/>
    <w:rsid w:val="007C777D"/>
    <w:rsid w:val="007C7814"/>
    <w:rsid w:val="007C79A8"/>
    <w:rsid w:val="007C7FF3"/>
    <w:rsid w:val="007D024F"/>
    <w:rsid w:val="007D0262"/>
    <w:rsid w:val="007D0930"/>
    <w:rsid w:val="007D0B93"/>
    <w:rsid w:val="007D0D73"/>
    <w:rsid w:val="007D0F8B"/>
    <w:rsid w:val="007D15AF"/>
    <w:rsid w:val="007D16CA"/>
    <w:rsid w:val="007D196E"/>
    <w:rsid w:val="007D1B9C"/>
    <w:rsid w:val="007D1BCD"/>
    <w:rsid w:val="007D1CFB"/>
    <w:rsid w:val="007D1EE7"/>
    <w:rsid w:val="007D2021"/>
    <w:rsid w:val="007D21D8"/>
    <w:rsid w:val="007D220F"/>
    <w:rsid w:val="007D2399"/>
    <w:rsid w:val="007D23D4"/>
    <w:rsid w:val="007D2832"/>
    <w:rsid w:val="007D2940"/>
    <w:rsid w:val="007D2C39"/>
    <w:rsid w:val="007D2C63"/>
    <w:rsid w:val="007D30C4"/>
    <w:rsid w:val="007D33A8"/>
    <w:rsid w:val="007D358C"/>
    <w:rsid w:val="007D3924"/>
    <w:rsid w:val="007D3D60"/>
    <w:rsid w:val="007D41E0"/>
    <w:rsid w:val="007D446E"/>
    <w:rsid w:val="007D4AE8"/>
    <w:rsid w:val="007D4BAC"/>
    <w:rsid w:val="007D4C19"/>
    <w:rsid w:val="007D4E43"/>
    <w:rsid w:val="007D508F"/>
    <w:rsid w:val="007D540A"/>
    <w:rsid w:val="007D5738"/>
    <w:rsid w:val="007D5808"/>
    <w:rsid w:val="007D5999"/>
    <w:rsid w:val="007D5BFB"/>
    <w:rsid w:val="007D62BD"/>
    <w:rsid w:val="007D630A"/>
    <w:rsid w:val="007D6749"/>
    <w:rsid w:val="007D67AF"/>
    <w:rsid w:val="007D6886"/>
    <w:rsid w:val="007D68CA"/>
    <w:rsid w:val="007D70C9"/>
    <w:rsid w:val="007D71A7"/>
    <w:rsid w:val="007D73A8"/>
    <w:rsid w:val="007D7441"/>
    <w:rsid w:val="007D7962"/>
    <w:rsid w:val="007D7AD8"/>
    <w:rsid w:val="007D7B57"/>
    <w:rsid w:val="007D7DCD"/>
    <w:rsid w:val="007E0180"/>
    <w:rsid w:val="007E01CD"/>
    <w:rsid w:val="007E023A"/>
    <w:rsid w:val="007E03FB"/>
    <w:rsid w:val="007E0683"/>
    <w:rsid w:val="007E07D9"/>
    <w:rsid w:val="007E0B37"/>
    <w:rsid w:val="007E0CD0"/>
    <w:rsid w:val="007E10FE"/>
    <w:rsid w:val="007E15B2"/>
    <w:rsid w:val="007E15E5"/>
    <w:rsid w:val="007E186F"/>
    <w:rsid w:val="007E1894"/>
    <w:rsid w:val="007E19A9"/>
    <w:rsid w:val="007E1AB2"/>
    <w:rsid w:val="007E2247"/>
    <w:rsid w:val="007E275C"/>
    <w:rsid w:val="007E27AB"/>
    <w:rsid w:val="007E28A2"/>
    <w:rsid w:val="007E2BD4"/>
    <w:rsid w:val="007E2C29"/>
    <w:rsid w:val="007E328B"/>
    <w:rsid w:val="007E374F"/>
    <w:rsid w:val="007E3C19"/>
    <w:rsid w:val="007E4174"/>
    <w:rsid w:val="007E4414"/>
    <w:rsid w:val="007E46B1"/>
    <w:rsid w:val="007E4807"/>
    <w:rsid w:val="007E491C"/>
    <w:rsid w:val="007E51FB"/>
    <w:rsid w:val="007E5431"/>
    <w:rsid w:val="007E5592"/>
    <w:rsid w:val="007E55E1"/>
    <w:rsid w:val="007E57B8"/>
    <w:rsid w:val="007E587D"/>
    <w:rsid w:val="007E5A32"/>
    <w:rsid w:val="007E5BCC"/>
    <w:rsid w:val="007E5C78"/>
    <w:rsid w:val="007E6767"/>
    <w:rsid w:val="007E6AB5"/>
    <w:rsid w:val="007E6C17"/>
    <w:rsid w:val="007E701D"/>
    <w:rsid w:val="007E78B5"/>
    <w:rsid w:val="007E7A7F"/>
    <w:rsid w:val="007E7AA4"/>
    <w:rsid w:val="007E7BA5"/>
    <w:rsid w:val="007E7D72"/>
    <w:rsid w:val="007F014B"/>
    <w:rsid w:val="007F01D5"/>
    <w:rsid w:val="007F051D"/>
    <w:rsid w:val="007F06C7"/>
    <w:rsid w:val="007F0728"/>
    <w:rsid w:val="007F07C0"/>
    <w:rsid w:val="007F0A4E"/>
    <w:rsid w:val="007F0AE2"/>
    <w:rsid w:val="007F0E02"/>
    <w:rsid w:val="007F14AE"/>
    <w:rsid w:val="007F1624"/>
    <w:rsid w:val="007F1666"/>
    <w:rsid w:val="007F1A26"/>
    <w:rsid w:val="007F1B3D"/>
    <w:rsid w:val="007F25B7"/>
    <w:rsid w:val="007F2709"/>
    <w:rsid w:val="007F2998"/>
    <w:rsid w:val="007F2AF7"/>
    <w:rsid w:val="007F30B8"/>
    <w:rsid w:val="007F3188"/>
    <w:rsid w:val="007F3258"/>
    <w:rsid w:val="007F3364"/>
    <w:rsid w:val="007F36D4"/>
    <w:rsid w:val="007F3721"/>
    <w:rsid w:val="007F3B15"/>
    <w:rsid w:val="007F3BBA"/>
    <w:rsid w:val="007F3BF8"/>
    <w:rsid w:val="007F4256"/>
    <w:rsid w:val="007F4291"/>
    <w:rsid w:val="007F47D5"/>
    <w:rsid w:val="007F4818"/>
    <w:rsid w:val="007F4C31"/>
    <w:rsid w:val="007F4DF4"/>
    <w:rsid w:val="007F4E2C"/>
    <w:rsid w:val="007F4FED"/>
    <w:rsid w:val="007F56DF"/>
    <w:rsid w:val="007F5C19"/>
    <w:rsid w:val="007F5C53"/>
    <w:rsid w:val="007F5CC5"/>
    <w:rsid w:val="007F5E72"/>
    <w:rsid w:val="007F5F1A"/>
    <w:rsid w:val="007F5FE3"/>
    <w:rsid w:val="007F66BA"/>
    <w:rsid w:val="007F6849"/>
    <w:rsid w:val="007F6BAC"/>
    <w:rsid w:val="007F6CDB"/>
    <w:rsid w:val="007F6DCE"/>
    <w:rsid w:val="007F6E14"/>
    <w:rsid w:val="007F6FD5"/>
    <w:rsid w:val="007F73BA"/>
    <w:rsid w:val="007F7486"/>
    <w:rsid w:val="007F7505"/>
    <w:rsid w:val="007F7604"/>
    <w:rsid w:val="00800408"/>
    <w:rsid w:val="008007AE"/>
    <w:rsid w:val="0080099F"/>
    <w:rsid w:val="008009F2"/>
    <w:rsid w:val="00800C1B"/>
    <w:rsid w:val="00800DF4"/>
    <w:rsid w:val="00800E1B"/>
    <w:rsid w:val="0080130D"/>
    <w:rsid w:val="00801470"/>
    <w:rsid w:val="008014CA"/>
    <w:rsid w:val="008017C7"/>
    <w:rsid w:val="008017FC"/>
    <w:rsid w:val="00801B36"/>
    <w:rsid w:val="00801D9D"/>
    <w:rsid w:val="00802C59"/>
    <w:rsid w:val="00802D10"/>
    <w:rsid w:val="00802D9B"/>
    <w:rsid w:val="00802F33"/>
    <w:rsid w:val="00802FA8"/>
    <w:rsid w:val="0080301F"/>
    <w:rsid w:val="00803485"/>
    <w:rsid w:val="008035C4"/>
    <w:rsid w:val="00803805"/>
    <w:rsid w:val="00803929"/>
    <w:rsid w:val="0080393E"/>
    <w:rsid w:val="00803975"/>
    <w:rsid w:val="00803BF8"/>
    <w:rsid w:val="00803E53"/>
    <w:rsid w:val="00803EA1"/>
    <w:rsid w:val="00804124"/>
    <w:rsid w:val="008041C3"/>
    <w:rsid w:val="008049DA"/>
    <w:rsid w:val="00804A15"/>
    <w:rsid w:val="00805439"/>
    <w:rsid w:val="008058C8"/>
    <w:rsid w:val="00805AF4"/>
    <w:rsid w:val="00805D9B"/>
    <w:rsid w:val="0080607C"/>
    <w:rsid w:val="00806199"/>
    <w:rsid w:val="008069DE"/>
    <w:rsid w:val="00806E72"/>
    <w:rsid w:val="00806F11"/>
    <w:rsid w:val="00806FAE"/>
    <w:rsid w:val="008075AF"/>
    <w:rsid w:val="0080767C"/>
    <w:rsid w:val="00807894"/>
    <w:rsid w:val="00807A99"/>
    <w:rsid w:val="00807D30"/>
    <w:rsid w:val="00807DE4"/>
    <w:rsid w:val="0081054B"/>
    <w:rsid w:val="00810E22"/>
    <w:rsid w:val="00810E81"/>
    <w:rsid w:val="00811300"/>
    <w:rsid w:val="00811548"/>
    <w:rsid w:val="00811779"/>
    <w:rsid w:val="00811ECD"/>
    <w:rsid w:val="00811FF7"/>
    <w:rsid w:val="00812986"/>
    <w:rsid w:val="00812A29"/>
    <w:rsid w:val="00812BDE"/>
    <w:rsid w:val="00812CD7"/>
    <w:rsid w:val="00812E31"/>
    <w:rsid w:val="008130A0"/>
    <w:rsid w:val="0081348A"/>
    <w:rsid w:val="00813600"/>
    <w:rsid w:val="008137F9"/>
    <w:rsid w:val="00813855"/>
    <w:rsid w:val="00813B8E"/>
    <w:rsid w:val="00813D53"/>
    <w:rsid w:val="00813D57"/>
    <w:rsid w:val="00813FE4"/>
    <w:rsid w:val="008140F7"/>
    <w:rsid w:val="00814798"/>
    <w:rsid w:val="00815192"/>
    <w:rsid w:val="00815446"/>
    <w:rsid w:val="0081554F"/>
    <w:rsid w:val="0081582D"/>
    <w:rsid w:val="0081588D"/>
    <w:rsid w:val="00815A96"/>
    <w:rsid w:val="00815D81"/>
    <w:rsid w:val="00815FBC"/>
    <w:rsid w:val="00816149"/>
    <w:rsid w:val="00816298"/>
    <w:rsid w:val="008164B2"/>
    <w:rsid w:val="00816636"/>
    <w:rsid w:val="00816D99"/>
    <w:rsid w:val="00816E9A"/>
    <w:rsid w:val="00817031"/>
    <w:rsid w:val="00817317"/>
    <w:rsid w:val="0081743B"/>
    <w:rsid w:val="00817AB0"/>
    <w:rsid w:val="00817BAC"/>
    <w:rsid w:val="00817D9E"/>
    <w:rsid w:val="00820493"/>
    <w:rsid w:val="008209D1"/>
    <w:rsid w:val="00820B98"/>
    <w:rsid w:val="00820C73"/>
    <w:rsid w:val="008212DC"/>
    <w:rsid w:val="00821ED0"/>
    <w:rsid w:val="00821F9B"/>
    <w:rsid w:val="00822084"/>
    <w:rsid w:val="0082299A"/>
    <w:rsid w:val="00822B55"/>
    <w:rsid w:val="00822C76"/>
    <w:rsid w:val="00822D7C"/>
    <w:rsid w:val="008237BD"/>
    <w:rsid w:val="00823974"/>
    <w:rsid w:val="008239E9"/>
    <w:rsid w:val="008239F8"/>
    <w:rsid w:val="00823B3C"/>
    <w:rsid w:val="00823D3C"/>
    <w:rsid w:val="00823F2C"/>
    <w:rsid w:val="0082402A"/>
    <w:rsid w:val="00824577"/>
    <w:rsid w:val="008248FB"/>
    <w:rsid w:val="00824B5D"/>
    <w:rsid w:val="00824F76"/>
    <w:rsid w:val="0082535D"/>
    <w:rsid w:val="008254CC"/>
    <w:rsid w:val="00825658"/>
    <w:rsid w:val="00825763"/>
    <w:rsid w:val="008257FF"/>
    <w:rsid w:val="00825935"/>
    <w:rsid w:val="008259DA"/>
    <w:rsid w:val="008260C3"/>
    <w:rsid w:val="00826555"/>
    <w:rsid w:val="00826603"/>
    <w:rsid w:val="00826996"/>
    <w:rsid w:val="00826ABC"/>
    <w:rsid w:val="00826AC6"/>
    <w:rsid w:val="00826C18"/>
    <w:rsid w:val="00826C57"/>
    <w:rsid w:val="00826F8F"/>
    <w:rsid w:val="00826F9D"/>
    <w:rsid w:val="00827079"/>
    <w:rsid w:val="00827349"/>
    <w:rsid w:val="0082741E"/>
    <w:rsid w:val="008274CA"/>
    <w:rsid w:val="008276D9"/>
    <w:rsid w:val="008276F2"/>
    <w:rsid w:val="00827730"/>
    <w:rsid w:val="008277BD"/>
    <w:rsid w:val="0082787A"/>
    <w:rsid w:val="00827EC0"/>
    <w:rsid w:val="00830326"/>
    <w:rsid w:val="0083068B"/>
    <w:rsid w:val="00830991"/>
    <w:rsid w:val="0083106B"/>
    <w:rsid w:val="0083185B"/>
    <w:rsid w:val="008318DE"/>
    <w:rsid w:val="00831A73"/>
    <w:rsid w:val="00831BFF"/>
    <w:rsid w:val="00831F45"/>
    <w:rsid w:val="00832291"/>
    <w:rsid w:val="0083286C"/>
    <w:rsid w:val="00832A56"/>
    <w:rsid w:val="00832B3E"/>
    <w:rsid w:val="00832D73"/>
    <w:rsid w:val="00832E63"/>
    <w:rsid w:val="00832E91"/>
    <w:rsid w:val="00832FB8"/>
    <w:rsid w:val="00832FD6"/>
    <w:rsid w:val="008331A3"/>
    <w:rsid w:val="008333C8"/>
    <w:rsid w:val="00833858"/>
    <w:rsid w:val="00833BAE"/>
    <w:rsid w:val="00833D2C"/>
    <w:rsid w:val="00833E7C"/>
    <w:rsid w:val="00833F8A"/>
    <w:rsid w:val="00833FBD"/>
    <w:rsid w:val="00834240"/>
    <w:rsid w:val="00834385"/>
    <w:rsid w:val="00834596"/>
    <w:rsid w:val="00834764"/>
    <w:rsid w:val="00834775"/>
    <w:rsid w:val="008347B7"/>
    <w:rsid w:val="00834ACA"/>
    <w:rsid w:val="00835087"/>
    <w:rsid w:val="008355DE"/>
    <w:rsid w:val="00835A68"/>
    <w:rsid w:val="00835BB9"/>
    <w:rsid w:val="00835D68"/>
    <w:rsid w:val="00835E93"/>
    <w:rsid w:val="00835FEC"/>
    <w:rsid w:val="00836020"/>
    <w:rsid w:val="008360D4"/>
    <w:rsid w:val="008362AE"/>
    <w:rsid w:val="00836CFA"/>
    <w:rsid w:val="00836D81"/>
    <w:rsid w:val="00836F45"/>
    <w:rsid w:val="008371AD"/>
    <w:rsid w:val="008371B2"/>
    <w:rsid w:val="00837917"/>
    <w:rsid w:val="00837CAB"/>
    <w:rsid w:val="0084001C"/>
    <w:rsid w:val="008403F7"/>
    <w:rsid w:val="00840528"/>
    <w:rsid w:val="00840638"/>
    <w:rsid w:val="0084089F"/>
    <w:rsid w:val="00841095"/>
    <w:rsid w:val="008410DA"/>
    <w:rsid w:val="008410DF"/>
    <w:rsid w:val="0084123C"/>
    <w:rsid w:val="00841BE7"/>
    <w:rsid w:val="00841D42"/>
    <w:rsid w:val="00841E02"/>
    <w:rsid w:val="00841FB8"/>
    <w:rsid w:val="00842428"/>
    <w:rsid w:val="0084253B"/>
    <w:rsid w:val="00842903"/>
    <w:rsid w:val="00842917"/>
    <w:rsid w:val="00842B0B"/>
    <w:rsid w:val="00842B23"/>
    <w:rsid w:val="00842EE5"/>
    <w:rsid w:val="00843051"/>
    <w:rsid w:val="008431A3"/>
    <w:rsid w:val="008432ED"/>
    <w:rsid w:val="0084341C"/>
    <w:rsid w:val="00843614"/>
    <w:rsid w:val="00843838"/>
    <w:rsid w:val="008438C9"/>
    <w:rsid w:val="00844337"/>
    <w:rsid w:val="008443BD"/>
    <w:rsid w:val="00844701"/>
    <w:rsid w:val="00844A64"/>
    <w:rsid w:val="00844CA8"/>
    <w:rsid w:val="00845172"/>
    <w:rsid w:val="00845CEA"/>
    <w:rsid w:val="00845EB1"/>
    <w:rsid w:val="0084607F"/>
    <w:rsid w:val="00846189"/>
    <w:rsid w:val="0084632B"/>
    <w:rsid w:val="008463C8"/>
    <w:rsid w:val="00846478"/>
    <w:rsid w:val="00846527"/>
    <w:rsid w:val="008466B2"/>
    <w:rsid w:val="0084710D"/>
    <w:rsid w:val="008472BB"/>
    <w:rsid w:val="00847EA3"/>
    <w:rsid w:val="008500CF"/>
    <w:rsid w:val="008501FE"/>
    <w:rsid w:val="008502A0"/>
    <w:rsid w:val="00850849"/>
    <w:rsid w:val="00850AC7"/>
    <w:rsid w:val="00850EAB"/>
    <w:rsid w:val="008515C0"/>
    <w:rsid w:val="00851660"/>
    <w:rsid w:val="00851AED"/>
    <w:rsid w:val="00851BBA"/>
    <w:rsid w:val="00851C55"/>
    <w:rsid w:val="00852085"/>
    <w:rsid w:val="00852BBB"/>
    <w:rsid w:val="00852FA8"/>
    <w:rsid w:val="00852FC7"/>
    <w:rsid w:val="008532CC"/>
    <w:rsid w:val="008537A6"/>
    <w:rsid w:val="00853930"/>
    <w:rsid w:val="00853AD2"/>
    <w:rsid w:val="00853E6D"/>
    <w:rsid w:val="00853F59"/>
    <w:rsid w:val="00854064"/>
    <w:rsid w:val="00854D44"/>
    <w:rsid w:val="00854E55"/>
    <w:rsid w:val="0085504F"/>
    <w:rsid w:val="0085510B"/>
    <w:rsid w:val="00855234"/>
    <w:rsid w:val="008554CB"/>
    <w:rsid w:val="00855543"/>
    <w:rsid w:val="008555E9"/>
    <w:rsid w:val="008555EE"/>
    <w:rsid w:val="008556D4"/>
    <w:rsid w:val="00855DB8"/>
    <w:rsid w:val="00856229"/>
    <w:rsid w:val="0085647A"/>
    <w:rsid w:val="00856CE6"/>
    <w:rsid w:val="00857668"/>
    <w:rsid w:val="00857671"/>
    <w:rsid w:val="0085770F"/>
    <w:rsid w:val="00857A55"/>
    <w:rsid w:val="00857CD8"/>
    <w:rsid w:val="00857EBD"/>
    <w:rsid w:val="0086009E"/>
    <w:rsid w:val="0086016D"/>
    <w:rsid w:val="00860288"/>
    <w:rsid w:val="00860353"/>
    <w:rsid w:val="008604FE"/>
    <w:rsid w:val="008607F2"/>
    <w:rsid w:val="0086165B"/>
    <w:rsid w:val="00861B42"/>
    <w:rsid w:val="0086201D"/>
    <w:rsid w:val="00862350"/>
    <w:rsid w:val="0086256E"/>
    <w:rsid w:val="0086266C"/>
    <w:rsid w:val="0086273E"/>
    <w:rsid w:val="00862D8B"/>
    <w:rsid w:val="00862EB3"/>
    <w:rsid w:val="008631AF"/>
    <w:rsid w:val="00863302"/>
    <w:rsid w:val="0086382F"/>
    <w:rsid w:val="00863968"/>
    <w:rsid w:val="0086396F"/>
    <w:rsid w:val="00863BAF"/>
    <w:rsid w:val="00863E87"/>
    <w:rsid w:val="00863EFF"/>
    <w:rsid w:val="00864010"/>
    <w:rsid w:val="008645E9"/>
    <w:rsid w:val="00864644"/>
    <w:rsid w:val="00864BE1"/>
    <w:rsid w:val="00864E5D"/>
    <w:rsid w:val="00864EAB"/>
    <w:rsid w:val="008651F2"/>
    <w:rsid w:val="008655D9"/>
    <w:rsid w:val="00865C6C"/>
    <w:rsid w:val="00865E89"/>
    <w:rsid w:val="00865E8B"/>
    <w:rsid w:val="00866442"/>
    <w:rsid w:val="00866592"/>
    <w:rsid w:val="00866A24"/>
    <w:rsid w:val="00866B9A"/>
    <w:rsid w:val="008671F3"/>
    <w:rsid w:val="0086743C"/>
    <w:rsid w:val="00867715"/>
    <w:rsid w:val="0086778D"/>
    <w:rsid w:val="00867C7D"/>
    <w:rsid w:val="00867CAC"/>
    <w:rsid w:val="00867CDD"/>
    <w:rsid w:val="00867DA4"/>
    <w:rsid w:val="00867DC8"/>
    <w:rsid w:val="00867FE6"/>
    <w:rsid w:val="008701C0"/>
    <w:rsid w:val="008705EA"/>
    <w:rsid w:val="00870602"/>
    <w:rsid w:val="00870790"/>
    <w:rsid w:val="008708F5"/>
    <w:rsid w:val="00870A85"/>
    <w:rsid w:val="00870AA0"/>
    <w:rsid w:val="00870E8C"/>
    <w:rsid w:val="00870F50"/>
    <w:rsid w:val="00871371"/>
    <w:rsid w:val="00871A9F"/>
    <w:rsid w:val="00871DFB"/>
    <w:rsid w:val="00872241"/>
    <w:rsid w:val="008723AB"/>
    <w:rsid w:val="008727A1"/>
    <w:rsid w:val="008729CD"/>
    <w:rsid w:val="00872E98"/>
    <w:rsid w:val="0087347B"/>
    <w:rsid w:val="00873789"/>
    <w:rsid w:val="00873846"/>
    <w:rsid w:val="00873C0B"/>
    <w:rsid w:val="00873F8A"/>
    <w:rsid w:val="008743B0"/>
    <w:rsid w:val="008743C8"/>
    <w:rsid w:val="008747EB"/>
    <w:rsid w:val="00874BFC"/>
    <w:rsid w:val="008751E5"/>
    <w:rsid w:val="00875738"/>
    <w:rsid w:val="00875880"/>
    <w:rsid w:val="00875913"/>
    <w:rsid w:val="00875CEF"/>
    <w:rsid w:val="00876162"/>
    <w:rsid w:val="00876588"/>
    <w:rsid w:val="00876600"/>
    <w:rsid w:val="008766A6"/>
    <w:rsid w:val="00876815"/>
    <w:rsid w:val="008768EB"/>
    <w:rsid w:val="00876EEE"/>
    <w:rsid w:val="00876EF8"/>
    <w:rsid w:val="008775A2"/>
    <w:rsid w:val="00877A25"/>
    <w:rsid w:val="00877A9B"/>
    <w:rsid w:val="00877E29"/>
    <w:rsid w:val="008806DD"/>
    <w:rsid w:val="00880B6B"/>
    <w:rsid w:val="00880CFA"/>
    <w:rsid w:val="00880D85"/>
    <w:rsid w:val="008815A4"/>
    <w:rsid w:val="00881848"/>
    <w:rsid w:val="00881ABF"/>
    <w:rsid w:val="00881D57"/>
    <w:rsid w:val="00881F11"/>
    <w:rsid w:val="00882251"/>
    <w:rsid w:val="0088252E"/>
    <w:rsid w:val="00882674"/>
    <w:rsid w:val="00882833"/>
    <w:rsid w:val="00882AF3"/>
    <w:rsid w:val="00882C26"/>
    <w:rsid w:val="00882D5D"/>
    <w:rsid w:val="00883501"/>
    <w:rsid w:val="008835BC"/>
    <w:rsid w:val="008841C6"/>
    <w:rsid w:val="00884411"/>
    <w:rsid w:val="00884455"/>
    <w:rsid w:val="00884C4E"/>
    <w:rsid w:val="008851E1"/>
    <w:rsid w:val="0088533C"/>
    <w:rsid w:val="0088542F"/>
    <w:rsid w:val="0088559F"/>
    <w:rsid w:val="008856AA"/>
    <w:rsid w:val="008857FF"/>
    <w:rsid w:val="00885B16"/>
    <w:rsid w:val="00885C11"/>
    <w:rsid w:val="00885C37"/>
    <w:rsid w:val="00885E57"/>
    <w:rsid w:val="00885FC1"/>
    <w:rsid w:val="008862E7"/>
    <w:rsid w:val="00886BF1"/>
    <w:rsid w:val="00886D7A"/>
    <w:rsid w:val="00886FC3"/>
    <w:rsid w:val="0088706E"/>
    <w:rsid w:val="008879D7"/>
    <w:rsid w:val="00887E91"/>
    <w:rsid w:val="00890377"/>
    <w:rsid w:val="0089051F"/>
    <w:rsid w:val="0089070C"/>
    <w:rsid w:val="0089078B"/>
    <w:rsid w:val="008909FF"/>
    <w:rsid w:val="00890AD4"/>
    <w:rsid w:val="00890BDE"/>
    <w:rsid w:val="00890C01"/>
    <w:rsid w:val="00890E77"/>
    <w:rsid w:val="00890EC1"/>
    <w:rsid w:val="00891698"/>
    <w:rsid w:val="008916A7"/>
    <w:rsid w:val="00892373"/>
    <w:rsid w:val="008924B8"/>
    <w:rsid w:val="008924F9"/>
    <w:rsid w:val="008929F6"/>
    <w:rsid w:val="00892AC6"/>
    <w:rsid w:val="00892BDB"/>
    <w:rsid w:val="00892DDC"/>
    <w:rsid w:val="00892F52"/>
    <w:rsid w:val="00893225"/>
    <w:rsid w:val="0089331B"/>
    <w:rsid w:val="00893572"/>
    <w:rsid w:val="00893605"/>
    <w:rsid w:val="008939A6"/>
    <w:rsid w:val="00893B35"/>
    <w:rsid w:val="00893CCC"/>
    <w:rsid w:val="00893FA6"/>
    <w:rsid w:val="008940D6"/>
    <w:rsid w:val="00894521"/>
    <w:rsid w:val="00894798"/>
    <w:rsid w:val="0089497F"/>
    <w:rsid w:val="00894B8E"/>
    <w:rsid w:val="00894C97"/>
    <w:rsid w:val="008950C6"/>
    <w:rsid w:val="00895221"/>
    <w:rsid w:val="0089526F"/>
    <w:rsid w:val="00895279"/>
    <w:rsid w:val="00895636"/>
    <w:rsid w:val="008956D6"/>
    <w:rsid w:val="008958A7"/>
    <w:rsid w:val="00895948"/>
    <w:rsid w:val="00895B29"/>
    <w:rsid w:val="0089606E"/>
    <w:rsid w:val="00896526"/>
    <w:rsid w:val="00896870"/>
    <w:rsid w:val="00896A28"/>
    <w:rsid w:val="00896C64"/>
    <w:rsid w:val="0089721B"/>
    <w:rsid w:val="008975FD"/>
    <w:rsid w:val="00897849"/>
    <w:rsid w:val="00897CF7"/>
    <w:rsid w:val="00897FD4"/>
    <w:rsid w:val="008A0461"/>
    <w:rsid w:val="008A046F"/>
    <w:rsid w:val="008A04E6"/>
    <w:rsid w:val="008A099F"/>
    <w:rsid w:val="008A0A0E"/>
    <w:rsid w:val="008A10C3"/>
    <w:rsid w:val="008A1495"/>
    <w:rsid w:val="008A1775"/>
    <w:rsid w:val="008A190B"/>
    <w:rsid w:val="008A19E4"/>
    <w:rsid w:val="008A1E39"/>
    <w:rsid w:val="008A1E65"/>
    <w:rsid w:val="008A1EC2"/>
    <w:rsid w:val="008A1FB0"/>
    <w:rsid w:val="008A207D"/>
    <w:rsid w:val="008A20C8"/>
    <w:rsid w:val="008A260C"/>
    <w:rsid w:val="008A270D"/>
    <w:rsid w:val="008A27C6"/>
    <w:rsid w:val="008A299F"/>
    <w:rsid w:val="008A2BE6"/>
    <w:rsid w:val="008A2FAF"/>
    <w:rsid w:val="008A3304"/>
    <w:rsid w:val="008A3540"/>
    <w:rsid w:val="008A3822"/>
    <w:rsid w:val="008A393A"/>
    <w:rsid w:val="008A39EE"/>
    <w:rsid w:val="008A3E20"/>
    <w:rsid w:val="008A4063"/>
    <w:rsid w:val="008A4142"/>
    <w:rsid w:val="008A510C"/>
    <w:rsid w:val="008A5422"/>
    <w:rsid w:val="008A545D"/>
    <w:rsid w:val="008A58A2"/>
    <w:rsid w:val="008A5973"/>
    <w:rsid w:val="008A5C07"/>
    <w:rsid w:val="008A5EC6"/>
    <w:rsid w:val="008A62ED"/>
    <w:rsid w:val="008A6319"/>
    <w:rsid w:val="008A6CD7"/>
    <w:rsid w:val="008A6E72"/>
    <w:rsid w:val="008A7E9D"/>
    <w:rsid w:val="008B08DC"/>
    <w:rsid w:val="008B0BE5"/>
    <w:rsid w:val="008B0CDB"/>
    <w:rsid w:val="008B0D82"/>
    <w:rsid w:val="008B0D8B"/>
    <w:rsid w:val="008B1600"/>
    <w:rsid w:val="008B1719"/>
    <w:rsid w:val="008B19EC"/>
    <w:rsid w:val="008B1E2B"/>
    <w:rsid w:val="008B1FF8"/>
    <w:rsid w:val="008B2146"/>
    <w:rsid w:val="008B214D"/>
    <w:rsid w:val="008B2478"/>
    <w:rsid w:val="008B3059"/>
    <w:rsid w:val="008B3882"/>
    <w:rsid w:val="008B3A14"/>
    <w:rsid w:val="008B3D48"/>
    <w:rsid w:val="008B3D55"/>
    <w:rsid w:val="008B3E68"/>
    <w:rsid w:val="008B3E96"/>
    <w:rsid w:val="008B3ED9"/>
    <w:rsid w:val="008B3F03"/>
    <w:rsid w:val="008B3FCA"/>
    <w:rsid w:val="008B3FE8"/>
    <w:rsid w:val="008B41D5"/>
    <w:rsid w:val="008B422B"/>
    <w:rsid w:val="008B449C"/>
    <w:rsid w:val="008B4540"/>
    <w:rsid w:val="008B4633"/>
    <w:rsid w:val="008B480B"/>
    <w:rsid w:val="008B4D18"/>
    <w:rsid w:val="008B4EBD"/>
    <w:rsid w:val="008B5211"/>
    <w:rsid w:val="008B5463"/>
    <w:rsid w:val="008B54A9"/>
    <w:rsid w:val="008B56D1"/>
    <w:rsid w:val="008B5779"/>
    <w:rsid w:val="008B5FB8"/>
    <w:rsid w:val="008B60DE"/>
    <w:rsid w:val="008B6253"/>
    <w:rsid w:val="008B6291"/>
    <w:rsid w:val="008B63BB"/>
    <w:rsid w:val="008B6471"/>
    <w:rsid w:val="008B6D16"/>
    <w:rsid w:val="008B70CB"/>
    <w:rsid w:val="008B7214"/>
    <w:rsid w:val="008B78E5"/>
    <w:rsid w:val="008B7A32"/>
    <w:rsid w:val="008B7A8B"/>
    <w:rsid w:val="008B7B03"/>
    <w:rsid w:val="008B7BD1"/>
    <w:rsid w:val="008B7E44"/>
    <w:rsid w:val="008C00DE"/>
    <w:rsid w:val="008C04DB"/>
    <w:rsid w:val="008C06C0"/>
    <w:rsid w:val="008C0BA1"/>
    <w:rsid w:val="008C0FD0"/>
    <w:rsid w:val="008C1815"/>
    <w:rsid w:val="008C192F"/>
    <w:rsid w:val="008C1F75"/>
    <w:rsid w:val="008C25C9"/>
    <w:rsid w:val="008C290B"/>
    <w:rsid w:val="008C299A"/>
    <w:rsid w:val="008C2B93"/>
    <w:rsid w:val="008C2BE4"/>
    <w:rsid w:val="008C2E8D"/>
    <w:rsid w:val="008C2F79"/>
    <w:rsid w:val="008C3771"/>
    <w:rsid w:val="008C3834"/>
    <w:rsid w:val="008C3B05"/>
    <w:rsid w:val="008C4047"/>
    <w:rsid w:val="008C45FD"/>
    <w:rsid w:val="008C4843"/>
    <w:rsid w:val="008C4BA8"/>
    <w:rsid w:val="008C4C8B"/>
    <w:rsid w:val="008C5125"/>
    <w:rsid w:val="008C579E"/>
    <w:rsid w:val="008C5A22"/>
    <w:rsid w:val="008C6365"/>
    <w:rsid w:val="008C6DA0"/>
    <w:rsid w:val="008C720B"/>
    <w:rsid w:val="008C7697"/>
    <w:rsid w:val="008C7A30"/>
    <w:rsid w:val="008C7E50"/>
    <w:rsid w:val="008D032F"/>
    <w:rsid w:val="008D03EF"/>
    <w:rsid w:val="008D0548"/>
    <w:rsid w:val="008D0853"/>
    <w:rsid w:val="008D0A52"/>
    <w:rsid w:val="008D0B42"/>
    <w:rsid w:val="008D143E"/>
    <w:rsid w:val="008D14AD"/>
    <w:rsid w:val="008D15C4"/>
    <w:rsid w:val="008D1734"/>
    <w:rsid w:val="008D1843"/>
    <w:rsid w:val="008D18E2"/>
    <w:rsid w:val="008D1974"/>
    <w:rsid w:val="008D1E71"/>
    <w:rsid w:val="008D266F"/>
    <w:rsid w:val="008D2729"/>
    <w:rsid w:val="008D2847"/>
    <w:rsid w:val="008D2994"/>
    <w:rsid w:val="008D2A3A"/>
    <w:rsid w:val="008D2F93"/>
    <w:rsid w:val="008D3024"/>
    <w:rsid w:val="008D32A2"/>
    <w:rsid w:val="008D33F4"/>
    <w:rsid w:val="008D350C"/>
    <w:rsid w:val="008D355D"/>
    <w:rsid w:val="008D363B"/>
    <w:rsid w:val="008D3A8F"/>
    <w:rsid w:val="008D3C2B"/>
    <w:rsid w:val="008D3CF9"/>
    <w:rsid w:val="008D3F23"/>
    <w:rsid w:val="008D4220"/>
    <w:rsid w:val="008D429A"/>
    <w:rsid w:val="008D42A6"/>
    <w:rsid w:val="008D4AA0"/>
    <w:rsid w:val="008D4C59"/>
    <w:rsid w:val="008D55D5"/>
    <w:rsid w:val="008D596F"/>
    <w:rsid w:val="008D5A4E"/>
    <w:rsid w:val="008D5BC2"/>
    <w:rsid w:val="008D6173"/>
    <w:rsid w:val="008D6192"/>
    <w:rsid w:val="008D6CCC"/>
    <w:rsid w:val="008D6D7E"/>
    <w:rsid w:val="008D6F49"/>
    <w:rsid w:val="008D7167"/>
    <w:rsid w:val="008D743E"/>
    <w:rsid w:val="008D74CA"/>
    <w:rsid w:val="008D7FA3"/>
    <w:rsid w:val="008E02B3"/>
    <w:rsid w:val="008E03CB"/>
    <w:rsid w:val="008E03F6"/>
    <w:rsid w:val="008E0481"/>
    <w:rsid w:val="008E07E5"/>
    <w:rsid w:val="008E0C43"/>
    <w:rsid w:val="008E0FC7"/>
    <w:rsid w:val="008E11D4"/>
    <w:rsid w:val="008E138E"/>
    <w:rsid w:val="008E15D6"/>
    <w:rsid w:val="008E15D9"/>
    <w:rsid w:val="008E17DC"/>
    <w:rsid w:val="008E19EE"/>
    <w:rsid w:val="008E1BF8"/>
    <w:rsid w:val="008E1C03"/>
    <w:rsid w:val="008E20C4"/>
    <w:rsid w:val="008E221A"/>
    <w:rsid w:val="008E2842"/>
    <w:rsid w:val="008E3410"/>
    <w:rsid w:val="008E366C"/>
    <w:rsid w:val="008E38E3"/>
    <w:rsid w:val="008E3922"/>
    <w:rsid w:val="008E3A60"/>
    <w:rsid w:val="008E3AA4"/>
    <w:rsid w:val="008E3BF5"/>
    <w:rsid w:val="008E40D0"/>
    <w:rsid w:val="008E41EB"/>
    <w:rsid w:val="008E4C71"/>
    <w:rsid w:val="008E55B2"/>
    <w:rsid w:val="008E56A9"/>
    <w:rsid w:val="008E64C1"/>
    <w:rsid w:val="008E656C"/>
    <w:rsid w:val="008E67BA"/>
    <w:rsid w:val="008E67C3"/>
    <w:rsid w:val="008E6E09"/>
    <w:rsid w:val="008E6F86"/>
    <w:rsid w:val="008E6FF7"/>
    <w:rsid w:val="008E7312"/>
    <w:rsid w:val="008E73AE"/>
    <w:rsid w:val="008E76A2"/>
    <w:rsid w:val="008E7D96"/>
    <w:rsid w:val="008E7EFA"/>
    <w:rsid w:val="008F0156"/>
    <w:rsid w:val="008F04F1"/>
    <w:rsid w:val="008F0586"/>
    <w:rsid w:val="008F065B"/>
    <w:rsid w:val="008F0A0F"/>
    <w:rsid w:val="008F0C81"/>
    <w:rsid w:val="008F0CA0"/>
    <w:rsid w:val="008F0E6A"/>
    <w:rsid w:val="008F11D6"/>
    <w:rsid w:val="008F1328"/>
    <w:rsid w:val="008F18D3"/>
    <w:rsid w:val="008F19F4"/>
    <w:rsid w:val="008F1A2D"/>
    <w:rsid w:val="008F1A8C"/>
    <w:rsid w:val="008F1AD7"/>
    <w:rsid w:val="008F20EE"/>
    <w:rsid w:val="008F24C5"/>
    <w:rsid w:val="008F251F"/>
    <w:rsid w:val="008F254F"/>
    <w:rsid w:val="008F26D4"/>
    <w:rsid w:val="008F27A4"/>
    <w:rsid w:val="008F299A"/>
    <w:rsid w:val="008F2A8D"/>
    <w:rsid w:val="008F2DEF"/>
    <w:rsid w:val="008F2E24"/>
    <w:rsid w:val="008F2E71"/>
    <w:rsid w:val="008F30E1"/>
    <w:rsid w:val="008F31CB"/>
    <w:rsid w:val="008F3227"/>
    <w:rsid w:val="008F33C0"/>
    <w:rsid w:val="008F3532"/>
    <w:rsid w:val="008F36EF"/>
    <w:rsid w:val="008F3851"/>
    <w:rsid w:val="008F409C"/>
    <w:rsid w:val="008F4295"/>
    <w:rsid w:val="008F4527"/>
    <w:rsid w:val="008F4942"/>
    <w:rsid w:val="008F4B91"/>
    <w:rsid w:val="008F4DB4"/>
    <w:rsid w:val="008F4FCE"/>
    <w:rsid w:val="008F51F7"/>
    <w:rsid w:val="008F521B"/>
    <w:rsid w:val="008F52B6"/>
    <w:rsid w:val="008F530E"/>
    <w:rsid w:val="008F5A68"/>
    <w:rsid w:val="008F5C96"/>
    <w:rsid w:val="008F5FF8"/>
    <w:rsid w:val="008F60B4"/>
    <w:rsid w:val="008F63C6"/>
    <w:rsid w:val="008F6729"/>
    <w:rsid w:val="008F6A06"/>
    <w:rsid w:val="008F6A42"/>
    <w:rsid w:val="008F6A44"/>
    <w:rsid w:val="008F6F55"/>
    <w:rsid w:val="008F7296"/>
    <w:rsid w:val="008F7447"/>
    <w:rsid w:val="008F744D"/>
    <w:rsid w:val="008F74E1"/>
    <w:rsid w:val="008F76A5"/>
    <w:rsid w:val="009002A8"/>
    <w:rsid w:val="00900950"/>
    <w:rsid w:val="00900BFD"/>
    <w:rsid w:val="009011CF"/>
    <w:rsid w:val="0090120B"/>
    <w:rsid w:val="00901395"/>
    <w:rsid w:val="00901415"/>
    <w:rsid w:val="00901638"/>
    <w:rsid w:val="009016E0"/>
    <w:rsid w:val="009017A6"/>
    <w:rsid w:val="00901A47"/>
    <w:rsid w:val="00901BF7"/>
    <w:rsid w:val="00901E33"/>
    <w:rsid w:val="00902D27"/>
    <w:rsid w:val="00903085"/>
    <w:rsid w:val="009031AB"/>
    <w:rsid w:val="009032CF"/>
    <w:rsid w:val="009033F9"/>
    <w:rsid w:val="009035DA"/>
    <w:rsid w:val="009037C1"/>
    <w:rsid w:val="00904403"/>
    <w:rsid w:val="009044B4"/>
    <w:rsid w:val="00904F02"/>
    <w:rsid w:val="00904FC0"/>
    <w:rsid w:val="00905449"/>
    <w:rsid w:val="009057FB"/>
    <w:rsid w:val="0090584E"/>
    <w:rsid w:val="009058FE"/>
    <w:rsid w:val="009059FB"/>
    <w:rsid w:val="00905C86"/>
    <w:rsid w:val="00905F3B"/>
    <w:rsid w:val="00906007"/>
    <w:rsid w:val="0090613C"/>
    <w:rsid w:val="00906217"/>
    <w:rsid w:val="00906233"/>
    <w:rsid w:val="00906324"/>
    <w:rsid w:val="009063AC"/>
    <w:rsid w:val="00906574"/>
    <w:rsid w:val="009069EB"/>
    <w:rsid w:val="00906A1F"/>
    <w:rsid w:val="00906B08"/>
    <w:rsid w:val="00906F1E"/>
    <w:rsid w:val="009073F7"/>
    <w:rsid w:val="009076EA"/>
    <w:rsid w:val="009077E2"/>
    <w:rsid w:val="00907B82"/>
    <w:rsid w:val="0091008B"/>
    <w:rsid w:val="00910110"/>
    <w:rsid w:val="009101AD"/>
    <w:rsid w:val="0091037A"/>
    <w:rsid w:val="00910448"/>
    <w:rsid w:val="009106B7"/>
    <w:rsid w:val="0091072B"/>
    <w:rsid w:val="009110AA"/>
    <w:rsid w:val="009114BF"/>
    <w:rsid w:val="009114F6"/>
    <w:rsid w:val="009118AD"/>
    <w:rsid w:val="009119CB"/>
    <w:rsid w:val="00911A29"/>
    <w:rsid w:val="00911EEF"/>
    <w:rsid w:val="00912906"/>
    <w:rsid w:val="00912937"/>
    <w:rsid w:val="0091294B"/>
    <w:rsid w:val="009129E7"/>
    <w:rsid w:val="00912A77"/>
    <w:rsid w:val="00913198"/>
    <w:rsid w:val="0091337E"/>
    <w:rsid w:val="0091379A"/>
    <w:rsid w:val="009138CB"/>
    <w:rsid w:val="00913A16"/>
    <w:rsid w:val="00913C9F"/>
    <w:rsid w:val="00914570"/>
    <w:rsid w:val="009145C1"/>
    <w:rsid w:val="0091474D"/>
    <w:rsid w:val="009147F5"/>
    <w:rsid w:val="00914B7F"/>
    <w:rsid w:val="00914CAD"/>
    <w:rsid w:val="0091515E"/>
    <w:rsid w:val="009153C1"/>
    <w:rsid w:val="009154BD"/>
    <w:rsid w:val="0091561B"/>
    <w:rsid w:val="00915695"/>
    <w:rsid w:val="0091577F"/>
    <w:rsid w:val="0091588C"/>
    <w:rsid w:val="00915908"/>
    <w:rsid w:val="00915A01"/>
    <w:rsid w:val="0091601B"/>
    <w:rsid w:val="009160F9"/>
    <w:rsid w:val="0091626B"/>
    <w:rsid w:val="00916379"/>
    <w:rsid w:val="00916669"/>
    <w:rsid w:val="00916FB5"/>
    <w:rsid w:val="00917032"/>
    <w:rsid w:val="009176B6"/>
    <w:rsid w:val="0091782A"/>
    <w:rsid w:val="009179BE"/>
    <w:rsid w:val="00917BE1"/>
    <w:rsid w:val="009209B7"/>
    <w:rsid w:val="00920C03"/>
    <w:rsid w:val="00920C5C"/>
    <w:rsid w:val="00921574"/>
    <w:rsid w:val="009219C9"/>
    <w:rsid w:val="00922324"/>
    <w:rsid w:val="00922535"/>
    <w:rsid w:val="00922665"/>
    <w:rsid w:val="00922796"/>
    <w:rsid w:val="0092287A"/>
    <w:rsid w:val="00922B1C"/>
    <w:rsid w:val="00922C5A"/>
    <w:rsid w:val="00923143"/>
    <w:rsid w:val="009231A0"/>
    <w:rsid w:val="009232C5"/>
    <w:rsid w:val="009236E7"/>
    <w:rsid w:val="00923CD8"/>
    <w:rsid w:val="00923D56"/>
    <w:rsid w:val="009241A6"/>
    <w:rsid w:val="009241C3"/>
    <w:rsid w:val="009243B2"/>
    <w:rsid w:val="00924566"/>
    <w:rsid w:val="009248EB"/>
    <w:rsid w:val="00924A82"/>
    <w:rsid w:val="00924F5E"/>
    <w:rsid w:val="0092561F"/>
    <w:rsid w:val="00925E93"/>
    <w:rsid w:val="009261EE"/>
    <w:rsid w:val="00926710"/>
    <w:rsid w:val="00926BB1"/>
    <w:rsid w:val="00926BD3"/>
    <w:rsid w:val="00926D89"/>
    <w:rsid w:val="00926F30"/>
    <w:rsid w:val="00926F89"/>
    <w:rsid w:val="00927191"/>
    <w:rsid w:val="00927302"/>
    <w:rsid w:val="0092730B"/>
    <w:rsid w:val="00927408"/>
    <w:rsid w:val="009275E4"/>
    <w:rsid w:val="00927B24"/>
    <w:rsid w:val="00927C6B"/>
    <w:rsid w:val="00927C8D"/>
    <w:rsid w:val="00927F42"/>
    <w:rsid w:val="00930274"/>
    <w:rsid w:val="009308A5"/>
    <w:rsid w:val="009308AA"/>
    <w:rsid w:val="00930E85"/>
    <w:rsid w:val="0093118A"/>
    <w:rsid w:val="00931305"/>
    <w:rsid w:val="009316CB"/>
    <w:rsid w:val="0093188F"/>
    <w:rsid w:val="009319A4"/>
    <w:rsid w:val="00931A59"/>
    <w:rsid w:val="00931C1A"/>
    <w:rsid w:val="0093238A"/>
    <w:rsid w:val="0093246E"/>
    <w:rsid w:val="0093270A"/>
    <w:rsid w:val="00932731"/>
    <w:rsid w:val="00932B3C"/>
    <w:rsid w:val="00932C4C"/>
    <w:rsid w:val="00932F15"/>
    <w:rsid w:val="00933166"/>
    <w:rsid w:val="009331A1"/>
    <w:rsid w:val="00933293"/>
    <w:rsid w:val="00933315"/>
    <w:rsid w:val="009335A3"/>
    <w:rsid w:val="00934017"/>
    <w:rsid w:val="00934052"/>
    <w:rsid w:val="00934125"/>
    <w:rsid w:val="00934711"/>
    <w:rsid w:val="00934C8D"/>
    <w:rsid w:val="00934EEE"/>
    <w:rsid w:val="0093524A"/>
    <w:rsid w:val="009355F1"/>
    <w:rsid w:val="00935F1E"/>
    <w:rsid w:val="009360D3"/>
    <w:rsid w:val="0093611A"/>
    <w:rsid w:val="009363EE"/>
    <w:rsid w:val="00936402"/>
    <w:rsid w:val="009365B6"/>
    <w:rsid w:val="009366CB"/>
    <w:rsid w:val="009368CD"/>
    <w:rsid w:val="00936C62"/>
    <w:rsid w:val="00936DC8"/>
    <w:rsid w:val="00936F46"/>
    <w:rsid w:val="0093716B"/>
    <w:rsid w:val="00937709"/>
    <w:rsid w:val="009378C1"/>
    <w:rsid w:val="0093793C"/>
    <w:rsid w:val="00937C1A"/>
    <w:rsid w:val="00937C49"/>
    <w:rsid w:val="00937D87"/>
    <w:rsid w:val="00937D9A"/>
    <w:rsid w:val="00937E9A"/>
    <w:rsid w:val="00940098"/>
    <w:rsid w:val="009400D7"/>
    <w:rsid w:val="00940BFB"/>
    <w:rsid w:val="00941057"/>
    <w:rsid w:val="009411C8"/>
    <w:rsid w:val="0094127E"/>
    <w:rsid w:val="00941655"/>
    <w:rsid w:val="00941698"/>
    <w:rsid w:val="00941BD5"/>
    <w:rsid w:val="00942119"/>
    <w:rsid w:val="00942363"/>
    <w:rsid w:val="009423F8"/>
    <w:rsid w:val="00942589"/>
    <w:rsid w:val="009425E2"/>
    <w:rsid w:val="009426FD"/>
    <w:rsid w:val="00942CF7"/>
    <w:rsid w:val="00942EFC"/>
    <w:rsid w:val="00942F7F"/>
    <w:rsid w:val="00943279"/>
    <w:rsid w:val="009436C5"/>
    <w:rsid w:val="009437A8"/>
    <w:rsid w:val="0094380B"/>
    <w:rsid w:val="00943891"/>
    <w:rsid w:val="00943C68"/>
    <w:rsid w:val="0094412F"/>
    <w:rsid w:val="00944560"/>
    <w:rsid w:val="00944A6E"/>
    <w:rsid w:val="00944B20"/>
    <w:rsid w:val="00944C1D"/>
    <w:rsid w:val="00944D9B"/>
    <w:rsid w:val="00944DBE"/>
    <w:rsid w:val="00944EBD"/>
    <w:rsid w:val="00945042"/>
    <w:rsid w:val="009450CE"/>
    <w:rsid w:val="0094551E"/>
    <w:rsid w:val="009456DC"/>
    <w:rsid w:val="009463A2"/>
    <w:rsid w:val="009463E7"/>
    <w:rsid w:val="00946628"/>
    <w:rsid w:val="0094679B"/>
    <w:rsid w:val="00946821"/>
    <w:rsid w:val="00946C80"/>
    <w:rsid w:val="00946CF5"/>
    <w:rsid w:val="00947803"/>
    <w:rsid w:val="00950700"/>
    <w:rsid w:val="00950829"/>
    <w:rsid w:val="00950A26"/>
    <w:rsid w:val="00950B9B"/>
    <w:rsid w:val="00951198"/>
    <w:rsid w:val="00951230"/>
    <w:rsid w:val="009516BD"/>
    <w:rsid w:val="00952429"/>
    <w:rsid w:val="0095247C"/>
    <w:rsid w:val="009524FF"/>
    <w:rsid w:val="00952632"/>
    <w:rsid w:val="009526C1"/>
    <w:rsid w:val="009526C4"/>
    <w:rsid w:val="00952A81"/>
    <w:rsid w:val="00952E22"/>
    <w:rsid w:val="0095301E"/>
    <w:rsid w:val="00953109"/>
    <w:rsid w:val="0095362D"/>
    <w:rsid w:val="009537C9"/>
    <w:rsid w:val="00953F1C"/>
    <w:rsid w:val="009545B9"/>
    <w:rsid w:val="00954753"/>
    <w:rsid w:val="0095483D"/>
    <w:rsid w:val="0095495B"/>
    <w:rsid w:val="00954C6E"/>
    <w:rsid w:val="00955B01"/>
    <w:rsid w:val="00955B25"/>
    <w:rsid w:val="00955D92"/>
    <w:rsid w:val="0095622D"/>
    <w:rsid w:val="0095638A"/>
    <w:rsid w:val="00956417"/>
    <w:rsid w:val="00956B9D"/>
    <w:rsid w:val="00956C68"/>
    <w:rsid w:val="00956D32"/>
    <w:rsid w:val="00956E39"/>
    <w:rsid w:val="00956F6E"/>
    <w:rsid w:val="009570A3"/>
    <w:rsid w:val="009570DD"/>
    <w:rsid w:val="009572F2"/>
    <w:rsid w:val="009573F9"/>
    <w:rsid w:val="009574A1"/>
    <w:rsid w:val="009575D5"/>
    <w:rsid w:val="00957972"/>
    <w:rsid w:val="00957CA1"/>
    <w:rsid w:val="00957FA5"/>
    <w:rsid w:val="0096023D"/>
    <w:rsid w:val="009604E3"/>
    <w:rsid w:val="00960780"/>
    <w:rsid w:val="009608D4"/>
    <w:rsid w:val="009609D6"/>
    <w:rsid w:val="00960A5D"/>
    <w:rsid w:val="00960D5E"/>
    <w:rsid w:val="00960D9D"/>
    <w:rsid w:val="00960F7E"/>
    <w:rsid w:val="00961A20"/>
    <w:rsid w:val="00961EBF"/>
    <w:rsid w:val="00962026"/>
    <w:rsid w:val="00962366"/>
    <w:rsid w:val="009624B2"/>
    <w:rsid w:val="009626EC"/>
    <w:rsid w:val="009628D5"/>
    <w:rsid w:val="00962B3C"/>
    <w:rsid w:val="00962B49"/>
    <w:rsid w:val="00963063"/>
    <w:rsid w:val="0096353C"/>
    <w:rsid w:val="00963591"/>
    <w:rsid w:val="00963F82"/>
    <w:rsid w:val="00963FAE"/>
    <w:rsid w:val="00964155"/>
    <w:rsid w:val="00964168"/>
    <w:rsid w:val="00964324"/>
    <w:rsid w:val="00964646"/>
    <w:rsid w:val="009646E6"/>
    <w:rsid w:val="009648AB"/>
    <w:rsid w:val="00964DC1"/>
    <w:rsid w:val="00964E71"/>
    <w:rsid w:val="00964FA8"/>
    <w:rsid w:val="0096500B"/>
    <w:rsid w:val="0096509E"/>
    <w:rsid w:val="0096512A"/>
    <w:rsid w:val="009654BE"/>
    <w:rsid w:val="0096554F"/>
    <w:rsid w:val="009656C8"/>
    <w:rsid w:val="00965B0B"/>
    <w:rsid w:val="00965DB7"/>
    <w:rsid w:val="00965F57"/>
    <w:rsid w:val="0096612E"/>
    <w:rsid w:val="009661B2"/>
    <w:rsid w:val="0096628A"/>
    <w:rsid w:val="00966460"/>
    <w:rsid w:val="009669A0"/>
    <w:rsid w:val="009669F2"/>
    <w:rsid w:val="00966FCD"/>
    <w:rsid w:val="00967368"/>
    <w:rsid w:val="00967482"/>
    <w:rsid w:val="00967537"/>
    <w:rsid w:val="009675F5"/>
    <w:rsid w:val="009677AA"/>
    <w:rsid w:val="00967D69"/>
    <w:rsid w:val="00967DA7"/>
    <w:rsid w:val="00967F96"/>
    <w:rsid w:val="00967F9A"/>
    <w:rsid w:val="00967FD9"/>
    <w:rsid w:val="00970278"/>
    <w:rsid w:val="0097050C"/>
    <w:rsid w:val="009705D2"/>
    <w:rsid w:val="00970717"/>
    <w:rsid w:val="009710B6"/>
    <w:rsid w:val="00971224"/>
    <w:rsid w:val="0097157E"/>
    <w:rsid w:val="00971780"/>
    <w:rsid w:val="00971C2E"/>
    <w:rsid w:val="00971D0E"/>
    <w:rsid w:val="00971D97"/>
    <w:rsid w:val="00972833"/>
    <w:rsid w:val="0097354D"/>
    <w:rsid w:val="009737D3"/>
    <w:rsid w:val="009738ED"/>
    <w:rsid w:val="0097397C"/>
    <w:rsid w:val="00973C18"/>
    <w:rsid w:val="00973C77"/>
    <w:rsid w:val="00973EAF"/>
    <w:rsid w:val="00973F8E"/>
    <w:rsid w:val="00973FA4"/>
    <w:rsid w:val="00974523"/>
    <w:rsid w:val="009748C3"/>
    <w:rsid w:val="00974A65"/>
    <w:rsid w:val="00974ADF"/>
    <w:rsid w:val="00975622"/>
    <w:rsid w:val="00975748"/>
    <w:rsid w:val="00975823"/>
    <w:rsid w:val="009758E5"/>
    <w:rsid w:val="00975CA2"/>
    <w:rsid w:val="00976076"/>
    <w:rsid w:val="009768C7"/>
    <w:rsid w:val="00976B24"/>
    <w:rsid w:val="00976C25"/>
    <w:rsid w:val="00976E18"/>
    <w:rsid w:val="00976E2C"/>
    <w:rsid w:val="0097705D"/>
    <w:rsid w:val="009770D7"/>
    <w:rsid w:val="009771C5"/>
    <w:rsid w:val="00977598"/>
    <w:rsid w:val="009779AF"/>
    <w:rsid w:val="00977A1D"/>
    <w:rsid w:val="00977FC1"/>
    <w:rsid w:val="009801CF"/>
    <w:rsid w:val="00980608"/>
    <w:rsid w:val="0098087C"/>
    <w:rsid w:val="00980885"/>
    <w:rsid w:val="009809EA"/>
    <w:rsid w:val="009811E6"/>
    <w:rsid w:val="0098173F"/>
    <w:rsid w:val="009818E9"/>
    <w:rsid w:val="00981E71"/>
    <w:rsid w:val="009821B8"/>
    <w:rsid w:val="009821EA"/>
    <w:rsid w:val="0098231D"/>
    <w:rsid w:val="0098267D"/>
    <w:rsid w:val="00982F41"/>
    <w:rsid w:val="009831FA"/>
    <w:rsid w:val="0098329F"/>
    <w:rsid w:val="009832CB"/>
    <w:rsid w:val="0098363C"/>
    <w:rsid w:val="0098441F"/>
    <w:rsid w:val="0098478E"/>
    <w:rsid w:val="00984861"/>
    <w:rsid w:val="009849F2"/>
    <w:rsid w:val="00984C32"/>
    <w:rsid w:val="009855AE"/>
    <w:rsid w:val="00985931"/>
    <w:rsid w:val="0098593C"/>
    <w:rsid w:val="00985986"/>
    <w:rsid w:val="00985A55"/>
    <w:rsid w:val="00985C32"/>
    <w:rsid w:val="00985EB8"/>
    <w:rsid w:val="00986207"/>
    <w:rsid w:val="009869C4"/>
    <w:rsid w:val="00986B0B"/>
    <w:rsid w:val="00986B6B"/>
    <w:rsid w:val="00986FB8"/>
    <w:rsid w:val="00987003"/>
    <w:rsid w:val="00987139"/>
    <w:rsid w:val="00987765"/>
    <w:rsid w:val="00987B69"/>
    <w:rsid w:val="00987D66"/>
    <w:rsid w:val="00987DFB"/>
    <w:rsid w:val="00987EE4"/>
    <w:rsid w:val="00990001"/>
    <w:rsid w:val="00990187"/>
    <w:rsid w:val="009905C9"/>
    <w:rsid w:val="009905CE"/>
    <w:rsid w:val="0099065F"/>
    <w:rsid w:val="0099086A"/>
    <w:rsid w:val="00990E19"/>
    <w:rsid w:val="00990F1E"/>
    <w:rsid w:val="0099102E"/>
    <w:rsid w:val="00991128"/>
    <w:rsid w:val="00991512"/>
    <w:rsid w:val="009917E0"/>
    <w:rsid w:val="0099197E"/>
    <w:rsid w:val="00991DAA"/>
    <w:rsid w:val="00991EDD"/>
    <w:rsid w:val="00991F43"/>
    <w:rsid w:val="00992A11"/>
    <w:rsid w:val="00992B08"/>
    <w:rsid w:val="00992BC7"/>
    <w:rsid w:val="00992D9E"/>
    <w:rsid w:val="00992DB9"/>
    <w:rsid w:val="00993204"/>
    <w:rsid w:val="0099330F"/>
    <w:rsid w:val="009936D0"/>
    <w:rsid w:val="009937EB"/>
    <w:rsid w:val="00993CAA"/>
    <w:rsid w:val="00993D73"/>
    <w:rsid w:val="0099401A"/>
    <w:rsid w:val="009942DA"/>
    <w:rsid w:val="00994509"/>
    <w:rsid w:val="0099472F"/>
    <w:rsid w:val="00994A3D"/>
    <w:rsid w:val="00994CD8"/>
    <w:rsid w:val="00994FA7"/>
    <w:rsid w:val="0099502A"/>
    <w:rsid w:val="00995036"/>
    <w:rsid w:val="00995325"/>
    <w:rsid w:val="0099572B"/>
    <w:rsid w:val="00995741"/>
    <w:rsid w:val="009958EA"/>
    <w:rsid w:val="00995BE6"/>
    <w:rsid w:val="00996072"/>
    <w:rsid w:val="0099620F"/>
    <w:rsid w:val="00996437"/>
    <w:rsid w:val="00996E40"/>
    <w:rsid w:val="00996EA0"/>
    <w:rsid w:val="00997213"/>
    <w:rsid w:val="00997316"/>
    <w:rsid w:val="009A011D"/>
    <w:rsid w:val="009A0224"/>
    <w:rsid w:val="009A0A4B"/>
    <w:rsid w:val="009A0B0C"/>
    <w:rsid w:val="009A0B33"/>
    <w:rsid w:val="009A0B48"/>
    <w:rsid w:val="009A0DE1"/>
    <w:rsid w:val="009A102B"/>
    <w:rsid w:val="009A135B"/>
    <w:rsid w:val="009A177A"/>
    <w:rsid w:val="009A1A12"/>
    <w:rsid w:val="009A1ACB"/>
    <w:rsid w:val="009A21A8"/>
    <w:rsid w:val="009A2818"/>
    <w:rsid w:val="009A289A"/>
    <w:rsid w:val="009A2AB1"/>
    <w:rsid w:val="009A2B63"/>
    <w:rsid w:val="009A2E1F"/>
    <w:rsid w:val="009A2EBD"/>
    <w:rsid w:val="009A30EC"/>
    <w:rsid w:val="009A3666"/>
    <w:rsid w:val="009A3767"/>
    <w:rsid w:val="009A37E5"/>
    <w:rsid w:val="009A4223"/>
    <w:rsid w:val="009A46AE"/>
    <w:rsid w:val="009A47D8"/>
    <w:rsid w:val="009A4982"/>
    <w:rsid w:val="009A4A2E"/>
    <w:rsid w:val="009A4C3D"/>
    <w:rsid w:val="009A4C60"/>
    <w:rsid w:val="009A57C2"/>
    <w:rsid w:val="009A59C9"/>
    <w:rsid w:val="009A5CDE"/>
    <w:rsid w:val="009A61CF"/>
    <w:rsid w:val="009A65D7"/>
    <w:rsid w:val="009A68B3"/>
    <w:rsid w:val="009A6DA2"/>
    <w:rsid w:val="009A7168"/>
    <w:rsid w:val="009A71FE"/>
    <w:rsid w:val="009A74C9"/>
    <w:rsid w:val="009A74E9"/>
    <w:rsid w:val="009A7B61"/>
    <w:rsid w:val="009A7B7D"/>
    <w:rsid w:val="009A7C94"/>
    <w:rsid w:val="009A7FE2"/>
    <w:rsid w:val="009B0414"/>
    <w:rsid w:val="009B0594"/>
    <w:rsid w:val="009B05FA"/>
    <w:rsid w:val="009B06B8"/>
    <w:rsid w:val="009B0CE0"/>
    <w:rsid w:val="009B0E42"/>
    <w:rsid w:val="009B138C"/>
    <w:rsid w:val="009B139A"/>
    <w:rsid w:val="009B162D"/>
    <w:rsid w:val="009B1810"/>
    <w:rsid w:val="009B1BD6"/>
    <w:rsid w:val="009B1E76"/>
    <w:rsid w:val="009B1FE3"/>
    <w:rsid w:val="009B201B"/>
    <w:rsid w:val="009B2506"/>
    <w:rsid w:val="009B29A8"/>
    <w:rsid w:val="009B2C38"/>
    <w:rsid w:val="009B3111"/>
    <w:rsid w:val="009B340D"/>
    <w:rsid w:val="009B344B"/>
    <w:rsid w:val="009B34F5"/>
    <w:rsid w:val="009B3507"/>
    <w:rsid w:val="009B3510"/>
    <w:rsid w:val="009B394E"/>
    <w:rsid w:val="009B398E"/>
    <w:rsid w:val="009B39AB"/>
    <w:rsid w:val="009B39F9"/>
    <w:rsid w:val="009B3A3C"/>
    <w:rsid w:val="009B3D56"/>
    <w:rsid w:val="009B3ECF"/>
    <w:rsid w:val="009B41E7"/>
    <w:rsid w:val="009B4FD3"/>
    <w:rsid w:val="009B50C8"/>
    <w:rsid w:val="009B539B"/>
    <w:rsid w:val="009B55F7"/>
    <w:rsid w:val="009B5729"/>
    <w:rsid w:val="009B5D6F"/>
    <w:rsid w:val="009B5F23"/>
    <w:rsid w:val="009B5F4E"/>
    <w:rsid w:val="009B638C"/>
    <w:rsid w:val="009B670B"/>
    <w:rsid w:val="009B6758"/>
    <w:rsid w:val="009B6809"/>
    <w:rsid w:val="009B6882"/>
    <w:rsid w:val="009B688E"/>
    <w:rsid w:val="009B69A0"/>
    <w:rsid w:val="009B6B60"/>
    <w:rsid w:val="009B6C2A"/>
    <w:rsid w:val="009B71CE"/>
    <w:rsid w:val="009B7518"/>
    <w:rsid w:val="009B75E0"/>
    <w:rsid w:val="009B7673"/>
    <w:rsid w:val="009B772E"/>
    <w:rsid w:val="009B7BC1"/>
    <w:rsid w:val="009B7DBB"/>
    <w:rsid w:val="009C00BF"/>
    <w:rsid w:val="009C03F2"/>
    <w:rsid w:val="009C0D0D"/>
    <w:rsid w:val="009C0DB8"/>
    <w:rsid w:val="009C1013"/>
    <w:rsid w:val="009C11F8"/>
    <w:rsid w:val="009C1238"/>
    <w:rsid w:val="009C129A"/>
    <w:rsid w:val="009C139D"/>
    <w:rsid w:val="009C1883"/>
    <w:rsid w:val="009C19B1"/>
    <w:rsid w:val="009C2116"/>
    <w:rsid w:val="009C2188"/>
    <w:rsid w:val="009C25DE"/>
    <w:rsid w:val="009C29F7"/>
    <w:rsid w:val="009C2A1F"/>
    <w:rsid w:val="009C33CC"/>
    <w:rsid w:val="009C3932"/>
    <w:rsid w:val="009C3CE4"/>
    <w:rsid w:val="009C43A0"/>
    <w:rsid w:val="009C4565"/>
    <w:rsid w:val="009C49B5"/>
    <w:rsid w:val="009C4BF9"/>
    <w:rsid w:val="009C53E6"/>
    <w:rsid w:val="009C5870"/>
    <w:rsid w:val="009C58E8"/>
    <w:rsid w:val="009C5EC1"/>
    <w:rsid w:val="009C6336"/>
    <w:rsid w:val="009C649E"/>
    <w:rsid w:val="009C69D6"/>
    <w:rsid w:val="009C6D61"/>
    <w:rsid w:val="009C6FC6"/>
    <w:rsid w:val="009C722C"/>
    <w:rsid w:val="009C7C57"/>
    <w:rsid w:val="009C7EFA"/>
    <w:rsid w:val="009C7F7F"/>
    <w:rsid w:val="009CB5A9"/>
    <w:rsid w:val="009D01DB"/>
    <w:rsid w:val="009D0551"/>
    <w:rsid w:val="009D06AE"/>
    <w:rsid w:val="009D08EF"/>
    <w:rsid w:val="009D0B37"/>
    <w:rsid w:val="009D0C05"/>
    <w:rsid w:val="009D0D19"/>
    <w:rsid w:val="009D0F7B"/>
    <w:rsid w:val="009D1675"/>
    <w:rsid w:val="009D182A"/>
    <w:rsid w:val="009D1AE4"/>
    <w:rsid w:val="009D1E04"/>
    <w:rsid w:val="009D20AE"/>
    <w:rsid w:val="009D2129"/>
    <w:rsid w:val="009D2254"/>
    <w:rsid w:val="009D2806"/>
    <w:rsid w:val="009D298C"/>
    <w:rsid w:val="009D2C2D"/>
    <w:rsid w:val="009D2C3C"/>
    <w:rsid w:val="009D2E19"/>
    <w:rsid w:val="009D2E8C"/>
    <w:rsid w:val="009D3328"/>
    <w:rsid w:val="009D3382"/>
    <w:rsid w:val="009D3548"/>
    <w:rsid w:val="009D3587"/>
    <w:rsid w:val="009D3814"/>
    <w:rsid w:val="009D3CB1"/>
    <w:rsid w:val="009D3D7D"/>
    <w:rsid w:val="009D3E87"/>
    <w:rsid w:val="009D4091"/>
    <w:rsid w:val="009D4512"/>
    <w:rsid w:val="009D488C"/>
    <w:rsid w:val="009D4894"/>
    <w:rsid w:val="009D4AB6"/>
    <w:rsid w:val="009D4AF1"/>
    <w:rsid w:val="009D4B7B"/>
    <w:rsid w:val="009D4BAE"/>
    <w:rsid w:val="009D4C70"/>
    <w:rsid w:val="009D4F97"/>
    <w:rsid w:val="009D501C"/>
    <w:rsid w:val="009D55C6"/>
    <w:rsid w:val="009D580C"/>
    <w:rsid w:val="009D5EE6"/>
    <w:rsid w:val="009D630D"/>
    <w:rsid w:val="009D6442"/>
    <w:rsid w:val="009D658D"/>
    <w:rsid w:val="009D6780"/>
    <w:rsid w:val="009D6803"/>
    <w:rsid w:val="009D6D2F"/>
    <w:rsid w:val="009D6DA2"/>
    <w:rsid w:val="009D6DA6"/>
    <w:rsid w:val="009D6E71"/>
    <w:rsid w:val="009D6F63"/>
    <w:rsid w:val="009D6FC2"/>
    <w:rsid w:val="009D7104"/>
    <w:rsid w:val="009D7401"/>
    <w:rsid w:val="009D740F"/>
    <w:rsid w:val="009D75B2"/>
    <w:rsid w:val="009D78A4"/>
    <w:rsid w:val="009D795A"/>
    <w:rsid w:val="009D7C69"/>
    <w:rsid w:val="009D7F5B"/>
    <w:rsid w:val="009D7FAF"/>
    <w:rsid w:val="009E0004"/>
    <w:rsid w:val="009E0042"/>
    <w:rsid w:val="009E01A1"/>
    <w:rsid w:val="009E02E8"/>
    <w:rsid w:val="009E04DD"/>
    <w:rsid w:val="009E0746"/>
    <w:rsid w:val="009E0771"/>
    <w:rsid w:val="009E0784"/>
    <w:rsid w:val="009E0896"/>
    <w:rsid w:val="009E0CF2"/>
    <w:rsid w:val="009E10DE"/>
    <w:rsid w:val="009E116E"/>
    <w:rsid w:val="009E1509"/>
    <w:rsid w:val="009E1783"/>
    <w:rsid w:val="009E187B"/>
    <w:rsid w:val="009E197F"/>
    <w:rsid w:val="009E1D25"/>
    <w:rsid w:val="009E23CD"/>
    <w:rsid w:val="009E2473"/>
    <w:rsid w:val="009E2805"/>
    <w:rsid w:val="009E2935"/>
    <w:rsid w:val="009E2C64"/>
    <w:rsid w:val="009E301C"/>
    <w:rsid w:val="009E327B"/>
    <w:rsid w:val="009E33EC"/>
    <w:rsid w:val="009E3602"/>
    <w:rsid w:val="009E3651"/>
    <w:rsid w:val="009E3AC7"/>
    <w:rsid w:val="009E3C82"/>
    <w:rsid w:val="009E3CD1"/>
    <w:rsid w:val="009E425F"/>
    <w:rsid w:val="009E4A8C"/>
    <w:rsid w:val="009E4AEF"/>
    <w:rsid w:val="009E5D19"/>
    <w:rsid w:val="009E5D69"/>
    <w:rsid w:val="009E5D75"/>
    <w:rsid w:val="009E5FE4"/>
    <w:rsid w:val="009E6105"/>
    <w:rsid w:val="009E61A1"/>
    <w:rsid w:val="009E61B1"/>
    <w:rsid w:val="009E62E1"/>
    <w:rsid w:val="009E65CC"/>
    <w:rsid w:val="009E65F6"/>
    <w:rsid w:val="009E66CF"/>
    <w:rsid w:val="009E6CE6"/>
    <w:rsid w:val="009E6F89"/>
    <w:rsid w:val="009E71B3"/>
    <w:rsid w:val="009E72A4"/>
    <w:rsid w:val="009E73FC"/>
    <w:rsid w:val="009E742A"/>
    <w:rsid w:val="009E7652"/>
    <w:rsid w:val="009E799B"/>
    <w:rsid w:val="009E7B24"/>
    <w:rsid w:val="009E7BDA"/>
    <w:rsid w:val="009E7C33"/>
    <w:rsid w:val="009E7CC0"/>
    <w:rsid w:val="009F018E"/>
    <w:rsid w:val="009F068B"/>
    <w:rsid w:val="009F084D"/>
    <w:rsid w:val="009F0A79"/>
    <w:rsid w:val="009F0DC9"/>
    <w:rsid w:val="009F106A"/>
    <w:rsid w:val="009F10EC"/>
    <w:rsid w:val="009F133F"/>
    <w:rsid w:val="009F15AC"/>
    <w:rsid w:val="009F1A66"/>
    <w:rsid w:val="009F1CED"/>
    <w:rsid w:val="009F1FE8"/>
    <w:rsid w:val="009F2582"/>
    <w:rsid w:val="009F2846"/>
    <w:rsid w:val="009F2A80"/>
    <w:rsid w:val="009F2AD8"/>
    <w:rsid w:val="009F2B5C"/>
    <w:rsid w:val="009F31FF"/>
    <w:rsid w:val="009F33F8"/>
    <w:rsid w:val="009F35DC"/>
    <w:rsid w:val="009F3996"/>
    <w:rsid w:val="009F3CA7"/>
    <w:rsid w:val="009F4041"/>
    <w:rsid w:val="009F40B2"/>
    <w:rsid w:val="009F460F"/>
    <w:rsid w:val="009F46DE"/>
    <w:rsid w:val="009F4EDA"/>
    <w:rsid w:val="009F53CE"/>
    <w:rsid w:val="009F53FF"/>
    <w:rsid w:val="009F56B6"/>
    <w:rsid w:val="009F5821"/>
    <w:rsid w:val="009F5997"/>
    <w:rsid w:val="009F5C37"/>
    <w:rsid w:val="009F5D71"/>
    <w:rsid w:val="009F5FAF"/>
    <w:rsid w:val="009F62A0"/>
    <w:rsid w:val="009F6386"/>
    <w:rsid w:val="009F66ED"/>
    <w:rsid w:val="009F67CC"/>
    <w:rsid w:val="009F68C6"/>
    <w:rsid w:val="009F697F"/>
    <w:rsid w:val="009F6A35"/>
    <w:rsid w:val="009F6BB7"/>
    <w:rsid w:val="009F6DD9"/>
    <w:rsid w:val="009F6E74"/>
    <w:rsid w:val="009F7291"/>
    <w:rsid w:val="009F78F6"/>
    <w:rsid w:val="009F7AC7"/>
    <w:rsid w:val="009F7BD3"/>
    <w:rsid w:val="009F7CC0"/>
    <w:rsid w:val="009F7DEE"/>
    <w:rsid w:val="00A001EA"/>
    <w:rsid w:val="00A00889"/>
    <w:rsid w:val="00A00C53"/>
    <w:rsid w:val="00A00EA8"/>
    <w:rsid w:val="00A00EC5"/>
    <w:rsid w:val="00A01158"/>
    <w:rsid w:val="00A012FB"/>
    <w:rsid w:val="00A016E6"/>
    <w:rsid w:val="00A01749"/>
    <w:rsid w:val="00A01A83"/>
    <w:rsid w:val="00A01CED"/>
    <w:rsid w:val="00A01E37"/>
    <w:rsid w:val="00A01E90"/>
    <w:rsid w:val="00A0200F"/>
    <w:rsid w:val="00A0295E"/>
    <w:rsid w:val="00A02BB3"/>
    <w:rsid w:val="00A03186"/>
    <w:rsid w:val="00A0338D"/>
    <w:rsid w:val="00A03FDB"/>
    <w:rsid w:val="00A0447E"/>
    <w:rsid w:val="00A04882"/>
    <w:rsid w:val="00A049D6"/>
    <w:rsid w:val="00A04A79"/>
    <w:rsid w:val="00A04B46"/>
    <w:rsid w:val="00A051CB"/>
    <w:rsid w:val="00A052E9"/>
    <w:rsid w:val="00A060EE"/>
    <w:rsid w:val="00A06328"/>
    <w:rsid w:val="00A06BF3"/>
    <w:rsid w:val="00A06C5B"/>
    <w:rsid w:val="00A06F3B"/>
    <w:rsid w:val="00A071DF"/>
    <w:rsid w:val="00A0738A"/>
    <w:rsid w:val="00A0739B"/>
    <w:rsid w:val="00A0744B"/>
    <w:rsid w:val="00A07481"/>
    <w:rsid w:val="00A076EA"/>
    <w:rsid w:val="00A07B34"/>
    <w:rsid w:val="00A07C20"/>
    <w:rsid w:val="00A07F6C"/>
    <w:rsid w:val="00A1052D"/>
    <w:rsid w:val="00A1054F"/>
    <w:rsid w:val="00A10861"/>
    <w:rsid w:val="00A109A7"/>
    <w:rsid w:val="00A10C90"/>
    <w:rsid w:val="00A10FF0"/>
    <w:rsid w:val="00A11869"/>
    <w:rsid w:val="00A11996"/>
    <w:rsid w:val="00A11E9E"/>
    <w:rsid w:val="00A11ED6"/>
    <w:rsid w:val="00A11FD5"/>
    <w:rsid w:val="00A120D2"/>
    <w:rsid w:val="00A123CE"/>
    <w:rsid w:val="00A1244D"/>
    <w:rsid w:val="00A12660"/>
    <w:rsid w:val="00A12733"/>
    <w:rsid w:val="00A1276D"/>
    <w:rsid w:val="00A12DC4"/>
    <w:rsid w:val="00A12EB1"/>
    <w:rsid w:val="00A135A0"/>
    <w:rsid w:val="00A13650"/>
    <w:rsid w:val="00A139B4"/>
    <w:rsid w:val="00A13C18"/>
    <w:rsid w:val="00A13CC0"/>
    <w:rsid w:val="00A141AF"/>
    <w:rsid w:val="00A1477C"/>
    <w:rsid w:val="00A149D9"/>
    <w:rsid w:val="00A14AF5"/>
    <w:rsid w:val="00A14B04"/>
    <w:rsid w:val="00A15074"/>
    <w:rsid w:val="00A1508D"/>
    <w:rsid w:val="00A15331"/>
    <w:rsid w:val="00A153B5"/>
    <w:rsid w:val="00A154E2"/>
    <w:rsid w:val="00A15610"/>
    <w:rsid w:val="00A1575E"/>
    <w:rsid w:val="00A157E3"/>
    <w:rsid w:val="00A15962"/>
    <w:rsid w:val="00A16138"/>
    <w:rsid w:val="00A161B1"/>
    <w:rsid w:val="00A164D6"/>
    <w:rsid w:val="00A1675D"/>
    <w:rsid w:val="00A16A8F"/>
    <w:rsid w:val="00A16C1C"/>
    <w:rsid w:val="00A1707B"/>
    <w:rsid w:val="00A178E8"/>
    <w:rsid w:val="00A1799D"/>
    <w:rsid w:val="00A17D54"/>
    <w:rsid w:val="00A17FB3"/>
    <w:rsid w:val="00A206F5"/>
    <w:rsid w:val="00A207DF"/>
    <w:rsid w:val="00A20A85"/>
    <w:rsid w:val="00A20AAD"/>
    <w:rsid w:val="00A20EC2"/>
    <w:rsid w:val="00A212AD"/>
    <w:rsid w:val="00A21411"/>
    <w:rsid w:val="00A21456"/>
    <w:rsid w:val="00A21A75"/>
    <w:rsid w:val="00A21A90"/>
    <w:rsid w:val="00A2223C"/>
    <w:rsid w:val="00A222AF"/>
    <w:rsid w:val="00A2261C"/>
    <w:rsid w:val="00A228EA"/>
    <w:rsid w:val="00A2291C"/>
    <w:rsid w:val="00A230BF"/>
    <w:rsid w:val="00A23239"/>
    <w:rsid w:val="00A235A9"/>
    <w:rsid w:val="00A23873"/>
    <w:rsid w:val="00A23AE1"/>
    <w:rsid w:val="00A23B49"/>
    <w:rsid w:val="00A23F14"/>
    <w:rsid w:val="00A23F80"/>
    <w:rsid w:val="00A2439B"/>
    <w:rsid w:val="00A245E2"/>
    <w:rsid w:val="00A24794"/>
    <w:rsid w:val="00A248D3"/>
    <w:rsid w:val="00A24A37"/>
    <w:rsid w:val="00A24B39"/>
    <w:rsid w:val="00A24BAE"/>
    <w:rsid w:val="00A24C85"/>
    <w:rsid w:val="00A24D86"/>
    <w:rsid w:val="00A25070"/>
    <w:rsid w:val="00A255B0"/>
    <w:rsid w:val="00A255C0"/>
    <w:rsid w:val="00A2576A"/>
    <w:rsid w:val="00A25883"/>
    <w:rsid w:val="00A259FF"/>
    <w:rsid w:val="00A25A66"/>
    <w:rsid w:val="00A25CCE"/>
    <w:rsid w:val="00A25DD3"/>
    <w:rsid w:val="00A2605A"/>
    <w:rsid w:val="00A26513"/>
    <w:rsid w:val="00A26A87"/>
    <w:rsid w:val="00A273CE"/>
    <w:rsid w:val="00A27416"/>
    <w:rsid w:val="00A276E7"/>
    <w:rsid w:val="00A304B3"/>
    <w:rsid w:val="00A30527"/>
    <w:rsid w:val="00A3087E"/>
    <w:rsid w:val="00A30CFE"/>
    <w:rsid w:val="00A30DDF"/>
    <w:rsid w:val="00A3124C"/>
    <w:rsid w:val="00A31443"/>
    <w:rsid w:val="00A32031"/>
    <w:rsid w:val="00A32114"/>
    <w:rsid w:val="00A325F9"/>
    <w:rsid w:val="00A32919"/>
    <w:rsid w:val="00A32D99"/>
    <w:rsid w:val="00A32E54"/>
    <w:rsid w:val="00A32E81"/>
    <w:rsid w:val="00A3306C"/>
    <w:rsid w:val="00A3330D"/>
    <w:rsid w:val="00A33D03"/>
    <w:rsid w:val="00A33E2F"/>
    <w:rsid w:val="00A33EA5"/>
    <w:rsid w:val="00A34381"/>
    <w:rsid w:val="00A3457D"/>
    <w:rsid w:val="00A3465C"/>
    <w:rsid w:val="00A34A71"/>
    <w:rsid w:val="00A34BF0"/>
    <w:rsid w:val="00A34FF7"/>
    <w:rsid w:val="00A3516B"/>
    <w:rsid w:val="00A35508"/>
    <w:rsid w:val="00A3580E"/>
    <w:rsid w:val="00A35881"/>
    <w:rsid w:val="00A3594D"/>
    <w:rsid w:val="00A35C1C"/>
    <w:rsid w:val="00A35D72"/>
    <w:rsid w:val="00A35F2A"/>
    <w:rsid w:val="00A36322"/>
    <w:rsid w:val="00A3645D"/>
    <w:rsid w:val="00A367AD"/>
    <w:rsid w:val="00A36D76"/>
    <w:rsid w:val="00A37872"/>
    <w:rsid w:val="00A37938"/>
    <w:rsid w:val="00A379E7"/>
    <w:rsid w:val="00A4001B"/>
    <w:rsid w:val="00A400D1"/>
    <w:rsid w:val="00A401F8"/>
    <w:rsid w:val="00A40ABC"/>
    <w:rsid w:val="00A40B48"/>
    <w:rsid w:val="00A40E73"/>
    <w:rsid w:val="00A40F6C"/>
    <w:rsid w:val="00A410C9"/>
    <w:rsid w:val="00A416E8"/>
    <w:rsid w:val="00A41805"/>
    <w:rsid w:val="00A41897"/>
    <w:rsid w:val="00A419F3"/>
    <w:rsid w:val="00A41C63"/>
    <w:rsid w:val="00A421C4"/>
    <w:rsid w:val="00A422E7"/>
    <w:rsid w:val="00A423F2"/>
    <w:rsid w:val="00A42646"/>
    <w:rsid w:val="00A42A62"/>
    <w:rsid w:val="00A431D7"/>
    <w:rsid w:val="00A4321D"/>
    <w:rsid w:val="00A432D7"/>
    <w:rsid w:val="00A43390"/>
    <w:rsid w:val="00A43438"/>
    <w:rsid w:val="00A4398E"/>
    <w:rsid w:val="00A43A35"/>
    <w:rsid w:val="00A43EE2"/>
    <w:rsid w:val="00A43F06"/>
    <w:rsid w:val="00A43F0C"/>
    <w:rsid w:val="00A44345"/>
    <w:rsid w:val="00A4447C"/>
    <w:rsid w:val="00A447C1"/>
    <w:rsid w:val="00A4483F"/>
    <w:rsid w:val="00A449CF"/>
    <w:rsid w:val="00A449EE"/>
    <w:rsid w:val="00A44D67"/>
    <w:rsid w:val="00A45026"/>
    <w:rsid w:val="00A45466"/>
    <w:rsid w:val="00A456FE"/>
    <w:rsid w:val="00A45C60"/>
    <w:rsid w:val="00A460C5"/>
    <w:rsid w:val="00A46178"/>
    <w:rsid w:val="00A46249"/>
    <w:rsid w:val="00A4630F"/>
    <w:rsid w:val="00A4641C"/>
    <w:rsid w:val="00A466F6"/>
    <w:rsid w:val="00A46DB9"/>
    <w:rsid w:val="00A4738B"/>
    <w:rsid w:val="00A476BA"/>
    <w:rsid w:val="00A47B59"/>
    <w:rsid w:val="00A47BF9"/>
    <w:rsid w:val="00A47C1D"/>
    <w:rsid w:val="00A47C33"/>
    <w:rsid w:val="00A47CE3"/>
    <w:rsid w:val="00A47EC5"/>
    <w:rsid w:val="00A47F97"/>
    <w:rsid w:val="00A50871"/>
    <w:rsid w:val="00A5099C"/>
    <w:rsid w:val="00A50A51"/>
    <w:rsid w:val="00A50A66"/>
    <w:rsid w:val="00A50DD0"/>
    <w:rsid w:val="00A50F29"/>
    <w:rsid w:val="00A5147D"/>
    <w:rsid w:val="00A51CBE"/>
    <w:rsid w:val="00A51DB7"/>
    <w:rsid w:val="00A5244A"/>
    <w:rsid w:val="00A524AC"/>
    <w:rsid w:val="00A5262F"/>
    <w:rsid w:val="00A52A2C"/>
    <w:rsid w:val="00A52B28"/>
    <w:rsid w:val="00A52BBE"/>
    <w:rsid w:val="00A535B2"/>
    <w:rsid w:val="00A535E8"/>
    <w:rsid w:val="00A53729"/>
    <w:rsid w:val="00A53AB5"/>
    <w:rsid w:val="00A53B3A"/>
    <w:rsid w:val="00A5415E"/>
    <w:rsid w:val="00A5424C"/>
    <w:rsid w:val="00A54339"/>
    <w:rsid w:val="00A54788"/>
    <w:rsid w:val="00A54DBC"/>
    <w:rsid w:val="00A54ECD"/>
    <w:rsid w:val="00A54FC2"/>
    <w:rsid w:val="00A55065"/>
    <w:rsid w:val="00A55610"/>
    <w:rsid w:val="00A55ABA"/>
    <w:rsid w:val="00A55AEE"/>
    <w:rsid w:val="00A55C32"/>
    <w:rsid w:val="00A55D1C"/>
    <w:rsid w:val="00A55E4C"/>
    <w:rsid w:val="00A55FC4"/>
    <w:rsid w:val="00A5601C"/>
    <w:rsid w:val="00A5613E"/>
    <w:rsid w:val="00A56437"/>
    <w:rsid w:val="00A5655D"/>
    <w:rsid w:val="00A56809"/>
    <w:rsid w:val="00A56863"/>
    <w:rsid w:val="00A56EB6"/>
    <w:rsid w:val="00A571ED"/>
    <w:rsid w:val="00A5734B"/>
    <w:rsid w:val="00A5755F"/>
    <w:rsid w:val="00A57ADA"/>
    <w:rsid w:val="00A57EF3"/>
    <w:rsid w:val="00A57F2C"/>
    <w:rsid w:val="00A600D4"/>
    <w:rsid w:val="00A60176"/>
    <w:rsid w:val="00A603B3"/>
    <w:rsid w:val="00A60534"/>
    <w:rsid w:val="00A60822"/>
    <w:rsid w:val="00A6133C"/>
    <w:rsid w:val="00A61768"/>
    <w:rsid w:val="00A61A3D"/>
    <w:rsid w:val="00A61B02"/>
    <w:rsid w:val="00A6228D"/>
    <w:rsid w:val="00A625E1"/>
    <w:rsid w:val="00A626FE"/>
    <w:rsid w:val="00A62895"/>
    <w:rsid w:val="00A62D1D"/>
    <w:rsid w:val="00A62D50"/>
    <w:rsid w:val="00A63018"/>
    <w:rsid w:val="00A6316E"/>
    <w:rsid w:val="00A63525"/>
    <w:rsid w:val="00A6359A"/>
    <w:rsid w:val="00A63612"/>
    <w:rsid w:val="00A63744"/>
    <w:rsid w:val="00A6376B"/>
    <w:rsid w:val="00A637E5"/>
    <w:rsid w:val="00A63AC9"/>
    <w:rsid w:val="00A63F12"/>
    <w:rsid w:val="00A63F69"/>
    <w:rsid w:val="00A64540"/>
    <w:rsid w:val="00A64575"/>
    <w:rsid w:val="00A6467F"/>
    <w:rsid w:val="00A64796"/>
    <w:rsid w:val="00A64950"/>
    <w:rsid w:val="00A650B6"/>
    <w:rsid w:val="00A6570B"/>
    <w:rsid w:val="00A65728"/>
    <w:rsid w:val="00A65F16"/>
    <w:rsid w:val="00A65FF3"/>
    <w:rsid w:val="00A660F1"/>
    <w:rsid w:val="00A66254"/>
    <w:rsid w:val="00A66351"/>
    <w:rsid w:val="00A66522"/>
    <w:rsid w:val="00A668B8"/>
    <w:rsid w:val="00A671F7"/>
    <w:rsid w:val="00A67609"/>
    <w:rsid w:val="00A67D17"/>
    <w:rsid w:val="00A70144"/>
    <w:rsid w:val="00A70211"/>
    <w:rsid w:val="00A70473"/>
    <w:rsid w:val="00A705FE"/>
    <w:rsid w:val="00A70769"/>
    <w:rsid w:val="00A70797"/>
    <w:rsid w:val="00A70B32"/>
    <w:rsid w:val="00A70F4B"/>
    <w:rsid w:val="00A715E7"/>
    <w:rsid w:val="00A71872"/>
    <w:rsid w:val="00A71B25"/>
    <w:rsid w:val="00A720E2"/>
    <w:rsid w:val="00A7288B"/>
    <w:rsid w:val="00A7290D"/>
    <w:rsid w:val="00A729B1"/>
    <w:rsid w:val="00A72D7B"/>
    <w:rsid w:val="00A72F51"/>
    <w:rsid w:val="00A730BB"/>
    <w:rsid w:val="00A732CC"/>
    <w:rsid w:val="00A733FC"/>
    <w:rsid w:val="00A7388E"/>
    <w:rsid w:val="00A738D0"/>
    <w:rsid w:val="00A739CB"/>
    <w:rsid w:val="00A73CE5"/>
    <w:rsid w:val="00A73FFB"/>
    <w:rsid w:val="00A7436D"/>
    <w:rsid w:val="00A74576"/>
    <w:rsid w:val="00A745F3"/>
    <w:rsid w:val="00A7490C"/>
    <w:rsid w:val="00A74BED"/>
    <w:rsid w:val="00A74D32"/>
    <w:rsid w:val="00A74DFF"/>
    <w:rsid w:val="00A7518E"/>
    <w:rsid w:val="00A752FE"/>
    <w:rsid w:val="00A754C2"/>
    <w:rsid w:val="00A755C6"/>
    <w:rsid w:val="00A75968"/>
    <w:rsid w:val="00A75B14"/>
    <w:rsid w:val="00A75FB3"/>
    <w:rsid w:val="00A75FB4"/>
    <w:rsid w:val="00A7611D"/>
    <w:rsid w:val="00A7654A"/>
    <w:rsid w:val="00A76778"/>
    <w:rsid w:val="00A769FE"/>
    <w:rsid w:val="00A76C6C"/>
    <w:rsid w:val="00A76E05"/>
    <w:rsid w:val="00A77007"/>
    <w:rsid w:val="00A77115"/>
    <w:rsid w:val="00A773EA"/>
    <w:rsid w:val="00A77492"/>
    <w:rsid w:val="00A779A1"/>
    <w:rsid w:val="00A77CCF"/>
    <w:rsid w:val="00A80447"/>
    <w:rsid w:val="00A80767"/>
    <w:rsid w:val="00A808BE"/>
    <w:rsid w:val="00A80CD3"/>
    <w:rsid w:val="00A81045"/>
    <w:rsid w:val="00A81211"/>
    <w:rsid w:val="00A81491"/>
    <w:rsid w:val="00A81717"/>
    <w:rsid w:val="00A8173F"/>
    <w:rsid w:val="00A81773"/>
    <w:rsid w:val="00A81FFA"/>
    <w:rsid w:val="00A82296"/>
    <w:rsid w:val="00A8275B"/>
    <w:rsid w:val="00A82830"/>
    <w:rsid w:val="00A82C81"/>
    <w:rsid w:val="00A82DA2"/>
    <w:rsid w:val="00A82E4F"/>
    <w:rsid w:val="00A83284"/>
    <w:rsid w:val="00A8333F"/>
    <w:rsid w:val="00A83A66"/>
    <w:rsid w:val="00A841B6"/>
    <w:rsid w:val="00A842FD"/>
    <w:rsid w:val="00A8462A"/>
    <w:rsid w:val="00A84BF7"/>
    <w:rsid w:val="00A85696"/>
    <w:rsid w:val="00A859B2"/>
    <w:rsid w:val="00A859E2"/>
    <w:rsid w:val="00A85DD1"/>
    <w:rsid w:val="00A861EB"/>
    <w:rsid w:val="00A8620B"/>
    <w:rsid w:val="00A86A9A"/>
    <w:rsid w:val="00A86E6E"/>
    <w:rsid w:val="00A86F48"/>
    <w:rsid w:val="00A8720D"/>
    <w:rsid w:val="00A8769D"/>
    <w:rsid w:val="00A87B4D"/>
    <w:rsid w:val="00A87BAE"/>
    <w:rsid w:val="00A87D5A"/>
    <w:rsid w:val="00A87E85"/>
    <w:rsid w:val="00A87F47"/>
    <w:rsid w:val="00A90316"/>
    <w:rsid w:val="00A903A6"/>
    <w:rsid w:val="00A90531"/>
    <w:rsid w:val="00A907FA"/>
    <w:rsid w:val="00A90C51"/>
    <w:rsid w:val="00A90D4F"/>
    <w:rsid w:val="00A90E97"/>
    <w:rsid w:val="00A9123E"/>
    <w:rsid w:val="00A915A7"/>
    <w:rsid w:val="00A91638"/>
    <w:rsid w:val="00A91CBB"/>
    <w:rsid w:val="00A928C6"/>
    <w:rsid w:val="00A92CC0"/>
    <w:rsid w:val="00A92E41"/>
    <w:rsid w:val="00A92F0D"/>
    <w:rsid w:val="00A93080"/>
    <w:rsid w:val="00A93085"/>
    <w:rsid w:val="00A9332E"/>
    <w:rsid w:val="00A9334C"/>
    <w:rsid w:val="00A9335E"/>
    <w:rsid w:val="00A939C1"/>
    <w:rsid w:val="00A93A17"/>
    <w:rsid w:val="00A93F95"/>
    <w:rsid w:val="00A9431E"/>
    <w:rsid w:val="00A9568F"/>
    <w:rsid w:val="00A956C7"/>
    <w:rsid w:val="00A95B8D"/>
    <w:rsid w:val="00A95E48"/>
    <w:rsid w:val="00A95F2B"/>
    <w:rsid w:val="00A96155"/>
    <w:rsid w:val="00A961F1"/>
    <w:rsid w:val="00A962CB"/>
    <w:rsid w:val="00A96711"/>
    <w:rsid w:val="00A96A6E"/>
    <w:rsid w:val="00A96A90"/>
    <w:rsid w:val="00A96A95"/>
    <w:rsid w:val="00A97175"/>
    <w:rsid w:val="00A97503"/>
    <w:rsid w:val="00A9752A"/>
    <w:rsid w:val="00A97716"/>
    <w:rsid w:val="00A97A7E"/>
    <w:rsid w:val="00A97A80"/>
    <w:rsid w:val="00A97B1E"/>
    <w:rsid w:val="00A97B79"/>
    <w:rsid w:val="00A97D67"/>
    <w:rsid w:val="00A97F7C"/>
    <w:rsid w:val="00AA01E3"/>
    <w:rsid w:val="00AA0A6B"/>
    <w:rsid w:val="00AA0B89"/>
    <w:rsid w:val="00AA0D02"/>
    <w:rsid w:val="00AA0F2B"/>
    <w:rsid w:val="00AA1471"/>
    <w:rsid w:val="00AA1D5B"/>
    <w:rsid w:val="00AA1FEC"/>
    <w:rsid w:val="00AA2423"/>
    <w:rsid w:val="00AA28DF"/>
    <w:rsid w:val="00AA2B77"/>
    <w:rsid w:val="00AA2D6A"/>
    <w:rsid w:val="00AA2E1A"/>
    <w:rsid w:val="00AA3073"/>
    <w:rsid w:val="00AA316D"/>
    <w:rsid w:val="00AA31D5"/>
    <w:rsid w:val="00AA3375"/>
    <w:rsid w:val="00AA43B7"/>
    <w:rsid w:val="00AA447A"/>
    <w:rsid w:val="00AA4AE7"/>
    <w:rsid w:val="00AA5114"/>
    <w:rsid w:val="00AA5132"/>
    <w:rsid w:val="00AA53FD"/>
    <w:rsid w:val="00AA545B"/>
    <w:rsid w:val="00AA558E"/>
    <w:rsid w:val="00AA5754"/>
    <w:rsid w:val="00AA5CF2"/>
    <w:rsid w:val="00AA5E56"/>
    <w:rsid w:val="00AA5FD2"/>
    <w:rsid w:val="00AA620F"/>
    <w:rsid w:val="00AA651A"/>
    <w:rsid w:val="00AA68FB"/>
    <w:rsid w:val="00AA6CDE"/>
    <w:rsid w:val="00AA6FA4"/>
    <w:rsid w:val="00AA7091"/>
    <w:rsid w:val="00AA7846"/>
    <w:rsid w:val="00AA7FC2"/>
    <w:rsid w:val="00AB0293"/>
    <w:rsid w:val="00AB051C"/>
    <w:rsid w:val="00AB0EEA"/>
    <w:rsid w:val="00AB1164"/>
    <w:rsid w:val="00AB127A"/>
    <w:rsid w:val="00AB14B3"/>
    <w:rsid w:val="00AB15EB"/>
    <w:rsid w:val="00AB1757"/>
    <w:rsid w:val="00AB1AB4"/>
    <w:rsid w:val="00AB229A"/>
    <w:rsid w:val="00AB25DD"/>
    <w:rsid w:val="00AB2601"/>
    <w:rsid w:val="00AB2AE4"/>
    <w:rsid w:val="00AB2D82"/>
    <w:rsid w:val="00AB2FF6"/>
    <w:rsid w:val="00AB3003"/>
    <w:rsid w:val="00AB30AC"/>
    <w:rsid w:val="00AB3257"/>
    <w:rsid w:val="00AB326C"/>
    <w:rsid w:val="00AB373B"/>
    <w:rsid w:val="00AB3861"/>
    <w:rsid w:val="00AB3A64"/>
    <w:rsid w:val="00AB3AF8"/>
    <w:rsid w:val="00AB3CE1"/>
    <w:rsid w:val="00AB4393"/>
    <w:rsid w:val="00AB43A0"/>
    <w:rsid w:val="00AB4D18"/>
    <w:rsid w:val="00AB4EA7"/>
    <w:rsid w:val="00AB5031"/>
    <w:rsid w:val="00AB54E6"/>
    <w:rsid w:val="00AB574A"/>
    <w:rsid w:val="00AB59E4"/>
    <w:rsid w:val="00AB5A24"/>
    <w:rsid w:val="00AB61C9"/>
    <w:rsid w:val="00AB62E1"/>
    <w:rsid w:val="00AB647C"/>
    <w:rsid w:val="00AB6746"/>
    <w:rsid w:val="00AB685E"/>
    <w:rsid w:val="00AB6880"/>
    <w:rsid w:val="00AB690C"/>
    <w:rsid w:val="00AB697B"/>
    <w:rsid w:val="00AB6B4C"/>
    <w:rsid w:val="00AB6B86"/>
    <w:rsid w:val="00AB6BB2"/>
    <w:rsid w:val="00AB6EB8"/>
    <w:rsid w:val="00AB6F58"/>
    <w:rsid w:val="00AB7069"/>
    <w:rsid w:val="00AB732C"/>
    <w:rsid w:val="00AB7892"/>
    <w:rsid w:val="00AB7906"/>
    <w:rsid w:val="00AB7B35"/>
    <w:rsid w:val="00AB7BA1"/>
    <w:rsid w:val="00AB7C18"/>
    <w:rsid w:val="00AC05A9"/>
    <w:rsid w:val="00AC07D0"/>
    <w:rsid w:val="00AC07D7"/>
    <w:rsid w:val="00AC0818"/>
    <w:rsid w:val="00AC0BF4"/>
    <w:rsid w:val="00AC0D94"/>
    <w:rsid w:val="00AC1438"/>
    <w:rsid w:val="00AC1ACD"/>
    <w:rsid w:val="00AC1D1E"/>
    <w:rsid w:val="00AC20C7"/>
    <w:rsid w:val="00AC21EB"/>
    <w:rsid w:val="00AC22AD"/>
    <w:rsid w:val="00AC2422"/>
    <w:rsid w:val="00AC2536"/>
    <w:rsid w:val="00AC2646"/>
    <w:rsid w:val="00AC2648"/>
    <w:rsid w:val="00AC27A9"/>
    <w:rsid w:val="00AC2ADD"/>
    <w:rsid w:val="00AC2BA1"/>
    <w:rsid w:val="00AC2E61"/>
    <w:rsid w:val="00AC31E3"/>
    <w:rsid w:val="00AC32E7"/>
    <w:rsid w:val="00AC333C"/>
    <w:rsid w:val="00AC3B45"/>
    <w:rsid w:val="00AC3B7E"/>
    <w:rsid w:val="00AC42FA"/>
    <w:rsid w:val="00AC490F"/>
    <w:rsid w:val="00AC4B2C"/>
    <w:rsid w:val="00AC4F8D"/>
    <w:rsid w:val="00AC53AD"/>
    <w:rsid w:val="00AC53E8"/>
    <w:rsid w:val="00AC5765"/>
    <w:rsid w:val="00AC5B16"/>
    <w:rsid w:val="00AC5C42"/>
    <w:rsid w:val="00AC6193"/>
    <w:rsid w:val="00AC61AD"/>
    <w:rsid w:val="00AC61DD"/>
    <w:rsid w:val="00AC624D"/>
    <w:rsid w:val="00AC63DE"/>
    <w:rsid w:val="00AC6454"/>
    <w:rsid w:val="00AC64A4"/>
    <w:rsid w:val="00AC6702"/>
    <w:rsid w:val="00AC6799"/>
    <w:rsid w:val="00AC6920"/>
    <w:rsid w:val="00AC6E38"/>
    <w:rsid w:val="00AC743C"/>
    <w:rsid w:val="00AC7F1A"/>
    <w:rsid w:val="00AD05EA"/>
    <w:rsid w:val="00AD07F9"/>
    <w:rsid w:val="00AD0AA6"/>
    <w:rsid w:val="00AD1254"/>
    <w:rsid w:val="00AD14AF"/>
    <w:rsid w:val="00AD1564"/>
    <w:rsid w:val="00AD1647"/>
    <w:rsid w:val="00AD16F1"/>
    <w:rsid w:val="00AD1777"/>
    <w:rsid w:val="00AD1995"/>
    <w:rsid w:val="00AD19E7"/>
    <w:rsid w:val="00AD1AD4"/>
    <w:rsid w:val="00AD20DA"/>
    <w:rsid w:val="00AD2CAD"/>
    <w:rsid w:val="00AD306B"/>
    <w:rsid w:val="00AD3210"/>
    <w:rsid w:val="00AD364E"/>
    <w:rsid w:val="00AD3CA7"/>
    <w:rsid w:val="00AD454F"/>
    <w:rsid w:val="00AD45F2"/>
    <w:rsid w:val="00AD49E9"/>
    <w:rsid w:val="00AD4DBC"/>
    <w:rsid w:val="00AD5040"/>
    <w:rsid w:val="00AD5132"/>
    <w:rsid w:val="00AD576B"/>
    <w:rsid w:val="00AD5811"/>
    <w:rsid w:val="00AD5B69"/>
    <w:rsid w:val="00AD5BBA"/>
    <w:rsid w:val="00AD60B3"/>
    <w:rsid w:val="00AD6454"/>
    <w:rsid w:val="00AD66CB"/>
    <w:rsid w:val="00AD6BDF"/>
    <w:rsid w:val="00AD70D6"/>
    <w:rsid w:val="00AD76F2"/>
    <w:rsid w:val="00AD78FD"/>
    <w:rsid w:val="00AE0185"/>
    <w:rsid w:val="00AE023F"/>
    <w:rsid w:val="00AE034A"/>
    <w:rsid w:val="00AE03B6"/>
    <w:rsid w:val="00AE05FB"/>
    <w:rsid w:val="00AE0A0D"/>
    <w:rsid w:val="00AE0A48"/>
    <w:rsid w:val="00AE10F7"/>
    <w:rsid w:val="00AE13D3"/>
    <w:rsid w:val="00AE1454"/>
    <w:rsid w:val="00AE19CD"/>
    <w:rsid w:val="00AE1F6E"/>
    <w:rsid w:val="00AE2619"/>
    <w:rsid w:val="00AE264C"/>
    <w:rsid w:val="00AE2769"/>
    <w:rsid w:val="00AE2775"/>
    <w:rsid w:val="00AE2B78"/>
    <w:rsid w:val="00AE34A3"/>
    <w:rsid w:val="00AE3637"/>
    <w:rsid w:val="00AE3697"/>
    <w:rsid w:val="00AE375D"/>
    <w:rsid w:val="00AE38BB"/>
    <w:rsid w:val="00AE3EFD"/>
    <w:rsid w:val="00AE406A"/>
    <w:rsid w:val="00AE444E"/>
    <w:rsid w:val="00AE44E9"/>
    <w:rsid w:val="00AE4978"/>
    <w:rsid w:val="00AE4A9F"/>
    <w:rsid w:val="00AE4BCB"/>
    <w:rsid w:val="00AE4E7C"/>
    <w:rsid w:val="00AE4F77"/>
    <w:rsid w:val="00AE5052"/>
    <w:rsid w:val="00AE5279"/>
    <w:rsid w:val="00AE549D"/>
    <w:rsid w:val="00AE5532"/>
    <w:rsid w:val="00AE56A4"/>
    <w:rsid w:val="00AE56DD"/>
    <w:rsid w:val="00AE630E"/>
    <w:rsid w:val="00AE6C33"/>
    <w:rsid w:val="00AE6E83"/>
    <w:rsid w:val="00AE700D"/>
    <w:rsid w:val="00AE706D"/>
    <w:rsid w:val="00AE70D0"/>
    <w:rsid w:val="00AE72C1"/>
    <w:rsid w:val="00AE792D"/>
    <w:rsid w:val="00AE7ACA"/>
    <w:rsid w:val="00AE7BEC"/>
    <w:rsid w:val="00AE7E76"/>
    <w:rsid w:val="00AE7EE6"/>
    <w:rsid w:val="00AF005B"/>
    <w:rsid w:val="00AF038A"/>
    <w:rsid w:val="00AF06D4"/>
    <w:rsid w:val="00AF06FE"/>
    <w:rsid w:val="00AF0938"/>
    <w:rsid w:val="00AF0AFD"/>
    <w:rsid w:val="00AF0E95"/>
    <w:rsid w:val="00AF1233"/>
    <w:rsid w:val="00AF1422"/>
    <w:rsid w:val="00AF1AE4"/>
    <w:rsid w:val="00AF1E70"/>
    <w:rsid w:val="00AF1E8F"/>
    <w:rsid w:val="00AF1F67"/>
    <w:rsid w:val="00AF222A"/>
    <w:rsid w:val="00AF223E"/>
    <w:rsid w:val="00AF2544"/>
    <w:rsid w:val="00AF262C"/>
    <w:rsid w:val="00AF286A"/>
    <w:rsid w:val="00AF2BD8"/>
    <w:rsid w:val="00AF3145"/>
    <w:rsid w:val="00AF31C1"/>
    <w:rsid w:val="00AF33BE"/>
    <w:rsid w:val="00AF36B7"/>
    <w:rsid w:val="00AF375E"/>
    <w:rsid w:val="00AF402C"/>
    <w:rsid w:val="00AF43BA"/>
    <w:rsid w:val="00AF4592"/>
    <w:rsid w:val="00AF4611"/>
    <w:rsid w:val="00AF49B1"/>
    <w:rsid w:val="00AF5BD9"/>
    <w:rsid w:val="00AF5DA7"/>
    <w:rsid w:val="00AF6103"/>
    <w:rsid w:val="00AF63B8"/>
    <w:rsid w:val="00AF6525"/>
    <w:rsid w:val="00AF7487"/>
    <w:rsid w:val="00AF7577"/>
    <w:rsid w:val="00AF79B4"/>
    <w:rsid w:val="00B0060B"/>
    <w:rsid w:val="00B00745"/>
    <w:rsid w:val="00B00780"/>
    <w:rsid w:val="00B00D9D"/>
    <w:rsid w:val="00B0120E"/>
    <w:rsid w:val="00B0139B"/>
    <w:rsid w:val="00B0147E"/>
    <w:rsid w:val="00B016AB"/>
    <w:rsid w:val="00B01744"/>
    <w:rsid w:val="00B01E36"/>
    <w:rsid w:val="00B025DD"/>
    <w:rsid w:val="00B02AB2"/>
    <w:rsid w:val="00B02C25"/>
    <w:rsid w:val="00B02E17"/>
    <w:rsid w:val="00B030DA"/>
    <w:rsid w:val="00B03FB5"/>
    <w:rsid w:val="00B0408F"/>
    <w:rsid w:val="00B041FA"/>
    <w:rsid w:val="00B0428B"/>
    <w:rsid w:val="00B044FF"/>
    <w:rsid w:val="00B04655"/>
    <w:rsid w:val="00B0466A"/>
    <w:rsid w:val="00B052EE"/>
    <w:rsid w:val="00B054DD"/>
    <w:rsid w:val="00B05643"/>
    <w:rsid w:val="00B06050"/>
    <w:rsid w:val="00B06440"/>
    <w:rsid w:val="00B06566"/>
    <w:rsid w:val="00B06C4A"/>
    <w:rsid w:val="00B07072"/>
    <w:rsid w:val="00B07273"/>
    <w:rsid w:val="00B072E3"/>
    <w:rsid w:val="00B07320"/>
    <w:rsid w:val="00B075C4"/>
    <w:rsid w:val="00B07702"/>
    <w:rsid w:val="00B07728"/>
    <w:rsid w:val="00B07F9A"/>
    <w:rsid w:val="00B1000F"/>
    <w:rsid w:val="00B100FF"/>
    <w:rsid w:val="00B105F4"/>
    <w:rsid w:val="00B10829"/>
    <w:rsid w:val="00B108DB"/>
    <w:rsid w:val="00B10E51"/>
    <w:rsid w:val="00B10F26"/>
    <w:rsid w:val="00B1143C"/>
    <w:rsid w:val="00B115AB"/>
    <w:rsid w:val="00B115C6"/>
    <w:rsid w:val="00B11620"/>
    <w:rsid w:val="00B11691"/>
    <w:rsid w:val="00B11B80"/>
    <w:rsid w:val="00B11DB6"/>
    <w:rsid w:val="00B11FF8"/>
    <w:rsid w:val="00B1210F"/>
    <w:rsid w:val="00B125B8"/>
    <w:rsid w:val="00B1293D"/>
    <w:rsid w:val="00B12F37"/>
    <w:rsid w:val="00B13033"/>
    <w:rsid w:val="00B13059"/>
    <w:rsid w:val="00B1309C"/>
    <w:rsid w:val="00B1311F"/>
    <w:rsid w:val="00B1334B"/>
    <w:rsid w:val="00B13437"/>
    <w:rsid w:val="00B1389F"/>
    <w:rsid w:val="00B13A0D"/>
    <w:rsid w:val="00B14050"/>
    <w:rsid w:val="00B14340"/>
    <w:rsid w:val="00B1470A"/>
    <w:rsid w:val="00B148C1"/>
    <w:rsid w:val="00B14B69"/>
    <w:rsid w:val="00B14E06"/>
    <w:rsid w:val="00B14E53"/>
    <w:rsid w:val="00B14E81"/>
    <w:rsid w:val="00B14EA1"/>
    <w:rsid w:val="00B14F9B"/>
    <w:rsid w:val="00B151ED"/>
    <w:rsid w:val="00B152E0"/>
    <w:rsid w:val="00B1541F"/>
    <w:rsid w:val="00B1544C"/>
    <w:rsid w:val="00B15648"/>
    <w:rsid w:val="00B15871"/>
    <w:rsid w:val="00B1587D"/>
    <w:rsid w:val="00B15942"/>
    <w:rsid w:val="00B15CC2"/>
    <w:rsid w:val="00B16224"/>
    <w:rsid w:val="00B1622B"/>
    <w:rsid w:val="00B16246"/>
    <w:rsid w:val="00B16385"/>
    <w:rsid w:val="00B16C4D"/>
    <w:rsid w:val="00B16EB5"/>
    <w:rsid w:val="00B16F1A"/>
    <w:rsid w:val="00B170EE"/>
    <w:rsid w:val="00B17137"/>
    <w:rsid w:val="00B17376"/>
    <w:rsid w:val="00B173BA"/>
    <w:rsid w:val="00B17771"/>
    <w:rsid w:val="00B177C4"/>
    <w:rsid w:val="00B179FD"/>
    <w:rsid w:val="00B17ABF"/>
    <w:rsid w:val="00B17CBD"/>
    <w:rsid w:val="00B17CC7"/>
    <w:rsid w:val="00B2009D"/>
    <w:rsid w:val="00B2043A"/>
    <w:rsid w:val="00B20747"/>
    <w:rsid w:val="00B20A55"/>
    <w:rsid w:val="00B20B71"/>
    <w:rsid w:val="00B20F29"/>
    <w:rsid w:val="00B210D0"/>
    <w:rsid w:val="00B21387"/>
    <w:rsid w:val="00B21428"/>
    <w:rsid w:val="00B214CA"/>
    <w:rsid w:val="00B21A6D"/>
    <w:rsid w:val="00B21CFE"/>
    <w:rsid w:val="00B21D99"/>
    <w:rsid w:val="00B21EA2"/>
    <w:rsid w:val="00B221D3"/>
    <w:rsid w:val="00B221FE"/>
    <w:rsid w:val="00B2227D"/>
    <w:rsid w:val="00B224A6"/>
    <w:rsid w:val="00B226E2"/>
    <w:rsid w:val="00B228D4"/>
    <w:rsid w:val="00B22A19"/>
    <w:rsid w:val="00B22AF9"/>
    <w:rsid w:val="00B22F4D"/>
    <w:rsid w:val="00B23198"/>
    <w:rsid w:val="00B23584"/>
    <w:rsid w:val="00B2378D"/>
    <w:rsid w:val="00B238DE"/>
    <w:rsid w:val="00B23905"/>
    <w:rsid w:val="00B23E02"/>
    <w:rsid w:val="00B240D2"/>
    <w:rsid w:val="00B24162"/>
    <w:rsid w:val="00B241E6"/>
    <w:rsid w:val="00B2425A"/>
    <w:rsid w:val="00B2428D"/>
    <w:rsid w:val="00B244B8"/>
    <w:rsid w:val="00B24626"/>
    <w:rsid w:val="00B247A3"/>
    <w:rsid w:val="00B249F5"/>
    <w:rsid w:val="00B24D5A"/>
    <w:rsid w:val="00B25113"/>
    <w:rsid w:val="00B2516F"/>
    <w:rsid w:val="00B2517D"/>
    <w:rsid w:val="00B255DB"/>
    <w:rsid w:val="00B259DA"/>
    <w:rsid w:val="00B25F83"/>
    <w:rsid w:val="00B26185"/>
    <w:rsid w:val="00B2656E"/>
    <w:rsid w:val="00B26A19"/>
    <w:rsid w:val="00B26BED"/>
    <w:rsid w:val="00B26CCD"/>
    <w:rsid w:val="00B27433"/>
    <w:rsid w:val="00B2779E"/>
    <w:rsid w:val="00B27ECE"/>
    <w:rsid w:val="00B30252"/>
    <w:rsid w:val="00B3040C"/>
    <w:rsid w:val="00B304EC"/>
    <w:rsid w:val="00B308CD"/>
    <w:rsid w:val="00B30A0D"/>
    <w:rsid w:val="00B30A9D"/>
    <w:rsid w:val="00B30D1B"/>
    <w:rsid w:val="00B30DC4"/>
    <w:rsid w:val="00B30ECC"/>
    <w:rsid w:val="00B311B9"/>
    <w:rsid w:val="00B31571"/>
    <w:rsid w:val="00B31A70"/>
    <w:rsid w:val="00B31C05"/>
    <w:rsid w:val="00B31CC1"/>
    <w:rsid w:val="00B31D53"/>
    <w:rsid w:val="00B31DA9"/>
    <w:rsid w:val="00B31F55"/>
    <w:rsid w:val="00B320A6"/>
    <w:rsid w:val="00B320A8"/>
    <w:rsid w:val="00B32102"/>
    <w:rsid w:val="00B3217C"/>
    <w:rsid w:val="00B322EF"/>
    <w:rsid w:val="00B32511"/>
    <w:rsid w:val="00B32B2D"/>
    <w:rsid w:val="00B32DAA"/>
    <w:rsid w:val="00B32F61"/>
    <w:rsid w:val="00B331E3"/>
    <w:rsid w:val="00B33451"/>
    <w:rsid w:val="00B33682"/>
    <w:rsid w:val="00B33781"/>
    <w:rsid w:val="00B33E9A"/>
    <w:rsid w:val="00B34663"/>
    <w:rsid w:val="00B34894"/>
    <w:rsid w:val="00B34DBF"/>
    <w:rsid w:val="00B34F12"/>
    <w:rsid w:val="00B355EF"/>
    <w:rsid w:val="00B357C0"/>
    <w:rsid w:val="00B35995"/>
    <w:rsid w:val="00B35AEC"/>
    <w:rsid w:val="00B35B48"/>
    <w:rsid w:val="00B35D34"/>
    <w:rsid w:val="00B35F77"/>
    <w:rsid w:val="00B3605F"/>
    <w:rsid w:val="00B360D4"/>
    <w:rsid w:val="00B364F7"/>
    <w:rsid w:val="00B36935"/>
    <w:rsid w:val="00B36B31"/>
    <w:rsid w:val="00B36BBB"/>
    <w:rsid w:val="00B36DE6"/>
    <w:rsid w:val="00B36E8A"/>
    <w:rsid w:val="00B36EFC"/>
    <w:rsid w:val="00B373B7"/>
    <w:rsid w:val="00B37402"/>
    <w:rsid w:val="00B3781C"/>
    <w:rsid w:val="00B379F8"/>
    <w:rsid w:val="00B37C93"/>
    <w:rsid w:val="00B37D1F"/>
    <w:rsid w:val="00B37D49"/>
    <w:rsid w:val="00B37E3C"/>
    <w:rsid w:val="00B40145"/>
    <w:rsid w:val="00B40332"/>
    <w:rsid w:val="00B40805"/>
    <w:rsid w:val="00B4096A"/>
    <w:rsid w:val="00B40EDA"/>
    <w:rsid w:val="00B40FDC"/>
    <w:rsid w:val="00B41773"/>
    <w:rsid w:val="00B417CA"/>
    <w:rsid w:val="00B41E34"/>
    <w:rsid w:val="00B41F3C"/>
    <w:rsid w:val="00B4206D"/>
    <w:rsid w:val="00B4233A"/>
    <w:rsid w:val="00B4248E"/>
    <w:rsid w:val="00B429D4"/>
    <w:rsid w:val="00B42B34"/>
    <w:rsid w:val="00B432B2"/>
    <w:rsid w:val="00B432C2"/>
    <w:rsid w:val="00B439FA"/>
    <w:rsid w:val="00B43F77"/>
    <w:rsid w:val="00B443C9"/>
    <w:rsid w:val="00B44646"/>
    <w:rsid w:val="00B447ED"/>
    <w:rsid w:val="00B44943"/>
    <w:rsid w:val="00B44B0C"/>
    <w:rsid w:val="00B44D9B"/>
    <w:rsid w:val="00B45601"/>
    <w:rsid w:val="00B4573C"/>
    <w:rsid w:val="00B45A4C"/>
    <w:rsid w:val="00B45B41"/>
    <w:rsid w:val="00B45C20"/>
    <w:rsid w:val="00B45DCA"/>
    <w:rsid w:val="00B468B0"/>
    <w:rsid w:val="00B4723A"/>
    <w:rsid w:val="00B47883"/>
    <w:rsid w:val="00B4799A"/>
    <w:rsid w:val="00B47CC4"/>
    <w:rsid w:val="00B47FD6"/>
    <w:rsid w:val="00B5010A"/>
    <w:rsid w:val="00B50193"/>
    <w:rsid w:val="00B50335"/>
    <w:rsid w:val="00B506D6"/>
    <w:rsid w:val="00B5081E"/>
    <w:rsid w:val="00B50A94"/>
    <w:rsid w:val="00B50BBB"/>
    <w:rsid w:val="00B50D55"/>
    <w:rsid w:val="00B50D6B"/>
    <w:rsid w:val="00B51056"/>
    <w:rsid w:val="00B5126D"/>
    <w:rsid w:val="00B513B6"/>
    <w:rsid w:val="00B513E3"/>
    <w:rsid w:val="00B5163E"/>
    <w:rsid w:val="00B51836"/>
    <w:rsid w:val="00B519C9"/>
    <w:rsid w:val="00B51A42"/>
    <w:rsid w:val="00B51A5C"/>
    <w:rsid w:val="00B51A97"/>
    <w:rsid w:val="00B51DFC"/>
    <w:rsid w:val="00B51E21"/>
    <w:rsid w:val="00B51F19"/>
    <w:rsid w:val="00B53039"/>
    <w:rsid w:val="00B5352B"/>
    <w:rsid w:val="00B53908"/>
    <w:rsid w:val="00B53B2A"/>
    <w:rsid w:val="00B53B49"/>
    <w:rsid w:val="00B53B74"/>
    <w:rsid w:val="00B54BE9"/>
    <w:rsid w:val="00B54C68"/>
    <w:rsid w:val="00B54DAB"/>
    <w:rsid w:val="00B55528"/>
    <w:rsid w:val="00B55C3F"/>
    <w:rsid w:val="00B56465"/>
    <w:rsid w:val="00B56F45"/>
    <w:rsid w:val="00B56FEB"/>
    <w:rsid w:val="00B57557"/>
    <w:rsid w:val="00B57562"/>
    <w:rsid w:val="00B576C7"/>
    <w:rsid w:val="00B576CA"/>
    <w:rsid w:val="00B5788A"/>
    <w:rsid w:val="00B578FF"/>
    <w:rsid w:val="00B57BFC"/>
    <w:rsid w:val="00B57EFF"/>
    <w:rsid w:val="00B57FD3"/>
    <w:rsid w:val="00B60062"/>
    <w:rsid w:val="00B600E9"/>
    <w:rsid w:val="00B6036B"/>
    <w:rsid w:val="00B603DB"/>
    <w:rsid w:val="00B6053F"/>
    <w:rsid w:val="00B60555"/>
    <w:rsid w:val="00B60649"/>
    <w:rsid w:val="00B60726"/>
    <w:rsid w:val="00B60A81"/>
    <w:rsid w:val="00B61177"/>
    <w:rsid w:val="00B6140F"/>
    <w:rsid w:val="00B61655"/>
    <w:rsid w:val="00B61A19"/>
    <w:rsid w:val="00B622F1"/>
    <w:rsid w:val="00B62425"/>
    <w:rsid w:val="00B629C0"/>
    <w:rsid w:val="00B62F6A"/>
    <w:rsid w:val="00B630D5"/>
    <w:rsid w:val="00B631A7"/>
    <w:rsid w:val="00B631A9"/>
    <w:rsid w:val="00B631CB"/>
    <w:rsid w:val="00B6385A"/>
    <w:rsid w:val="00B63BC7"/>
    <w:rsid w:val="00B63F4C"/>
    <w:rsid w:val="00B642B8"/>
    <w:rsid w:val="00B64EED"/>
    <w:rsid w:val="00B6520B"/>
    <w:rsid w:val="00B65754"/>
    <w:rsid w:val="00B657B4"/>
    <w:rsid w:val="00B65AE5"/>
    <w:rsid w:val="00B66167"/>
    <w:rsid w:val="00B66CDA"/>
    <w:rsid w:val="00B67040"/>
    <w:rsid w:val="00B670A6"/>
    <w:rsid w:val="00B67267"/>
    <w:rsid w:val="00B6748F"/>
    <w:rsid w:val="00B674A4"/>
    <w:rsid w:val="00B67C5B"/>
    <w:rsid w:val="00B67D3B"/>
    <w:rsid w:val="00B67E39"/>
    <w:rsid w:val="00B67F04"/>
    <w:rsid w:val="00B704B9"/>
    <w:rsid w:val="00B70C9D"/>
    <w:rsid w:val="00B70D52"/>
    <w:rsid w:val="00B71046"/>
    <w:rsid w:val="00B714BC"/>
    <w:rsid w:val="00B714DB"/>
    <w:rsid w:val="00B71808"/>
    <w:rsid w:val="00B7187D"/>
    <w:rsid w:val="00B71C42"/>
    <w:rsid w:val="00B71E6A"/>
    <w:rsid w:val="00B72320"/>
    <w:rsid w:val="00B723C5"/>
    <w:rsid w:val="00B72A02"/>
    <w:rsid w:val="00B72ACB"/>
    <w:rsid w:val="00B72B10"/>
    <w:rsid w:val="00B72B71"/>
    <w:rsid w:val="00B72DEA"/>
    <w:rsid w:val="00B72F27"/>
    <w:rsid w:val="00B730B8"/>
    <w:rsid w:val="00B73337"/>
    <w:rsid w:val="00B733C0"/>
    <w:rsid w:val="00B73DB5"/>
    <w:rsid w:val="00B73F70"/>
    <w:rsid w:val="00B742C5"/>
    <w:rsid w:val="00B74D5B"/>
    <w:rsid w:val="00B75142"/>
    <w:rsid w:val="00B75970"/>
    <w:rsid w:val="00B75AC9"/>
    <w:rsid w:val="00B7648B"/>
    <w:rsid w:val="00B76812"/>
    <w:rsid w:val="00B76A8E"/>
    <w:rsid w:val="00B771B2"/>
    <w:rsid w:val="00B776E0"/>
    <w:rsid w:val="00B77872"/>
    <w:rsid w:val="00B779D1"/>
    <w:rsid w:val="00B77A54"/>
    <w:rsid w:val="00B77C3E"/>
    <w:rsid w:val="00B77F95"/>
    <w:rsid w:val="00B8008C"/>
    <w:rsid w:val="00B8078D"/>
    <w:rsid w:val="00B80933"/>
    <w:rsid w:val="00B80A27"/>
    <w:rsid w:val="00B80CCD"/>
    <w:rsid w:val="00B8166B"/>
    <w:rsid w:val="00B818E4"/>
    <w:rsid w:val="00B81989"/>
    <w:rsid w:val="00B81BB2"/>
    <w:rsid w:val="00B81E6F"/>
    <w:rsid w:val="00B82196"/>
    <w:rsid w:val="00B824BF"/>
    <w:rsid w:val="00B8277F"/>
    <w:rsid w:val="00B82865"/>
    <w:rsid w:val="00B830D9"/>
    <w:rsid w:val="00B831B7"/>
    <w:rsid w:val="00B831E7"/>
    <w:rsid w:val="00B83495"/>
    <w:rsid w:val="00B8351D"/>
    <w:rsid w:val="00B83738"/>
    <w:rsid w:val="00B838B8"/>
    <w:rsid w:val="00B83AFC"/>
    <w:rsid w:val="00B83E3F"/>
    <w:rsid w:val="00B83F88"/>
    <w:rsid w:val="00B8415D"/>
    <w:rsid w:val="00B84176"/>
    <w:rsid w:val="00B8438E"/>
    <w:rsid w:val="00B84AEB"/>
    <w:rsid w:val="00B84DA5"/>
    <w:rsid w:val="00B84DEE"/>
    <w:rsid w:val="00B84E88"/>
    <w:rsid w:val="00B85231"/>
    <w:rsid w:val="00B8527B"/>
    <w:rsid w:val="00B8532F"/>
    <w:rsid w:val="00B85582"/>
    <w:rsid w:val="00B85899"/>
    <w:rsid w:val="00B85C37"/>
    <w:rsid w:val="00B85CE7"/>
    <w:rsid w:val="00B85E05"/>
    <w:rsid w:val="00B861BC"/>
    <w:rsid w:val="00B868C5"/>
    <w:rsid w:val="00B86D52"/>
    <w:rsid w:val="00B86E9B"/>
    <w:rsid w:val="00B87294"/>
    <w:rsid w:val="00B87312"/>
    <w:rsid w:val="00B8744B"/>
    <w:rsid w:val="00B8788E"/>
    <w:rsid w:val="00B8799F"/>
    <w:rsid w:val="00B879DF"/>
    <w:rsid w:val="00B87DFF"/>
    <w:rsid w:val="00B87EDE"/>
    <w:rsid w:val="00B87F53"/>
    <w:rsid w:val="00B902D2"/>
    <w:rsid w:val="00B9053D"/>
    <w:rsid w:val="00B90685"/>
    <w:rsid w:val="00B9088F"/>
    <w:rsid w:val="00B908D0"/>
    <w:rsid w:val="00B90A36"/>
    <w:rsid w:val="00B91035"/>
    <w:rsid w:val="00B910C6"/>
    <w:rsid w:val="00B9140B"/>
    <w:rsid w:val="00B9163C"/>
    <w:rsid w:val="00B918EF"/>
    <w:rsid w:val="00B91A53"/>
    <w:rsid w:val="00B91B9A"/>
    <w:rsid w:val="00B91D42"/>
    <w:rsid w:val="00B91DD9"/>
    <w:rsid w:val="00B91E97"/>
    <w:rsid w:val="00B91F8D"/>
    <w:rsid w:val="00B9213D"/>
    <w:rsid w:val="00B92929"/>
    <w:rsid w:val="00B92968"/>
    <w:rsid w:val="00B929A5"/>
    <w:rsid w:val="00B92A7D"/>
    <w:rsid w:val="00B92D0A"/>
    <w:rsid w:val="00B93030"/>
    <w:rsid w:val="00B937CA"/>
    <w:rsid w:val="00B9388C"/>
    <w:rsid w:val="00B93A1E"/>
    <w:rsid w:val="00B95329"/>
    <w:rsid w:val="00B9565A"/>
    <w:rsid w:val="00B95752"/>
    <w:rsid w:val="00B95A11"/>
    <w:rsid w:val="00B95B32"/>
    <w:rsid w:val="00B95B33"/>
    <w:rsid w:val="00B95BA9"/>
    <w:rsid w:val="00B960F4"/>
    <w:rsid w:val="00B96477"/>
    <w:rsid w:val="00B965D1"/>
    <w:rsid w:val="00B965F7"/>
    <w:rsid w:val="00B96C02"/>
    <w:rsid w:val="00B96D85"/>
    <w:rsid w:val="00B973EE"/>
    <w:rsid w:val="00B976F0"/>
    <w:rsid w:val="00B977D3"/>
    <w:rsid w:val="00B977E9"/>
    <w:rsid w:val="00B97B6A"/>
    <w:rsid w:val="00B97BE7"/>
    <w:rsid w:val="00BA00D7"/>
    <w:rsid w:val="00BA01BF"/>
    <w:rsid w:val="00BA060F"/>
    <w:rsid w:val="00BA06FC"/>
    <w:rsid w:val="00BA07CA"/>
    <w:rsid w:val="00BA08B8"/>
    <w:rsid w:val="00BA0BD5"/>
    <w:rsid w:val="00BA0EEF"/>
    <w:rsid w:val="00BA0F75"/>
    <w:rsid w:val="00BA1018"/>
    <w:rsid w:val="00BA108F"/>
    <w:rsid w:val="00BA10AE"/>
    <w:rsid w:val="00BA1162"/>
    <w:rsid w:val="00BA1180"/>
    <w:rsid w:val="00BA1662"/>
    <w:rsid w:val="00BA1968"/>
    <w:rsid w:val="00BA1A15"/>
    <w:rsid w:val="00BA1C99"/>
    <w:rsid w:val="00BA1DAE"/>
    <w:rsid w:val="00BA1FB9"/>
    <w:rsid w:val="00BA20E2"/>
    <w:rsid w:val="00BA2226"/>
    <w:rsid w:val="00BA22EB"/>
    <w:rsid w:val="00BA254A"/>
    <w:rsid w:val="00BA26AC"/>
    <w:rsid w:val="00BA2AC8"/>
    <w:rsid w:val="00BA2BE2"/>
    <w:rsid w:val="00BA2C6B"/>
    <w:rsid w:val="00BA36B3"/>
    <w:rsid w:val="00BA3D78"/>
    <w:rsid w:val="00BA3E23"/>
    <w:rsid w:val="00BA441C"/>
    <w:rsid w:val="00BA45E5"/>
    <w:rsid w:val="00BA53B7"/>
    <w:rsid w:val="00BA567B"/>
    <w:rsid w:val="00BA59BD"/>
    <w:rsid w:val="00BA5A1D"/>
    <w:rsid w:val="00BA5B0E"/>
    <w:rsid w:val="00BA5B4C"/>
    <w:rsid w:val="00BA5CA8"/>
    <w:rsid w:val="00BA64EC"/>
    <w:rsid w:val="00BA67F5"/>
    <w:rsid w:val="00BA67F8"/>
    <w:rsid w:val="00BA68D3"/>
    <w:rsid w:val="00BA6AC8"/>
    <w:rsid w:val="00BA6F44"/>
    <w:rsid w:val="00BA71B3"/>
    <w:rsid w:val="00BA7325"/>
    <w:rsid w:val="00BA7339"/>
    <w:rsid w:val="00BA7CBC"/>
    <w:rsid w:val="00BA7D33"/>
    <w:rsid w:val="00BA7EC1"/>
    <w:rsid w:val="00BB0319"/>
    <w:rsid w:val="00BB03F4"/>
    <w:rsid w:val="00BB0AD3"/>
    <w:rsid w:val="00BB0BCE"/>
    <w:rsid w:val="00BB0DC6"/>
    <w:rsid w:val="00BB146A"/>
    <w:rsid w:val="00BB1641"/>
    <w:rsid w:val="00BB1778"/>
    <w:rsid w:val="00BB1D62"/>
    <w:rsid w:val="00BB1DAC"/>
    <w:rsid w:val="00BB1DF3"/>
    <w:rsid w:val="00BB1F57"/>
    <w:rsid w:val="00BB1F78"/>
    <w:rsid w:val="00BB2097"/>
    <w:rsid w:val="00BB22CE"/>
    <w:rsid w:val="00BB242C"/>
    <w:rsid w:val="00BB287C"/>
    <w:rsid w:val="00BB2C41"/>
    <w:rsid w:val="00BB30DF"/>
    <w:rsid w:val="00BB3228"/>
    <w:rsid w:val="00BB3229"/>
    <w:rsid w:val="00BB324F"/>
    <w:rsid w:val="00BB3268"/>
    <w:rsid w:val="00BB32A5"/>
    <w:rsid w:val="00BB3308"/>
    <w:rsid w:val="00BB340C"/>
    <w:rsid w:val="00BB3FF5"/>
    <w:rsid w:val="00BB464C"/>
    <w:rsid w:val="00BB48F0"/>
    <w:rsid w:val="00BB4A95"/>
    <w:rsid w:val="00BB4B07"/>
    <w:rsid w:val="00BB4D57"/>
    <w:rsid w:val="00BB504A"/>
    <w:rsid w:val="00BB50E0"/>
    <w:rsid w:val="00BB52BA"/>
    <w:rsid w:val="00BB5711"/>
    <w:rsid w:val="00BB596B"/>
    <w:rsid w:val="00BB59CB"/>
    <w:rsid w:val="00BB5F3E"/>
    <w:rsid w:val="00BB641C"/>
    <w:rsid w:val="00BB65B0"/>
    <w:rsid w:val="00BB6BCB"/>
    <w:rsid w:val="00BB6DB1"/>
    <w:rsid w:val="00BB6F1C"/>
    <w:rsid w:val="00BB705C"/>
    <w:rsid w:val="00BB707B"/>
    <w:rsid w:val="00BB76B0"/>
    <w:rsid w:val="00BB7BEA"/>
    <w:rsid w:val="00BC00C8"/>
    <w:rsid w:val="00BC0398"/>
    <w:rsid w:val="00BC086B"/>
    <w:rsid w:val="00BC08EA"/>
    <w:rsid w:val="00BC0951"/>
    <w:rsid w:val="00BC0955"/>
    <w:rsid w:val="00BC0C6F"/>
    <w:rsid w:val="00BC0D46"/>
    <w:rsid w:val="00BC1110"/>
    <w:rsid w:val="00BC16E2"/>
    <w:rsid w:val="00BC1A49"/>
    <w:rsid w:val="00BC1B34"/>
    <w:rsid w:val="00BC1BB1"/>
    <w:rsid w:val="00BC1C3E"/>
    <w:rsid w:val="00BC2107"/>
    <w:rsid w:val="00BC213E"/>
    <w:rsid w:val="00BC2209"/>
    <w:rsid w:val="00BC2267"/>
    <w:rsid w:val="00BC26D0"/>
    <w:rsid w:val="00BC275E"/>
    <w:rsid w:val="00BC2A76"/>
    <w:rsid w:val="00BC2F08"/>
    <w:rsid w:val="00BC2F59"/>
    <w:rsid w:val="00BC31A8"/>
    <w:rsid w:val="00BC327C"/>
    <w:rsid w:val="00BC34E7"/>
    <w:rsid w:val="00BC372A"/>
    <w:rsid w:val="00BC3999"/>
    <w:rsid w:val="00BC3AA6"/>
    <w:rsid w:val="00BC3AB9"/>
    <w:rsid w:val="00BC3DB1"/>
    <w:rsid w:val="00BC3DDE"/>
    <w:rsid w:val="00BC3E14"/>
    <w:rsid w:val="00BC3E72"/>
    <w:rsid w:val="00BC3ED3"/>
    <w:rsid w:val="00BC3F2E"/>
    <w:rsid w:val="00BC4049"/>
    <w:rsid w:val="00BC41B0"/>
    <w:rsid w:val="00BC430D"/>
    <w:rsid w:val="00BC4925"/>
    <w:rsid w:val="00BC4929"/>
    <w:rsid w:val="00BC4ABA"/>
    <w:rsid w:val="00BC4AD0"/>
    <w:rsid w:val="00BC4C70"/>
    <w:rsid w:val="00BC5054"/>
    <w:rsid w:val="00BC50E9"/>
    <w:rsid w:val="00BC52E9"/>
    <w:rsid w:val="00BC552D"/>
    <w:rsid w:val="00BC56B7"/>
    <w:rsid w:val="00BC5774"/>
    <w:rsid w:val="00BC5813"/>
    <w:rsid w:val="00BC59F4"/>
    <w:rsid w:val="00BC681D"/>
    <w:rsid w:val="00BC6843"/>
    <w:rsid w:val="00BC6855"/>
    <w:rsid w:val="00BC6922"/>
    <w:rsid w:val="00BC6C8B"/>
    <w:rsid w:val="00BC6CED"/>
    <w:rsid w:val="00BC7C06"/>
    <w:rsid w:val="00BC7DC7"/>
    <w:rsid w:val="00BD03E9"/>
    <w:rsid w:val="00BD055C"/>
    <w:rsid w:val="00BD070F"/>
    <w:rsid w:val="00BD11C4"/>
    <w:rsid w:val="00BD12B5"/>
    <w:rsid w:val="00BD12FD"/>
    <w:rsid w:val="00BD1641"/>
    <w:rsid w:val="00BD1E7B"/>
    <w:rsid w:val="00BD1FEF"/>
    <w:rsid w:val="00BD2055"/>
    <w:rsid w:val="00BD220D"/>
    <w:rsid w:val="00BD2497"/>
    <w:rsid w:val="00BD25C7"/>
    <w:rsid w:val="00BD2C66"/>
    <w:rsid w:val="00BD2FEC"/>
    <w:rsid w:val="00BD33C9"/>
    <w:rsid w:val="00BD3705"/>
    <w:rsid w:val="00BD3955"/>
    <w:rsid w:val="00BD3A13"/>
    <w:rsid w:val="00BD3BC5"/>
    <w:rsid w:val="00BD3DE1"/>
    <w:rsid w:val="00BD4081"/>
    <w:rsid w:val="00BD414F"/>
    <w:rsid w:val="00BD424A"/>
    <w:rsid w:val="00BD496A"/>
    <w:rsid w:val="00BD4B0A"/>
    <w:rsid w:val="00BD4ED0"/>
    <w:rsid w:val="00BD4F47"/>
    <w:rsid w:val="00BD51E6"/>
    <w:rsid w:val="00BD531C"/>
    <w:rsid w:val="00BD55FE"/>
    <w:rsid w:val="00BD56C2"/>
    <w:rsid w:val="00BD5B6E"/>
    <w:rsid w:val="00BD5EA7"/>
    <w:rsid w:val="00BD5EB8"/>
    <w:rsid w:val="00BD5F6B"/>
    <w:rsid w:val="00BD61DF"/>
    <w:rsid w:val="00BD637A"/>
    <w:rsid w:val="00BD6465"/>
    <w:rsid w:val="00BD7052"/>
    <w:rsid w:val="00BD72C5"/>
    <w:rsid w:val="00BD78C5"/>
    <w:rsid w:val="00BD7BDB"/>
    <w:rsid w:val="00BE04E5"/>
    <w:rsid w:val="00BE0834"/>
    <w:rsid w:val="00BE086B"/>
    <w:rsid w:val="00BE0B71"/>
    <w:rsid w:val="00BE0F6E"/>
    <w:rsid w:val="00BE119A"/>
    <w:rsid w:val="00BE11F4"/>
    <w:rsid w:val="00BE1560"/>
    <w:rsid w:val="00BE1828"/>
    <w:rsid w:val="00BE1EF3"/>
    <w:rsid w:val="00BE2072"/>
    <w:rsid w:val="00BE2199"/>
    <w:rsid w:val="00BE23C6"/>
    <w:rsid w:val="00BE2D17"/>
    <w:rsid w:val="00BE2E75"/>
    <w:rsid w:val="00BE2F13"/>
    <w:rsid w:val="00BE321B"/>
    <w:rsid w:val="00BE3522"/>
    <w:rsid w:val="00BE35A7"/>
    <w:rsid w:val="00BE367A"/>
    <w:rsid w:val="00BE36B9"/>
    <w:rsid w:val="00BE3D6C"/>
    <w:rsid w:val="00BE3FC7"/>
    <w:rsid w:val="00BE459C"/>
    <w:rsid w:val="00BE4698"/>
    <w:rsid w:val="00BE47B7"/>
    <w:rsid w:val="00BE47D6"/>
    <w:rsid w:val="00BE4979"/>
    <w:rsid w:val="00BE49C8"/>
    <w:rsid w:val="00BE4DD7"/>
    <w:rsid w:val="00BE5081"/>
    <w:rsid w:val="00BE5149"/>
    <w:rsid w:val="00BE5382"/>
    <w:rsid w:val="00BE54F2"/>
    <w:rsid w:val="00BE557C"/>
    <w:rsid w:val="00BE5C9F"/>
    <w:rsid w:val="00BE6966"/>
    <w:rsid w:val="00BE6BBA"/>
    <w:rsid w:val="00BE6D5F"/>
    <w:rsid w:val="00BE6F42"/>
    <w:rsid w:val="00BE6FC4"/>
    <w:rsid w:val="00BE72EC"/>
    <w:rsid w:val="00BE7825"/>
    <w:rsid w:val="00BE78D0"/>
    <w:rsid w:val="00BE7C65"/>
    <w:rsid w:val="00BF00D3"/>
    <w:rsid w:val="00BF04DC"/>
    <w:rsid w:val="00BF05E2"/>
    <w:rsid w:val="00BF0615"/>
    <w:rsid w:val="00BF11D0"/>
    <w:rsid w:val="00BF12E7"/>
    <w:rsid w:val="00BF137A"/>
    <w:rsid w:val="00BF16B8"/>
    <w:rsid w:val="00BF1B19"/>
    <w:rsid w:val="00BF1DD4"/>
    <w:rsid w:val="00BF2124"/>
    <w:rsid w:val="00BF21CE"/>
    <w:rsid w:val="00BF2912"/>
    <w:rsid w:val="00BF2EF7"/>
    <w:rsid w:val="00BF3619"/>
    <w:rsid w:val="00BF3C3B"/>
    <w:rsid w:val="00BF3C5F"/>
    <w:rsid w:val="00BF3D33"/>
    <w:rsid w:val="00BF3D60"/>
    <w:rsid w:val="00BF4417"/>
    <w:rsid w:val="00BF47C9"/>
    <w:rsid w:val="00BF4EE0"/>
    <w:rsid w:val="00BF5212"/>
    <w:rsid w:val="00BF566E"/>
    <w:rsid w:val="00BF5783"/>
    <w:rsid w:val="00BF58E8"/>
    <w:rsid w:val="00BF596D"/>
    <w:rsid w:val="00BF5A0D"/>
    <w:rsid w:val="00BF5D3D"/>
    <w:rsid w:val="00BF5DF0"/>
    <w:rsid w:val="00BF5F37"/>
    <w:rsid w:val="00BF603A"/>
    <w:rsid w:val="00BF607B"/>
    <w:rsid w:val="00BF6334"/>
    <w:rsid w:val="00BF63C9"/>
    <w:rsid w:val="00BF6A0B"/>
    <w:rsid w:val="00BF6A3C"/>
    <w:rsid w:val="00BF6B0B"/>
    <w:rsid w:val="00BF6DD7"/>
    <w:rsid w:val="00BF6F1C"/>
    <w:rsid w:val="00BF7194"/>
    <w:rsid w:val="00BF7618"/>
    <w:rsid w:val="00BF7738"/>
    <w:rsid w:val="00C002F2"/>
    <w:rsid w:val="00C00505"/>
    <w:rsid w:val="00C005A6"/>
    <w:rsid w:val="00C00678"/>
    <w:rsid w:val="00C00DE4"/>
    <w:rsid w:val="00C00E5C"/>
    <w:rsid w:val="00C013B3"/>
    <w:rsid w:val="00C0174A"/>
    <w:rsid w:val="00C0181E"/>
    <w:rsid w:val="00C0187E"/>
    <w:rsid w:val="00C01C6D"/>
    <w:rsid w:val="00C024EE"/>
    <w:rsid w:val="00C0278B"/>
    <w:rsid w:val="00C02A4B"/>
    <w:rsid w:val="00C033EE"/>
    <w:rsid w:val="00C0341E"/>
    <w:rsid w:val="00C0349B"/>
    <w:rsid w:val="00C0365B"/>
    <w:rsid w:val="00C03D93"/>
    <w:rsid w:val="00C03DBA"/>
    <w:rsid w:val="00C04077"/>
    <w:rsid w:val="00C04079"/>
    <w:rsid w:val="00C0412C"/>
    <w:rsid w:val="00C04227"/>
    <w:rsid w:val="00C04356"/>
    <w:rsid w:val="00C04576"/>
    <w:rsid w:val="00C04777"/>
    <w:rsid w:val="00C047D6"/>
    <w:rsid w:val="00C04AAA"/>
    <w:rsid w:val="00C04B1E"/>
    <w:rsid w:val="00C04D92"/>
    <w:rsid w:val="00C050E8"/>
    <w:rsid w:val="00C05440"/>
    <w:rsid w:val="00C05754"/>
    <w:rsid w:val="00C057D4"/>
    <w:rsid w:val="00C05995"/>
    <w:rsid w:val="00C0608F"/>
    <w:rsid w:val="00C0657E"/>
    <w:rsid w:val="00C06A54"/>
    <w:rsid w:val="00C06AA2"/>
    <w:rsid w:val="00C06C8A"/>
    <w:rsid w:val="00C06EFF"/>
    <w:rsid w:val="00C0702A"/>
    <w:rsid w:val="00C072F5"/>
    <w:rsid w:val="00C07384"/>
    <w:rsid w:val="00C0748C"/>
    <w:rsid w:val="00C07510"/>
    <w:rsid w:val="00C0785E"/>
    <w:rsid w:val="00C07A9C"/>
    <w:rsid w:val="00C07C61"/>
    <w:rsid w:val="00C07EFD"/>
    <w:rsid w:val="00C07F64"/>
    <w:rsid w:val="00C10028"/>
    <w:rsid w:val="00C10322"/>
    <w:rsid w:val="00C106BA"/>
    <w:rsid w:val="00C107C2"/>
    <w:rsid w:val="00C10933"/>
    <w:rsid w:val="00C10B34"/>
    <w:rsid w:val="00C10E65"/>
    <w:rsid w:val="00C10E97"/>
    <w:rsid w:val="00C11939"/>
    <w:rsid w:val="00C11B0D"/>
    <w:rsid w:val="00C1232B"/>
    <w:rsid w:val="00C12386"/>
    <w:rsid w:val="00C12428"/>
    <w:rsid w:val="00C12AFA"/>
    <w:rsid w:val="00C12C2C"/>
    <w:rsid w:val="00C12C47"/>
    <w:rsid w:val="00C1319C"/>
    <w:rsid w:val="00C13377"/>
    <w:rsid w:val="00C13791"/>
    <w:rsid w:val="00C13890"/>
    <w:rsid w:val="00C138F1"/>
    <w:rsid w:val="00C1393F"/>
    <w:rsid w:val="00C139E3"/>
    <w:rsid w:val="00C13DC8"/>
    <w:rsid w:val="00C1410F"/>
    <w:rsid w:val="00C14380"/>
    <w:rsid w:val="00C144CA"/>
    <w:rsid w:val="00C14960"/>
    <w:rsid w:val="00C14A9D"/>
    <w:rsid w:val="00C14B9C"/>
    <w:rsid w:val="00C14C7E"/>
    <w:rsid w:val="00C14FDE"/>
    <w:rsid w:val="00C1546E"/>
    <w:rsid w:val="00C15563"/>
    <w:rsid w:val="00C15CBC"/>
    <w:rsid w:val="00C1602B"/>
    <w:rsid w:val="00C160BD"/>
    <w:rsid w:val="00C165B9"/>
    <w:rsid w:val="00C168FF"/>
    <w:rsid w:val="00C16956"/>
    <w:rsid w:val="00C16A90"/>
    <w:rsid w:val="00C17380"/>
    <w:rsid w:val="00C174A5"/>
    <w:rsid w:val="00C17F8A"/>
    <w:rsid w:val="00C20319"/>
    <w:rsid w:val="00C2072B"/>
    <w:rsid w:val="00C20BED"/>
    <w:rsid w:val="00C212AF"/>
    <w:rsid w:val="00C2167A"/>
    <w:rsid w:val="00C21738"/>
    <w:rsid w:val="00C21D18"/>
    <w:rsid w:val="00C21FB8"/>
    <w:rsid w:val="00C22471"/>
    <w:rsid w:val="00C22542"/>
    <w:rsid w:val="00C226D6"/>
    <w:rsid w:val="00C2275A"/>
    <w:rsid w:val="00C22A15"/>
    <w:rsid w:val="00C22BD9"/>
    <w:rsid w:val="00C22DEB"/>
    <w:rsid w:val="00C22F9E"/>
    <w:rsid w:val="00C2346F"/>
    <w:rsid w:val="00C2368B"/>
    <w:rsid w:val="00C23F0A"/>
    <w:rsid w:val="00C24293"/>
    <w:rsid w:val="00C2446C"/>
    <w:rsid w:val="00C24FD0"/>
    <w:rsid w:val="00C25147"/>
    <w:rsid w:val="00C2564E"/>
    <w:rsid w:val="00C25850"/>
    <w:rsid w:val="00C258FD"/>
    <w:rsid w:val="00C25BB8"/>
    <w:rsid w:val="00C25CE4"/>
    <w:rsid w:val="00C25DD4"/>
    <w:rsid w:val="00C26216"/>
    <w:rsid w:val="00C2668E"/>
    <w:rsid w:val="00C26910"/>
    <w:rsid w:val="00C2693B"/>
    <w:rsid w:val="00C26C21"/>
    <w:rsid w:val="00C26C7F"/>
    <w:rsid w:val="00C26E50"/>
    <w:rsid w:val="00C27679"/>
    <w:rsid w:val="00C27A2E"/>
    <w:rsid w:val="00C27B8C"/>
    <w:rsid w:val="00C27BC6"/>
    <w:rsid w:val="00C27EC2"/>
    <w:rsid w:val="00C300C7"/>
    <w:rsid w:val="00C30620"/>
    <w:rsid w:val="00C30AF5"/>
    <w:rsid w:val="00C30C6B"/>
    <w:rsid w:val="00C30DDA"/>
    <w:rsid w:val="00C30EB7"/>
    <w:rsid w:val="00C30F18"/>
    <w:rsid w:val="00C31223"/>
    <w:rsid w:val="00C31342"/>
    <w:rsid w:val="00C319A7"/>
    <w:rsid w:val="00C31AA9"/>
    <w:rsid w:val="00C31EB6"/>
    <w:rsid w:val="00C32170"/>
    <w:rsid w:val="00C32F08"/>
    <w:rsid w:val="00C32FA9"/>
    <w:rsid w:val="00C33146"/>
    <w:rsid w:val="00C336CB"/>
    <w:rsid w:val="00C33B77"/>
    <w:rsid w:val="00C34022"/>
    <w:rsid w:val="00C3443E"/>
    <w:rsid w:val="00C349A9"/>
    <w:rsid w:val="00C34CCE"/>
    <w:rsid w:val="00C350D6"/>
    <w:rsid w:val="00C350F0"/>
    <w:rsid w:val="00C3563F"/>
    <w:rsid w:val="00C35749"/>
    <w:rsid w:val="00C35936"/>
    <w:rsid w:val="00C35980"/>
    <w:rsid w:val="00C35D76"/>
    <w:rsid w:val="00C360B5"/>
    <w:rsid w:val="00C3630E"/>
    <w:rsid w:val="00C3631A"/>
    <w:rsid w:val="00C3652E"/>
    <w:rsid w:val="00C36732"/>
    <w:rsid w:val="00C370C9"/>
    <w:rsid w:val="00C37459"/>
    <w:rsid w:val="00C374A0"/>
    <w:rsid w:val="00C37771"/>
    <w:rsid w:val="00C37974"/>
    <w:rsid w:val="00C37977"/>
    <w:rsid w:val="00C379B7"/>
    <w:rsid w:val="00C37E6A"/>
    <w:rsid w:val="00C400CA"/>
    <w:rsid w:val="00C40349"/>
    <w:rsid w:val="00C40C51"/>
    <w:rsid w:val="00C41409"/>
    <w:rsid w:val="00C416E5"/>
    <w:rsid w:val="00C41761"/>
    <w:rsid w:val="00C41E6C"/>
    <w:rsid w:val="00C41F1B"/>
    <w:rsid w:val="00C423DE"/>
    <w:rsid w:val="00C428E6"/>
    <w:rsid w:val="00C43169"/>
    <w:rsid w:val="00C43194"/>
    <w:rsid w:val="00C435A7"/>
    <w:rsid w:val="00C4378D"/>
    <w:rsid w:val="00C4385A"/>
    <w:rsid w:val="00C43D33"/>
    <w:rsid w:val="00C43ED8"/>
    <w:rsid w:val="00C43FED"/>
    <w:rsid w:val="00C44223"/>
    <w:rsid w:val="00C4456D"/>
    <w:rsid w:val="00C445FB"/>
    <w:rsid w:val="00C449E4"/>
    <w:rsid w:val="00C44B35"/>
    <w:rsid w:val="00C44E34"/>
    <w:rsid w:val="00C44F9C"/>
    <w:rsid w:val="00C45213"/>
    <w:rsid w:val="00C458D6"/>
    <w:rsid w:val="00C45984"/>
    <w:rsid w:val="00C4622B"/>
    <w:rsid w:val="00C4642C"/>
    <w:rsid w:val="00C4678A"/>
    <w:rsid w:val="00C46AE7"/>
    <w:rsid w:val="00C46B54"/>
    <w:rsid w:val="00C46CD5"/>
    <w:rsid w:val="00C46D4B"/>
    <w:rsid w:val="00C46D73"/>
    <w:rsid w:val="00C47418"/>
    <w:rsid w:val="00C4766C"/>
    <w:rsid w:val="00C477A1"/>
    <w:rsid w:val="00C4784B"/>
    <w:rsid w:val="00C479F2"/>
    <w:rsid w:val="00C5007F"/>
    <w:rsid w:val="00C502DF"/>
    <w:rsid w:val="00C50F3A"/>
    <w:rsid w:val="00C51053"/>
    <w:rsid w:val="00C51087"/>
    <w:rsid w:val="00C513F6"/>
    <w:rsid w:val="00C5152D"/>
    <w:rsid w:val="00C5156A"/>
    <w:rsid w:val="00C51859"/>
    <w:rsid w:val="00C518AD"/>
    <w:rsid w:val="00C5190E"/>
    <w:rsid w:val="00C51DE0"/>
    <w:rsid w:val="00C51DEA"/>
    <w:rsid w:val="00C5240E"/>
    <w:rsid w:val="00C52B63"/>
    <w:rsid w:val="00C52DAF"/>
    <w:rsid w:val="00C52EFA"/>
    <w:rsid w:val="00C53095"/>
    <w:rsid w:val="00C53256"/>
    <w:rsid w:val="00C53734"/>
    <w:rsid w:val="00C537BC"/>
    <w:rsid w:val="00C53A09"/>
    <w:rsid w:val="00C53B60"/>
    <w:rsid w:val="00C53C8C"/>
    <w:rsid w:val="00C54010"/>
    <w:rsid w:val="00C5426C"/>
    <w:rsid w:val="00C54366"/>
    <w:rsid w:val="00C54467"/>
    <w:rsid w:val="00C5468B"/>
    <w:rsid w:val="00C54716"/>
    <w:rsid w:val="00C54857"/>
    <w:rsid w:val="00C5497C"/>
    <w:rsid w:val="00C54A14"/>
    <w:rsid w:val="00C54F4C"/>
    <w:rsid w:val="00C550F4"/>
    <w:rsid w:val="00C551E4"/>
    <w:rsid w:val="00C55245"/>
    <w:rsid w:val="00C55421"/>
    <w:rsid w:val="00C554CA"/>
    <w:rsid w:val="00C556BB"/>
    <w:rsid w:val="00C55D39"/>
    <w:rsid w:val="00C55DB3"/>
    <w:rsid w:val="00C560A2"/>
    <w:rsid w:val="00C561D5"/>
    <w:rsid w:val="00C561E9"/>
    <w:rsid w:val="00C562FB"/>
    <w:rsid w:val="00C5680D"/>
    <w:rsid w:val="00C56A9F"/>
    <w:rsid w:val="00C5742B"/>
    <w:rsid w:val="00C575A3"/>
    <w:rsid w:val="00C5762D"/>
    <w:rsid w:val="00C577D7"/>
    <w:rsid w:val="00C57807"/>
    <w:rsid w:val="00C57B63"/>
    <w:rsid w:val="00C57D7F"/>
    <w:rsid w:val="00C57FED"/>
    <w:rsid w:val="00C60034"/>
    <w:rsid w:val="00C6035B"/>
    <w:rsid w:val="00C604DB"/>
    <w:rsid w:val="00C6059B"/>
    <w:rsid w:val="00C60717"/>
    <w:rsid w:val="00C608E3"/>
    <w:rsid w:val="00C60B70"/>
    <w:rsid w:val="00C60C03"/>
    <w:rsid w:val="00C61144"/>
    <w:rsid w:val="00C61876"/>
    <w:rsid w:val="00C619E3"/>
    <w:rsid w:val="00C61C80"/>
    <w:rsid w:val="00C61F9B"/>
    <w:rsid w:val="00C623C2"/>
    <w:rsid w:val="00C62916"/>
    <w:rsid w:val="00C62B18"/>
    <w:rsid w:val="00C63242"/>
    <w:rsid w:val="00C633C5"/>
    <w:rsid w:val="00C6370D"/>
    <w:rsid w:val="00C6398C"/>
    <w:rsid w:val="00C63C23"/>
    <w:rsid w:val="00C63D99"/>
    <w:rsid w:val="00C63F2B"/>
    <w:rsid w:val="00C6406B"/>
    <w:rsid w:val="00C64428"/>
    <w:rsid w:val="00C6484E"/>
    <w:rsid w:val="00C648F9"/>
    <w:rsid w:val="00C64A93"/>
    <w:rsid w:val="00C64DE0"/>
    <w:rsid w:val="00C64EA0"/>
    <w:rsid w:val="00C64F3D"/>
    <w:rsid w:val="00C64F57"/>
    <w:rsid w:val="00C6500B"/>
    <w:rsid w:val="00C650A8"/>
    <w:rsid w:val="00C651E6"/>
    <w:rsid w:val="00C65285"/>
    <w:rsid w:val="00C6555E"/>
    <w:rsid w:val="00C658D2"/>
    <w:rsid w:val="00C65AB9"/>
    <w:rsid w:val="00C6611C"/>
    <w:rsid w:val="00C66396"/>
    <w:rsid w:val="00C6656B"/>
    <w:rsid w:val="00C66F13"/>
    <w:rsid w:val="00C6729A"/>
    <w:rsid w:val="00C676AB"/>
    <w:rsid w:val="00C67716"/>
    <w:rsid w:val="00C677CF"/>
    <w:rsid w:val="00C67874"/>
    <w:rsid w:val="00C6789A"/>
    <w:rsid w:val="00C67B13"/>
    <w:rsid w:val="00C67D2B"/>
    <w:rsid w:val="00C7010A"/>
    <w:rsid w:val="00C702DD"/>
    <w:rsid w:val="00C70666"/>
    <w:rsid w:val="00C70D55"/>
    <w:rsid w:val="00C70EE5"/>
    <w:rsid w:val="00C7129E"/>
    <w:rsid w:val="00C71598"/>
    <w:rsid w:val="00C71A3E"/>
    <w:rsid w:val="00C71FA9"/>
    <w:rsid w:val="00C72143"/>
    <w:rsid w:val="00C721F1"/>
    <w:rsid w:val="00C72430"/>
    <w:rsid w:val="00C72937"/>
    <w:rsid w:val="00C729F2"/>
    <w:rsid w:val="00C72E9B"/>
    <w:rsid w:val="00C731E1"/>
    <w:rsid w:val="00C73332"/>
    <w:rsid w:val="00C73EC0"/>
    <w:rsid w:val="00C73F03"/>
    <w:rsid w:val="00C74283"/>
    <w:rsid w:val="00C74A5B"/>
    <w:rsid w:val="00C74A77"/>
    <w:rsid w:val="00C74C9C"/>
    <w:rsid w:val="00C74D27"/>
    <w:rsid w:val="00C74FCF"/>
    <w:rsid w:val="00C7575A"/>
    <w:rsid w:val="00C75961"/>
    <w:rsid w:val="00C75C70"/>
    <w:rsid w:val="00C75C90"/>
    <w:rsid w:val="00C75CF6"/>
    <w:rsid w:val="00C75F75"/>
    <w:rsid w:val="00C75F9E"/>
    <w:rsid w:val="00C76095"/>
    <w:rsid w:val="00C7644C"/>
    <w:rsid w:val="00C76581"/>
    <w:rsid w:val="00C7667B"/>
    <w:rsid w:val="00C766E3"/>
    <w:rsid w:val="00C767C3"/>
    <w:rsid w:val="00C7682F"/>
    <w:rsid w:val="00C769BE"/>
    <w:rsid w:val="00C76B7D"/>
    <w:rsid w:val="00C76C01"/>
    <w:rsid w:val="00C76DBA"/>
    <w:rsid w:val="00C76F22"/>
    <w:rsid w:val="00C77BCE"/>
    <w:rsid w:val="00C77CDF"/>
    <w:rsid w:val="00C803F5"/>
    <w:rsid w:val="00C806B3"/>
    <w:rsid w:val="00C80796"/>
    <w:rsid w:val="00C809D6"/>
    <w:rsid w:val="00C809E9"/>
    <w:rsid w:val="00C80A53"/>
    <w:rsid w:val="00C80B32"/>
    <w:rsid w:val="00C80EBF"/>
    <w:rsid w:val="00C8142A"/>
    <w:rsid w:val="00C814EF"/>
    <w:rsid w:val="00C81D3D"/>
    <w:rsid w:val="00C81FE0"/>
    <w:rsid w:val="00C82067"/>
    <w:rsid w:val="00C8239B"/>
    <w:rsid w:val="00C82707"/>
    <w:rsid w:val="00C827F9"/>
    <w:rsid w:val="00C83184"/>
    <w:rsid w:val="00C831E7"/>
    <w:rsid w:val="00C83372"/>
    <w:rsid w:val="00C83454"/>
    <w:rsid w:val="00C837EE"/>
    <w:rsid w:val="00C83832"/>
    <w:rsid w:val="00C83841"/>
    <w:rsid w:val="00C83881"/>
    <w:rsid w:val="00C838C0"/>
    <w:rsid w:val="00C83908"/>
    <w:rsid w:val="00C83E5E"/>
    <w:rsid w:val="00C840EF"/>
    <w:rsid w:val="00C841AE"/>
    <w:rsid w:val="00C842DE"/>
    <w:rsid w:val="00C843F4"/>
    <w:rsid w:val="00C84432"/>
    <w:rsid w:val="00C84579"/>
    <w:rsid w:val="00C8475D"/>
    <w:rsid w:val="00C84AC7"/>
    <w:rsid w:val="00C84AE4"/>
    <w:rsid w:val="00C84CEF"/>
    <w:rsid w:val="00C84D9B"/>
    <w:rsid w:val="00C84E80"/>
    <w:rsid w:val="00C85086"/>
    <w:rsid w:val="00C85367"/>
    <w:rsid w:val="00C853E1"/>
    <w:rsid w:val="00C85CA2"/>
    <w:rsid w:val="00C85E5D"/>
    <w:rsid w:val="00C85E64"/>
    <w:rsid w:val="00C85F33"/>
    <w:rsid w:val="00C863D5"/>
    <w:rsid w:val="00C864D8"/>
    <w:rsid w:val="00C86585"/>
    <w:rsid w:val="00C865BE"/>
    <w:rsid w:val="00C86A05"/>
    <w:rsid w:val="00C86AFE"/>
    <w:rsid w:val="00C86B47"/>
    <w:rsid w:val="00C86BEC"/>
    <w:rsid w:val="00C86BF2"/>
    <w:rsid w:val="00C86BFE"/>
    <w:rsid w:val="00C86DBA"/>
    <w:rsid w:val="00C872BD"/>
    <w:rsid w:val="00C8788B"/>
    <w:rsid w:val="00C878EE"/>
    <w:rsid w:val="00C87940"/>
    <w:rsid w:val="00C87A59"/>
    <w:rsid w:val="00C87B43"/>
    <w:rsid w:val="00C90477"/>
    <w:rsid w:val="00C90614"/>
    <w:rsid w:val="00C9061C"/>
    <w:rsid w:val="00C90ABE"/>
    <w:rsid w:val="00C90E7A"/>
    <w:rsid w:val="00C9138C"/>
    <w:rsid w:val="00C914FE"/>
    <w:rsid w:val="00C91BCD"/>
    <w:rsid w:val="00C91D12"/>
    <w:rsid w:val="00C92277"/>
    <w:rsid w:val="00C9231B"/>
    <w:rsid w:val="00C929F4"/>
    <w:rsid w:val="00C92A02"/>
    <w:rsid w:val="00C92AFB"/>
    <w:rsid w:val="00C92C74"/>
    <w:rsid w:val="00C92CFE"/>
    <w:rsid w:val="00C92E2E"/>
    <w:rsid w:val="00C931CA"/>
    <w:rsid w:val="00C9333D"/>
    <w:rsid w:val="00C934D9"/>
    <w:rsid w:val="00C93617"/>
    <w:rsid w:val="00C9378A"/>
    <w:rsid w:val="00C93803"/>
    <w:rsid w:val="00C9453F"/>
    <w:rsid w:val="00C9472F"/>
    <w:rsid w:val="00C94812"/>
    <w:rsid w:val="00C948E5"/>
    <w:rsid w:val="00C94953"/>
    <w:rsid w:val="00C949F8"/>
    <w:rsid w:val="00C952E4"/>
    <w:rsid w:val="00C953C7"/>
    <w:rsid w:val="00C96322"/>
    <w:rsid w:val="00C96A1C"/>
    <w:rsid w:val="00C96E1C"/>
    <w:rsid w:val="00C97705"/>
    <w:rsid w:val="00C97AF1"/>
    <w:rsid w:val="00C97CC2"/>
    <w:rsid w:val="00CA00B9"/>
    <w:rsid w:val="00CA0815"/>
    <w:rsid w:val="00CA0A85"/>
    <w:rsid w:val="00CA0A88"/>
    <w:rsid w:val="00CA0FFA"/>
    <w:rsid w:val="00CA10A7"/>
    <w:rsid w:val="00CA14D3"/>
    <w:rsid w:val="00CA1860"/>
    <w:rsid w:val="00CA1A41"/>
    <w:rsid w:val="00CA1E74"/>
    <w:rsid w:val="00CA20A9"/>
    <w:rsid w:val="00CA2A92"/>
    <w:rsid w:val="00CA2B59"/>
    <w:rsid w:val="00CA2C92"/>
    <w:rsid w:val="00CA2D0E"/>
    <w:rsid w:val="00CA2E2F"/>
    <w:rsid w:val="00CA2E33"/>
    <w:rsid w:val="00CA2EAA"/>
    <w:rsid w:val="00CA2FC6"/>
    <w:rsid w:val="00CA3251"/>
    <w:rsid w:val="00CA344A"/>
    <w:rsid w:val="00CA3809"/>
    <w:rsid w:val="00CA3929"/>
    <w:rsid w:val="00CA3AE3"/>
    <w:rsid w:val="00CA3D0A"/>
    <w:rsid w:val="00CA3D12"/>
    <w:rsid w:val="00CA41F1"/>
    <w:rsid w:val="00CA4755"/>
    <w:rsid w:val="00CA476D"/>
    <w:rsid w:val="00CA49F8"/>
    <w:rsid w:val="00CA4FC6"/>
    <w:rsid w:val="00CA539A"/>
    <w:rsid w:val="00CA5402"/>
    <w:rsid w:val="00CA578C"/>
    <w:rsid w:val="00CA57A3"/>
    <w:rsid w:val="00CA5B98"/>
    <w:rsid w:val="00CA5E38"/>
    <w:rsid w:val="00CA65C4"/>
    <w:rsid w:val="00CA6690"/>
    <w:rsid w:val="00CA67C0"/>
    <w:rsid w:val="00CA6897"/>
    <w:rsid w:val="00CA69DA"/>
    <w:rsid w:val="00CA6DA3"/>
    <w:rsid w:val="00CA704E"/>
    <w:rsid w:val="00CA7160"/>
    <w:rsid w:val="00CA74AF"/>
    <w:rsid w:val="00CA7833"/>
    <w:rsid w:val="00CA7879"/>
    <w:rsid w:val="00CA79C8"/>
    <w:rsid w:val="00CA7A3E"/>
    <w:rsid w:val="00CA7CFC"/>
    <w:rsid w:val="00CA7F14"/>
    <w:rsid w:val="00CA7FF2"/>
    <w:rsid w:val="00CB009D"/>
    <w:rsid w:val="00CB0401"/>
    <w:rsid w:val="00CB06CD"/>
    <w:rsid w:val="00CB0B7D"/>
    <w:rsid w:val="00CB0EC3"/>
    <w:rsid w:val="00CB11E0"/>
    <w:rsid w:val="00CB1268"/>
    <w:rsid w:val="00CB155E"/>
    <w:rsid w:val="00CB183E"/>
    <w:rsid w:val="00CB2072"/>
    <w:rsid w:val="00CB2273"/>
    <w:rsid w:val="00CB22A5"/>
    <w:rsid w:val="00CB27C1"/>
    <w:rsid w:val="00CB2940"/>
    <w:rsid w:val="00CB2E3F"/>
    <w:rsid w:val="00CB2F4B"/>
    <w:rsid w:val="00CB2F50"/>
    <w:rsid w:val="00CB3293"/>
    <w:rsid w:val="00CB32AC"/>
    <w:rsid w:val="00CB380F"/>
    <w:rsid w:val="00CB3A74"/>
    <w:rsid w:val="00CB3D44"/>
    <w:rsid w:val="00CB4022"/>
    <w:rsid w:val="00CB43E2"/>
    <w:rsid w:val="00CB44A8"/>
    <w:rsid w:val="00CB48E6"/>
    <w:rsid w:val="00CB4963"/>
    <w:rsid w:val="00CB52B4"/>
    <w:rsid w:val="00CB5509"/>
    <w:rsid w:val="00CB55DB"/>
    <w:rsid w:val="00CB565B"/>
    <w:rsid w:val="00CB572F"/>
    <w:rsid w:val="00CB577E"/>
    <w:rsid w:val="00CB5997"/>
    <w:rsid w:val="00CB5A44"/>
    <w:rsid w:val="00CB5AB2"/>
    <w:rsid w:val="00CB5B6B"/>
    <w:rsid w:val="00CB5C36"/>
    <w:rsid w:val="00CB5CDF"/>
    <w:rsid w:val="00CB5DA8"/>
    <w:rsid w:val="00CB60FE"/>
    <w:rsid w:val="00CB643E"/>
    <w:rsid w:val="00CB647D"/>
    <w:rsid w:val="00CB651D"/>
    <w:rsid w:val="00CB68FA"/>
    <w:rsid w:val="00CB6955"/>
    <w:rsid w:val="00CB696A"/>
    <w:rsid w:val="00CB6A6A"/>
    <w:rsid w:val="00CB6B86"/>
    <w:rsid w:val="00CB7286"/>
    <w:rsid w:val="00CB76D7"/>
    <w:rsid w:val="00CB7727"/>
    <w:rsid w:val="00CB77E7"/>
    <w:rsid w:val="00CC013B"/>
    <w:rsid w:val="00CC020E"/>
    <w:rsid w:val="00CC091D"/>
    <w:rsid w:val="00CC0FC5"/>
    <w:rsid w:val="00CC1073"/>
    <w:rsid w:val="00CC12DB"/>
    <w:rsid w:val="00CC16B0"/>
    <w:rsid w:val="00CC17C3"/>
    <w:rsid w:val="00CC1C87"/>
    <w:rsid w:val="00CC1E91"/>
    <w:rsid w:val="00CC1F62"/>
    <w:rsid w:val="00CC1F9E"/>
    <w:rsid w:val="00CC207B"/>
    <w:rsid w:val="00CC22A2"/>
    <w:rsid w:val="00CC2541"/>
    <w:rsid w:val="00CC2686"/>
    <w:rsid w:val="00CC272D"/>
    <w:rsid w:val="00CC2E3F"/>
    <w:rsid w:val="00CC2E87"/>
    <w:rsid w:val="00CC334B"/>
    <w:rsid w:val="00CC35DD"/>
    <w:rsid w:val="00CC3B52"/>
    <w:rsid w:val="00CC3B63"/>
    <w:rsid w:val="00CC3B9E"/>
    <w:rsid w:val="00CC3BDF"/>
    <w:rsid w:val="00CC3D56"/>
    <w:rsid w:val="00CC418C"/>
    <w:rsid w:val="00CC4644"/>
    <w:rsid w:val="00CC49A8"/>
    <w:rsid w:val="00CC4F0A"/>
    <w:rsid w:val="00CC5000"/>
    <w:rsid w:val="00CC547D"/>
    <w:rsid w:val="00CC54CA"/>
    <w:rsid w:val="00CC559C"/>
    <w:rsid w:val="00CC565D"/>
    <w:rsid w:val="00CC5954"/>
    <w:rsid w:val="00CC5C16"/>
    <w:rsid w:val="00CC60C6"/>
    <w:rsid w:val="00CC6102"/>
    <w:rsid w:val="00CC692E"/>
    <w:rsid w:val="00CC6A16"/>
    <w:rsid w:val="00CC6B3B"/>
    <w:rsid w:val="00CC6CBC"/>
    <w:rsid w:val="00CC6DD6"/>
    <w:rsid w:val="00CC7049"/>
    <w:rsid w:val="00CC7253"/>
    <w:rsid w:val="00CC7DCE"/>
    <w:rsid w:val="00CD0067"/>
    <w:rsid w:val="00CD01C0"/>
    <w:rsid w:val="00CD02DD"/>
    <w:rsid w:val="00CD0472"/>
    <w:rsid w:val="00CD091A"/>
    <w:rsid w:val="00CD0AC9"/>
    <w:rsid w:val="00CD0B88"/>
    <w:rsid w:val="00CD11E4"/>
    <w:rsid w:val="00CD12BB"/>
    <w:rsid w:val="00CD159B"/>
    <w:rsid w:val="00CD1645"/>
    <w:rsid w:val="00CD1A3A"/>
    <w:rsid w:val="00CD1A49"/>
    <w:rsid w:val="00CD1D2F"/>
    <w:rsid w:val="00CD2405"/>
    <w:rsid w:val="00CD2415"/>
    <w:rsid w:val="00CD248D"/>
    <w:rsid w:val="00CD2872"/>
    <w:rsid w:val="00CD2A79"/>
    <w:rsid w:val="00CD2AA7"/>
    <w:rsid w:val="00CD2C9B"/>
    <w:rsid w:val="00CD30F8"/>
    <w:rsid w:val="00CD318C"/>
    <w:rsid w:val="00CD3293"/>
    <w:rsid w:val="00CD34BF"/>
    <w:rsid w:val="00CD36DE"/>
    <w:rsid w:val="00CD39B3"/>
    <w:rsid w:val="00CD3D91"/>
    <w:rsid w:val="00CD3FC1"/>
    <w:rsid w:val="00CD43D7"/>
    <w:rsid w:val="00CD46F8"/>
    <w:rsid w:val="00CD4817"/>
    <w:rsid w:val="00CD48FF"/>
    <w:rsid w:val="00CD4C2F"/>
    <w:rsid w:val="00CD4D1B"/>
    <w:rsid w:val="00CD50E2"/>
    <w:rsid w:val="00CD5104"/>
    <w:rsid w:val="00CD5147"/>
    <w:rsid w:val="00CD5230"/>
    <w:rsid w:val="00CD5601"/>
    <w:rsid w:val="00CD5921"/>
    <w:rsid w:val="00CD5E0E"/>
    <w:rsid w:val="00CD5E5B"/>
    <w:rsid w:val="00CD5FD9"/>
    <w:rsid w:val="00CD63F1"/>
    <w:rsid w:val="00CD6489"/>
    <w:rsid w:val="00CD6701"/>
    <w:rsid w:val="00CD67CA"/>
    <w:rsid w:val="00CD70CC"/>
    <w:rsid w:val="00CD7342"/>
    <w:rsid w:val="00CD74FB"/>
    <w:rsid w:val="00CD76E9"/>
    <w:rsid w:val="00CD7AB5"/>
    <w:rsid w:val="00CD7C24"/>
    <w:rsid w:val="00CE033B"/>
    <w:rsid w:val="00CE03AA"/>
    <w:rsid w:val="00CE04A2"/>
    <w:rsid w:val="00CE092F"/>
    <w:rsid w:val="00CE0B20"/>
    <w:rsid w:val="00CE0E89"/>
    <w:rsid w:val="00CE0FE8"/>
    <w:rsid w:val="00CE1070"/>
    <w:rsid w:val="00CE1303"/>
    <w:rsid w:val="00CE1336"/>
    <w:rsid w:val="00CE1641"/>
    <w:rsid w:val="00CE164C"/>
    <w:rsid w:val="00CE19C6"/>
    <w:rsid w:val="00CE1A3D"/>
    <w:rsid w:val="00CE200E"/>
    <w:rsid w:val="00CE2622"/>
    <w:rsid w:val="00CE2803"/>
    <w:rsid w:val="00CE2908"/>
    <w:rsid w:val="00CE2C57"/>
    <w:rsid w:val="00CE2D1C"/>
    <w:rsid w:val="00CE2F0A"/>
    <w:rsid w:val="00CE3005"/>
    <w:rsid w:val="00CE331E"/>
    <w:rsid w:val="00CE3534"/>
    <w:rsid w:val="00CE38F1"/>
    <w:rsid w:val="00CE3A8E"/>
    <w:rsid w:val="00CE41F1"/>
    <w:rsid w:val="00CE421E"/>
    <w:rsid w:val="00CE42CF"/>
    <w:rsid w:val="00CE44D6"/>
    <w:rsid w:val="00CE482F"/>
    <w:rsid w:val="00CE49B6"/>
    <w:rsid w:val="00CE4CF4"/>
    <w:rsid w:val="00CE4CF8"/>
    <w:rsid w:val="00CE4E11"/>
    <w:rsid w:val="00CE4F40"/>
    <w:rsid w:val="00CE5A4E"/>
    <w:rsid w:val="00CE5B29"/>
    <w:rsid w:val="00CE5D17"/>
    <w:rsid w:val="00CE5E8B"/>
    <w:rsid w:val="00CE6705"/>
    <w:rsid w:val="00CE6A72"/>
    <w:rsid w:val="00CE6B67"/>
    <w:rsid w:val="00CE6B92"/>
    <w:rsid w:val="00CE7196"/>
    <w:rsid w:val="00CE71E1"/>
    <w:rsid w:val="00CE74D4"/>
    <w:rsid w:val="00CE751D"/>
    <w:rsid w:val="00CE76DF"/>
    <w:rsid w:val="00CE7806"/>
    <w:rsid w:val="00CE7A8B"/>
    <w:rsid w:val="00CE7C36"/>
    <w:rsid w:val="00CF0157"/>
    <w:rsid w:val="00CF03A8"/>
    <w:rsid w:val="00CF1489"/>
    <w:rsid w:val="00CF1960"/>
    <w:rsid w:val="00CF19C3"/>
    <w:rsid w:val="00CF1A90"/>
    <w:rsid w:val="00CF1B33"/>
    <w:rsid w:val="00CF1CE4"/>
    <w:rsid w:val="00CF1EB4"/>
    <w:rsid w:val="00CF2439"/>
    <w:rsid w:val="00CF25FF"/>
    <w:rsid w:val="00CF2714"/>
    <w:rsid w:val="00CF2752"/>
    <w:rsid w:val="00CF2778"/>
    <w:rsid w:val="00CF28FC"/>
    <w:rsid w:val="00CF2BFF"/>
    <w:rsid w:val="00CF2E3D"/>
    <w:rsid w:val="00CF34A0"/>
    <w:rsid w:val="00CF3632"/>
    <w:rsid w:val="00CF39B0"/>
    <w:rsid w:val="00CF44D7"/>
    <w:rsid w:val="00CF46A0"/>
    <w:rsid w:val="00CF48C1"/>
    <w:rsid w:val="00CF4B08"/>
    <w:rsid w:val="00CF505F"/>
    <w:rsid w:val="00CF50F3"/>
    <w:rsid w:val="00CF5297"/>
    <w:rsid w:val="00CF56A6"/>
    <w:rsid w:val="00CF582A"/>
    <w:rsid w:val="00CF61B6"/>
    <w:rsid w:val="00CF6248"/>
    <w:rsid w:val="00CF643E"/>
    <w:rsid w:val="00CF6668"/>
    <w:rsid w:val="00CF722A"/>
    <w:rsid w:val="00CF722D"/>
    <w:rsid w:val="00CF723B"/>
    <w:rsid w:val="00CF738C"/>
    <w:rsid w:val="00CF73C5"/>
    <w:rsid w:val="00CF7AFE"/>
    <w:rsid w:val="00CF7BB7"/>
    <w:rsid w:val="00CF7CB9"/>
    <w:rsid w:val="00D001A9"/>
    <w:rsid w:val="00D00A79"/>
    <w:rsid w:val="00D00EC7"/>
    <w:rsid w:val="00D00ED9"/>
    <w:rsid w:val="00D01602"/>
    <w:rsid w:val="00D01731"/>
    <w:rsid w:val="00D01960"/>
    <w:rsid w:val="00D01ABB"/>
    <w:rsid w:val="00D01D9D"/>
    <w:rsid w:val="00D0202D"/>
    <w:rsid w:val="00D0205F"/>
    <w:rsid w:val="00D0234B"/>
    <w:rsid w:val="00D02DC2"/>
    <w:rsid w:val="00D02E51"/>
    <w:rsid w:val="00D0362E"/>
    <w:rsid w:val="00D038C5"/>
    <w:rsid w:val="00D03960"/>
    <w:rsid w:val="00D039D5"/>
    <w:rsid w:val="00D03C04"/>
    <w:rsid w:val="00D03C0C"/>
    <w:rsid w:val="00D03ECE"/>
    <w:rsid w:val="00D04069"/>
    <w:rsid w:val="00D042DE"/>
    <w:rsid w:val="00D044FE"/>
    <w:rsid w:val="00D04615"/>
    <w:rsid w:val="00D04C9C"/>
    <w:rsid w:val="00D05067"/>
    <w:rsid w:val="00D05628"/>
    <w:rsid w:val="00D05705"/>
    <w:rsid w:val="00D05813"/>
    <w:rsid w:val="00D05A10"/>
    <w:rsid w:val="00D05C29"/>
    <w:rsid w:val="00D05D2F"/>
    <w:rsid w:val="00D063FF"/>
    <w:rsid w:val="00D064E2"/>
    <w:rsid w:val="00D064E3"/>
    <w:rsid w:val="00D06934"/>
    <w:rsid w:val="00D069FA"/>
    <w:rsid w:val="00D06C30"/>
    <w:rsid w:val="00D06CFA"/>
    <w:rsid w:val="00D06DBE"/>
    <w:rsid w:val="00D06E07"/>
    <w:rsid w:val="00D072BA"/>
    <w:rsid w:val="00D0770C"/>
    <w:rsid w:val="00D07CE2"/>
    <w:rsid w:val="00D10024"/>
    <w:rsid w:val="00D10D36"/>
    <w:rsid w:val="00D116A8"/>
    <w:rsid w:val="00D11FFC"/>
    <w:rsid w:val="00D121AE"/>
    <w:rsid w:val="00D12397"/>
    <w:rsid w:val="00D123BC"/>
    <w:rsid w:val="00D12A1A"/>
    <w:rsid w:val="00D12E4C"/>
    <w:rsid w:val="00D1342C"/>
    <w:rsid w:val="00D13AAF"/>
    <w:rsid w:val="00D13D4A"/>
    <w:rsid w:val="00D13F63"/>
    <w:rsid w:val="00D14482"/>
    <w:rsid w:val="00D14930"/>
    <w:rsid w:val="00D14ABD"/>
    <w:rsid w:val="00D14BA7"/>
    <w:rsid w:val="00D14FAD"/>
    <w:rsid w:val="00D152E6"/>
    <w:rsid w:val="00D15D7C"/>
    <w:rsid w:val="00D15E37"/>
    <w:rsid w:val="00D15F7E"/>
    <w:rsid w:val="00D16056"/>
    <w:rsid w:val="00D164CF"/>
    <w:rsid w:val="00D166F1"/>
    <w:rsid w:val="00D167AD"/>
    <w:rsid w:val="00D169BA"/>
    <w:rsid w:val="00D16B7E"/>
    <w:rsid w:val="00D16E38"/>
    <w:rsid w:val="00D1720F"/>
    <w:rsid w:val="00D1781A"/>
    <w:rsid w:val="00D17D29"/>
    <w:rsid w:val="00D17D68"/>
    <w:rsid w:val="00D200AA"/>
    <w:rsid w:val="00D20166"/>
    <w:rsid w:val="00D2029F"/>
    <w:rsid w:val="00D20507"/>
    <w:rsid w:val="00D2067D"/>
    <w:rsid w:val="00D20A50"/>
    <w:rsid w:val="00D20C43"/>
    <w:rsid w:val="00D20D49"/>
    <w:rsid w:val="00D20E36"/>
    <w:rsid w:val="00D21566"/>
    <w:rsid w:val="00D21580"/>
    <w:rsid w:val="00D218D2"/>
    <w:rsid w:val="00D21A2D"/>
    <w:rsid w:val="00D21C18"/>
    <w:rsid w:val="00D21D96"/>
    <w:rsid w:val="00D21F8A"/>
    <w:rsid w:val="00D22049"/>
    <w:rsid w:val="00D220D1"/>
    <w:rsid w:val="00D22324"/>
    <w:rsid w:val="00D2254B"/>
    <w:rsid w:val="00D2256C"/>
    <w:rsid w:val="00D22617"/>
    <w:rsid w:val="00D22816"/>
    <w:rsid w:val="00D22EDE"/>
    <w:rsid w:val="00D231B3"/>
    <w:rsid w:val="00D2346D"/>
    <w:rsid w:val="00D23824"/>
    <w:rsid w:val="00D2399C"/>
    <w:rsid w:val="00D23B17"/>
    <w:rsid w:val="00D23BAC"/>
    <w:rsid w:val="00D23C41"/>
    <w:rsid w:val="00D2449D"/>
    <w:rsid w:val="00D246FC"/>
    <w:rsid w:val="00D24762"/>
    <w:rsid w:val="00D24A7B"/>
    <w:rsid w:val="00D24A7E"/>
    <w:rsid w:val="00D24CBB"/>
    <w:rsid w:val="00D24CE2"/>
    <w:rsid w:val="00D24E70"/>
    <w:rsid w:val="00D24FF2"/>
    <w:rsid w:val="00D25166"/>
    <w:rsid w:val="00D253DE"/>
    <w:rsid w:val="00D25426"/>
    <w:rsid w:val="00D254F8"/>
    <w:rsid w:val="00D25C9F"/>
    <w:rsid w:val="00D261AC"/>
    <w:rsid w:val="00D262BD"/>
    <w:rsid w:val="00D26676"/>
    <w:rsid w:val="00D268A8"/>
    <w:rsid w:val="00D26C06"/>
    <w:rsid w:val="00D26C1E"/>
    <w:rsid w:val="00D26DBF"/>
    <w:rsid w:val="00D27087"/>
    <w:rsid w:val="00D270D7"/>
    <w:rsid w:val="00D27117"/>
    <w:rsid w:val="00D27638"/>
    <w:rsid w:val="00D279B5"/>
    <w:rsid w:val="00D3045B"/>
    <w:rsid w:val="00D308B8"/>
    <w:rsid w:val="00D30E23"/>
    <w:rsid w:val="00D30EC0"/>
    <w:rsid w:val="00D30EE8"/>
    <w:rsid w:val="00D31026"/>
    <w:rsid w:val="00D310ED"/>
    <w:rsid w:val="00D31153"/>
    <w:rsid w:val="00D31376"/>
    <w:rsid w:val="00D3179D"/>
    <w:rsid w:val="00D318E8"/>
    <w:rsid w:val="00D31A4D"/>
    <w:rsid w:val="00D31C99"/>
    <w:rsid w:val="00D31EDD"/>
    <w:rsid w:val="00D31F45"/>
    <w:rsid w:val="00D3213C"/>
    <w:rsid w:val="00D32775"/>
    <w:rsid w:val="00D32BC3"/>
    <w:rsid w:val="00D32C60"/>
    <w:rsid w:val="00D32E16"/>
    <w:rsid w:val="00D32E18"/>
    <w:rsid w:val="00D32F3C"/>
    <w:rsid w:val="00D33725"/>
    <w:rsid w:val="00D33BDF"/>
    <w:rsid w:val="00D33F7F"/>
    <w:rsid w:val="00D345EE"/>
    <w:rsid w:val="00D348C7"/>
    <w:rsid w:val="00D34B66"/>
    <w:rsid w:val="00D34DCD"/>
    <w:rsid w:val="00D353E4"/>
    <w:rsid w:val="00D35643"/>
    <w:rsid w:val="00D35BE7"/>
    <w:rsid w:val="00D35BF0"/>
    <w:rsid w:val="00D35FE5"/>
    <w:rsid w:val="00D36055"/>
    <w:rsid w:val="00D361D3"/>
    <w:rsid w:val="00D36355"/>
    <w:rsid w:val="00D36870"/>
    <w:rsid w:val="00D36941"/>
    <w:rsid w:val="00D36BBA"/>
    <w:rsid w:val="00D36D2F"/>
    <w:rsid w:val="00D36D73"/>
    <w:rsid w:val="00D36E90"/>
    <w:rsid w:val="00D3719E"/>
    <w:rsid w:val="00D37247"/>
    <w:rsid w:val="00D376BF"/>
    <w:rsid w:val="00D37866"/>
    <w:rsid w:val="00D37869"/>
    <w:rsid w:val="00D37BAC"/>
    <w:rsid w:val="00D37C17"/>
    <w:rsid w:val="00D37D4D"/>
    <w:rsid w:val="00D37D91"/>
    <w:rsid w:val="00D4020C"/>
    <w:rsid w:val="00D403F6"/>
    <w:rsid w:val="00D40553"/>
    <w:rsid w:val="00D40818"/>
    <w:rsid w:val="00D40856"/>
    <w:rsid w:val="00D40924"/>
    <w:rsid w:val="00D40B51"/>
    <w:rsid w:val="00D40DCB"/>
    <w:rsid w:val="00D40FC3"/>
    <w:rsid w:val="00D4111B"/>
    <w:rsid w:val="00D41472"/>
    <w:rsid w:val="00D416F8"/>
    <w:rsid w:val="00D41B0C"/>
    <w:rsid w:val="00D41B1E"/>
    <w:rsid w:val="00D41DF7"/>
    <w:rsid w:val="00D41F0E"/>
    <w:rsid w:val="00D41F9A"/>
    <w:rsid w:val="00D4235D"/>
    <w:rsid w:val="00D428DB"/>
    <w:rsid w:val="00D42C63"/>
    <w:rsid w:val="00D42E24"/>
    <w:rsid w:val="00D42E80"/>
    <w:rsid w:val="00D42EFE"/>
    <w:rsid w:val="00D42F75"/>
    <w:rsid w:val="00D42F82"/>
    <w:rsid w:val="00D432EF"/>
    <w:rsid w:val="00D432F6"/>
    <w:rsid w:val="00D435D4"/>
    <w:rsid w:val="00D43B7D"/>
    <w:rsid w:val="00D43EB3"/>
    <w:rsid w:val="00D43F7B"/>
    <w:rsid w:val="00D43FEF"/>
    <w:rsid w:val="00D4426E"/>
    <w:rsid w:val="00D442BB"/>
    <w:rsid w:val="00D444B6"/>
    <w:rsid w:val="00D4453C"/>
    <w:rsid w:val="00D447C9"/>
    <w:rsid w:val="00D44864"/>
    <w:rsid w:val="00D44971"/>
    <w:rsid w:val="00D44A2B"/>
    <w:rsid w:val="00D44BEB"/>
    <w:rsid w:val="00D450E1"/>
    <w:rsid w:val="00D45272"/>
    <w:rsid w:val="00D45409"/>
    <w:rsid w:val="00D457CD"/>
    <w:rsid w:val="00D45D2D"/>
    <w:rsid w:val="00D45D39"/>
    <w:rsid w:val="00D46892"/>
    <w:rsid w:val="00D469F7"/>
    <w:rsid w:val="00D46FD9"/>
    <w:rsid w:val="00D474FA"/>
    <w:rsid w:val="00D47589"/>
    <w:rsid w:val="00D47853"/>
    <w:rsid w:val="00D4799F"/>
    <w:rsid w:val="00D479AF"/>
    <w:rsid w:val="00D5015D"/>
    <w:rsid w:val="00D5039B"/>
    <w:rsid w:val="00D508BE"/>
    <w:rsid w:val="00D509B9"/>
    <w:rsid w:val="00D50DBD"/>
    <w:rsid w:val="00D50FDA"/>
    <w:rsid w:val="00D514FC"/>
    <w:rsid w:val="00D51549"/>
    <w:rsid w:val="00D517AC"/>
    <w:rsid w:val="00D51801"/>
    <w:rsid w:val="00D51A26"/>
    <w:rsid w:val="00D52044"/>
    <w:rsid w:val="00D523DF"/>
    <w:rsid w:val="00D525D3"/>
    <w:rsid w:val="00D52736"/>
    <w:rsid w:val="00D52B4A"/>
    <w:rsid w:val="00D52D46"/>
    <w:rsid w:val="00D5338B"/>
    <w:rsid w:val="00D535B0"/>
    <w:rsid w:val="00D5385C"/>
    <w:rsid w:val="00D53875"/>
    <w:rsid w:val="00D538E3"/>
    <w:rsid w:val="00D53C33"/>
    <w:rsid w:val="00D53EB7"/>
    <w:rsid w:val="00D543C6"/>
    <w:rsid w:val="00D54620"/>
    <w:rsid w:val="00D54BA2"/>
    <w:rsid w:val="00D54CDA"/>
    <w:rsid w:val="00D54E18"/>
    <w:rsid w:val="00D54E3E"/>
    <w:rsid w:val="00D54F5E"/>
    <w:rsid w:val="00D552F7"/>
    <w:rsid w:val="00D55407"/>
    <w:rsid w:val="00D554C5"/>
    <w:rsid w:val="00D554DD"/>
    <w:rsid w:val="00D55534"/>
    <w:rsid w:val="00D557E0"/>
    <w:rsid w:val="00D55E4C"/>
    <w:rsid w:val="00D55F89"/>
    <w:rsid w:val="00D56045"/>
    <w:rsid w:val="00D56255"/>
    <w:rsid w:val="00D562C1"/>
    <w:rsid w:val="00D5646C"/>
    <w:rsid w:val="00D56916"/>
    <w:rsid w:val="00D56BB5"/>
    <w:rsid w:val="00D56DD2"/>
    <w:rsid w:val="00D57072"/>
    <w:rsid w:val="00D572B8"/>
    <w:rsid w:val="00D574AA"/>
    <w:rsid w:val="00D576EB"/>
    <w:rsid w:val="00D57A42"/>
    <w:rsid w:val="00D57E20"/>
    <w:rsid w:val="00D57F1B"/>
    <w:rsid w:val="00D57F32"/>
    <w:rsid w:val="00D57F45"/>
    <w:rsid w:val="00D60106"/>
    <w:rsid w:val="00D60285"/>
    <w:rsid w:val="00D60A5C"/>
    <w:rsid w:val="00D60C96"/>
    <w:rsid w:val="00D610DC"/>
    <w:rsid w:val="00D610E5"/>
    <w:rsid w:val="00D610ED"/>
    <w:rsid w:val="00D611E6"/>
    <w:rsid w:val="00D61238"/>
    <w:rsid w:val="00D61639"/>
    <w:rsid w:val="00D61835"/>
    <w:rsid w:val="00D61E26"/>
    <w:rsid w:val="00D62C38"/>
    <w:rsid w:val="00D632A7"/>
    <w:rsid w:val="00D6361A"/>
    <w:rsid w:val="00D6367D"/>
    <w:rsid w:val="00D63CC0"/>
    <w:rsid w:val="00D63D03"/>
    <w:rsid w:val="00D63E7E"/>
    <w:rsid w:val="00D63F5F"/>
    <w:rsid w:val="00D64427"/>
    <w:rsid w:val="00D64695"/>
    <w:rsid w:val="00D648DE"/>
    <w:rsid w:val="00D64A9B"/>
    <w:rsid w:val="00D64C8E"/>
    <w:rsid w:val="00D64DAB"/>
    <w:rsid w:val="00D65064"/>
    <w:rsid w:val="00D653C6"/>
    <w:rsid w:val="00D65600"/>
    <w:rsid w:val="00D656F5"/>
    <w:rsid w:val="00D657C4"/>
    <w:rsid w:val="00D65812"/>
    <w:rsid w:val="00D658EB"/>
    <w:rsid w:val="00D65919"/>
    <w:rsid w:val="00D65BCA"/>
    <w:rsid w:val="00D65C79"/>
    <w:rsid w:val="00D66189"/>
    <w:rsid w:val="00D66205"/>
    <w:rsid w:val="00D6667D"/>
    <w:rsid w:val="00D6671B"/>
    <w:rsid w:val="00D667FB"/>
    <w:rsid w:val="00D66822"/>
    <w:rsid w:val="00D66861"/>
    <w:rsid w:val="00D669A4"/>
    <w:rsid w:val="00D66B3D"/>
    <w:rsid w:val="00D66C5F"/>
    <w:rsid w:val="00D67073"/>
    <w:rsid w:val="00D6715D"/>
    <w:rsid w:val="00D675D1"/>
    <w:rsid w:val="00D67B36"/>
    <w:rsid w:val="00D67C72"/>
    <w:rsid w:val="00D7021A"/>
    <w:rsid w:val="00D7029F"/>
    <w:rsid w:val="00D70313"/>
    <w:rsid w:val="00D70A5C"/>
    <w:rsid w:val="00D70B4C"/>
    <w:rsid w:val="00D71394"/>
    <w:rsid w:val="00D71B29"/>
    <w:rsid w:val="00D72129"/>
    <w:rsid w:val="00D72755"/>
    <w:rsid w:val="00D728C7"/>
    <w:rsid w:val="00D7381A"/>
    <w:rsid w:val="00D73B59"/>
    <w:rsid w:val="00D73D02"/>
    <w:rsid w:val="00D73FF6"/>
    <w:rsid w:val="00D7411C"/>
    <w:rsid w:val="00D741E7"/>
    <w:rsid w:val="00D742C9"/>
    <w:rsid w:val="00D7473D"/>
    <w:rsid w:val="00D74E6D"/>
    <w:rsid w:val="00D75239"/>
    <w:rsid w:val="00D75342"/>
    <w:rsid w:val="00D75536"/>
    <w:rsid w:val="00D75E86"/>
    <w:rsid w:val="00D762E5"/>
    <w:rsid w:val="00D765DF"/>
    <w:rsid w:val="00D7686F"/>
    <w:rsid w:val="00D76A21"/>
    <w:rsid w:val="00D76A9F"/>
    <w:rsid w:val="00D76F79"/>
    <w:rsid w:val="00D77044"/>
    <w:rsid w:val="00D7723B"/>
    <w:rsid w:val="00D777A6"/>
    <w:rsid w:val="00D777B2"/>
    <w:rsid w:val="00D77A00"/>
    <w:rsid w:val="00D77A6A"/>
    <w:rsid w:val="00D77BA3"/>
    <w:rsid w:val="00D77BD4"/>
    <w:rsid w:val="00D77CB3"/>
    <w:rsid w:val="00D77E62"/>
    <w:rsid w:val="00D77F62"/>
    <w:rsid w:val="00D77F7B"/>
    <w:rsid w:val="00D805EE"/>
    <w:rsid w:val="00D806AA"/>
    <w:rsid w:val="00D80789"/>
    <w:rsid w:val="00D80B44"/>
    <w:rsid w:val="00D80C57"/>
    <w:rsid w:val="00D80E0E"/>
    <w:rsid w:val="00D811CA"/>
    <w:rsid w:val="00D8155F"/>
    <w:rsid w:val="00D819BE"/>
    <w:rsid w:val="00D81D00"/>
    <w:rsid w:val="00D82244"/>
    <w:rsid w:val="00D8262A"/>
    <w:rsid w:val="00D82955"/>
    <w:rsid w:val="00D829AB"/>
    <w:rsid w:val="00D82BF8"/>
    <w:rsid w:val="00D8345C"/>
    <w:rsid w:val="00D83597"/>
    <w:rsid w:val="00D8385F"/>
    <w:rsid w:val="00D842D3"/>
    <w:rsid w:val="00D84446"/>
    <w:rsid w:val="00D84720"/>
    <w:rsid w:val="00D8486C"/>
    <w:rsid w:val="00D8499C"/>
    <w:rsid w:val="00D84A75"/>
    <w:rsid w:val="00D84A7D"/>
    <w:rsid w:val="00D85410"/>
    <w:rsid w:val="00D85A1E"/>
    <w:rsid w:val="00D85BC2"/>
    <w:rsid w:val="00D85D66"/>
    <w:rsid w:val="00D8632D"/>
    <w:rsid w:val="00D865B6"/>
    <w:rsid w:val="00D86C95"/>
    <w:rsid w:val="00D8715F"/>
    <w:rsid w:val="00D871FA"/>
    <w:rsid w:val="00D8728A"/>
    <w:rsid w:val="00D877A8"/>
    <w:rsid w:val="00D87A74"/>
    <w:rsid w:val="00D87C3C"/>
    <w:rsid w:val="00D90019"/>
    <w:rsid w:val="00D9037A"/>
    <w:rsid w:val="00D9061D"/>
    <w:rsid w:val="00D9084D"/>
    <w:rsid w:val="00D909F0"/>
    <w:rsid w:val="00D90AA5"/>
    <w:rsid w:val="00D90DB9"/>
    <w:rsid w:val="00D90E97"/>
    <w:rsid w:val="00D915FD"/>
    <w:rsid w:val="00D91B11"/>
    <w:rsid w:val="00D91F9B"/>
    <w:rsid w:val="00D92200"/>
    <w:rsid w:val="00D926A9"/>
    <w:rsid w:val="00D92838"/>
    <w:rsid w:val="00D92B1E"/>
    <w:rsid w:val="00D92D26"/>
    <w:rsid w:val="00D92EF6"/>
    <w:rsid w:val="00D92F3F"/>
    <w:rsid w:val="00D93239"/>
    <w:rsid w:val="00D93282"/>
    <w:rsid w:val="00D93454"/>
    <w:rsid w:val="00D936B8"/>
    <w:rsid w:val="00D937CA"/>
    <w:rsid w:val="00D93A65"/>
    <w:rsid w:val="00D93B4B"/>
    <w:rsid w:val="00D93C1E"/>
    <w:rsid w:val="00D9403A"/>
    <w:rsid w:val="00D941A9"/>
    <w:rsid w:val="00D9430A"/>
    <w:rsid w:val="00D9445C"/>
    <w:rsid w:val="00D94686"/>
    <w:rsid w:val="00D94BAC"/>
    <w:rsid w:val="00D94C35"/>
    <w:rsid w:val="00D94DAA"/>
    <w:rsid w:val="00D95010"/>
    <w:rsid w:val="00D951F0"/>
    <w:rsid w:val="00D95987"/>
    <w:rsid w:val="00D95D6D"/>
    <w:rsid w:val="00D966CA"/>
    <w:rsid w:val="00D96716"/>
    <w:rsid w:val="00D96830"/>
    <w:rsid w:val="00D96CBA"/>
    <w:rsid w:val="00D96D40"/>
    <w:rsid w:val="00D96D61"/>
    <w:rsid w:val="00D97180"/>
    <w:rsid w:val="00D971E7"/>
    <w:rsid w:val="00D97387"/>
    <w:rsid w:val="00D975FC"/>
    <w:rsid w:val="00D97668"/>
    <w:rsid w:val="00D9787C"/>
    <w:rsid w:val="00D97A4C"/>
    <w:rsid w:val="00D97D80"/>
    <w:rsid w:val="00D97D87"/>
    <w:rsid w:val="00DA018E"/>
    <w:rsid w:val="00DA01F3"/>
    <w:rsid w:val="00DA025F"/>
    <w:rsid w:val="00DA1164"/>
    <w:rsid w:val="00DA1484"/>
    <w:rsid w:val="00DA1638"/>
    <w:rsid w:val="00DA1A99"/>
    <w:rsid w:val="00DA25A6"/>
    <w:rsid w:val="00DA26CF"/>
    <w:rsid w:val="00DA27CA"/>
    <w:rsid w:val="00DA32B7"/>
    <w:rsid w:val="00DA3920"/>
    <w:rsid w:val="00DA3AC0"/>
    <w:rsid w:val="00DA3AF2"/>
    <w:rsid w:val="00DA4136"/>
    <w:rsid w:val="00DA41AA"/>
    <w:rsid w:val="00DA44D0"/>
    <w:rsid w:val="00DA45ED"/>
    <w:rsid w:val="00DA4657"/>
    <w:rsid w:val="00DA4750"/>
    <w:rsid w:val="00DA49B8"/>
    <w:rsid w:val="00DA49C8"/>
    <w:rsid w:val="00DA4FD4"/>
    <w:rsid w:val="00DA5091"/>
    <w:rsid w:val="00DA54FF"/>
    <w:rsid w:val="00DA5513"/>
    <w:rsid w:val="00DA5BD3"/>
    <w:rsid w:val="00DA5C89"/>
    <w:rsid w:val="00DA5DED"/>
    <w:rsid w:val="00DA64D7"/>
    <w:rsid w:val="00DA678C"/>
    <w:rsid w:val="00DA6A2C"/>
    <w:rsid w:val="00DA6AA6"/>
    <w:rsid w:val="00DA6AFE"/>
    <w:rsid w:val="00DA6DDD"/>
    <w:rsid w:val="00DA6DF0"/>
    <w:rsid w:val="00DA7038"/>
    <w:rsid w:val="00DA748B"/>
    <w:rsid w:val="00DA7538"/>
    <w:rsid w:val="00DA7598"/>
    <w:rsid w:val="00DA7884"/>
    <w:rsid w:val="00DA7A0F"/>
    <w:rsid w:val="00DA7A47"/>
    <w:rsid w:val="00DA7A7E"/>
    <w:rsid w:val="00DA7AD8"/>
    <w:rsid w:val="00DB01D6"/>
    <w:rsid w:val="00DB01D9"/>
    <w:rsid w:val="00DB024E"/>
    <w:rsid w:val="00DB08B9"/>
    <w:rsid w:val="00DB0AD6"/>
    <w:rsid w:val="00DB0BB9"/>
    <w:rsid w:val="00DB0C31"/>
    <w:rsid w:val="00DB0D2D"/>
    <w:rsid w:val="00DB1336"/>
    <w:rsid w:val="00DB15ED"/>
    <w:rsid w:val="00DB1BE7"/>
    <w:rsid w:val="00DB1E65"/>
    <w:rsid w:val="00DB23E8"/>
    <w:rsid w:val="00DB2B1A"/>
    <w:rsid w:val="00DB2E60"/>
    <w:rsid w:val="00DB2FC8"/>
    <w:rsid w:val="00DB3266"/>
    <w:rsid w:val="00DB328F"/>
    <w:rsid w:val="00DB353A"/>
    <w:rsid w:val="00DB3B69"/>
    <w:rsid w:val="00DB3D7F"/>
    <w:rsid w:val="00DB3F3E"/>
    <w:rsid w:val="00DB40CB"/>
    <w:rsid w:val="00DB43B8"/>
    <w:rsid w:val="00DB45BF"/>
    <w:rsid w:val="00DB4833"/>
    <w:rsid w:val="00DB4996"/>
    <w:rsid w:val="00DB4A8D"/>
    <w:rsid w:val="00DB4C6A"/>
    <w:rsid w:val="00DB4FB3"/>
    <w:rsid w:val="00DB4FEC"/>
    <w:rsid w:val="00DB5007"/>
    <w:rsid w:val="00DB53C1"/>
    <w:rsid w:val="00DB5AAF"/>
    <w:rsid w:val="00DB5D41"/>
    <w:rsid w:val="00DB5E79"/>
    <w:rsid w:val="00DB5EC0"/>
    <w:rsid w:val="00DB5EFE"/>
    <w:rsid w:val="00DB5FC0"/>
    <w:rsid w:val="00DB6220"/>
    <w:rsid w:val="00DB6466"/>
    <w:rsid w:val="00DB6A9A"/>
    <w:rsid w:val="00DB6D65"/>
    <w:rsid w:val="00DB6D83"/>
    <w:rsid w:val="00DB7039"/>
    <w:rsid w:val="00DB72D4"/>
    <w:rsid w:val="00DB75A3"/>
    <w:rsid w:val="00DB772D"/>
    <w:rsid w:val="00DB7A2B"/>
    <w:rsid w:val="00DB7D0E"/>
    <w:rsid w:val="00DB7D23"/>
    <w:rsid w:val="00DB7E4D"/>
    <w:rsid w:val="00DC054F"/>
    <w:rsid w:val="00DC06D6"/>
    <w:rsid w:val="00DC07C8"/>
    <w:rsid w:val="00DC086B"/>
    <w:rsid w:val="00DC0B55"/>
    <w:rsid w:val="00DC0C6F"/>
    <w:rsid w:val="00DC0CA5"/>
    <w:rsid w:val="00DC0D20"/>
    <w:rsid w:val="00DC0E75"/>
    <w:rsid w:val="00DC1280"/>
    <w:rsid w:val="00DC1353"/>
    <w:rsid w:val="00DC15CD"/>
    <w:rsid w:val="00DC1954"/>
    <w:rsid w:val="00DC2071"/>
    <w:rsid w:val="00DC24C9"/>
    <w:rsid w:val="00DC2E91"/>
    <w:rsid w:val="00DC3179"/>
    <w:rsid w:val="00DC37D3"/>
    <w:rsid w:val="00DC3915"/>
    <w:rsid w:val="00DC3959"/>
    <w:rsid w:val="00DC3FC1"/>
    <w:rsid w:val="00DC4686"/>
    <w:rsid w:val="00DC4930"/>
    <w:rsid w:val="00DC4D19"/>
    <w:rsid w:val="00DC4F7E"/>
    <w:rsid w:val="00DC50B0"/>
    <w:rsid w:val="00DC579D"/>
    <w:rsid w:val="00DC58BA"/>
    <w:rsid w:val="00DC5A18"/>
    <w:rsid w:val="00DC6283"/>
    <w:rsid w:val="00DC639B"/>
    <w:rsid w:val="00DC66DC"/>
    <w:rsid w:val="00DC68F2"/>
    <w:rsid w:val="00DC69CF"/>
    <w:rsid w:val="00DC69D3"/>
    <w:rsid w:val="00DC6BD2"/>
    <w:rsid w:val="00DC6CAF"/>
    <w:rsid w:val="00DC744C"/>
    <w:rsid w:val="00DC7729"/>
    <w:rsid w:val="00DC7A33"/>
    <w:rsid w:val="00DC7DE7"/>
    <w:rsid w:val="00DC7E2C"/>
    <w:rsid w:val="00DC7F99"/>
    <w:rsid w:val="00DD008F"/>
    <w:rsid w:val="00DD0378"/>
    <w:rsid w:val="00DD08CB"/>
    <w:rsid w:val="00DD0B50"/>
    <w:rsid w:val="00DD0BF5"/>
    <w:rsid w:val="00DD0DD8"/>
    <w:rsid w:val="00DD105E"/>
    <w:rsid w:val="00DD1452"/>
    <w:rsid w:val="00DD14A8"/>
    <w:rsid w:val="00DD14C0"/>
    <w:rsid w:val="00DD194E"/>
    <w:rsid w:val="00DD1B02"/>
    <w:rsid w:val="00DD1BC8"/>
    <w:rsid w:val="00DD1E46"/>
    <w:rsid w:val="00DD224A"/>
    <w:rsid w:val="00DD27D9"/>
    <w:rsid w:val="00DD2A51"/>
    <w:rsid w:val="00DD2B27"/>
    <w:rsid w:val="00DD2E96"/>
    <w:rsid w:val="00DD3189"/>
    <w:rsid w:val="00DD31DF"/>
    <w:rsid w:val="00DD3569"/>
    <w:rsid w:val="00DD3599"/>
    <w:rsid w:val="00DD35E1"/>
    <w:rsid w:val="00DD36CE"/>
    <w:rsid w:val="00DD3BB5"/>
    <w:rsid w:val="00DD3D18"/>
    <w:rsid w:val="00DD3D37"/>
    <w:rsid w:val="00DD3DCA"/>
    <w:rsid w:val="00DD4246"/>
    <w:rsid w:val="00DD4D37"/>
    <w:rsid w:val="00DD4ED0"/>
    <w:rsid w:val="00DD531B"/>
    <w:rsid w:val="00DD532E"/>
    <w:rsid w:val="00DD534C"/>
    <w:rsid w:val="00DD5584"/>
    <w:rsid w:val="00DD5892"/>
    <w:rsid w:val="00DD5ADD"/>
    <w:rsid w:val="00DD5B40"/>
    <w:rsid w:val="00DD5C4F"/>
    <w:rsid w:val="00DD623D"/>
    <w:rsid w:val="00DD6300"/>
    <w:rsid w:val="00DD635A"/>
    <w:rsid w:val="00DD6BF4"/>
    <w:rsid w:val="00DD6CA1"/>
    <w:rsid w:val="00DD6DAE"/>
    <w:rsid w:val="00DD74AB"/>
    <w:rsid w:val="00DD79AA"/>
    <w:rsid w:val="00DD7A04"/>
    <w:rsid w:val="00DD7A6D"/>
    <w:rsid w:val="00DE01ED"/>
    <w:rsid w:val="00DE04DA"/>
    <w:rsid w:val="00DE0812"/>
    <w:rsid w:val="00DE0BD8"/>
    <w:rsid w:val="00DE10E9"/>
    <w:rsid w:val="00DE179E"/>
    <w:rsid w:val="00DE1F34"/>
    <w:rsid w:val="00DE248C"/>
    <w:rsid w:val="00DE29E4"/>
    <w:rsid w:val="00DE2AA3"/>
    <w:rsid w:val="00DE2B1E"/>
    <w:rsid w:val="00DE2E27"/>
    <w:rsid w:val="00DE3372"/>
    <w:rsid w:val="00DE33FC"/>
    <w:rsid w:val="00DE379C"/>
    <w:rsid w:val="00DE39EA"/>
    <w:rsid w:val="00DE3E25"/>
    <w:rsid w:val="00DE41E0"/>
    <w:rsid w:val="00DE41EB"/>
    <w:rsid w:val="00DE4266"/>
    <w:rsid w:val="00DE4652"/>
    <w:rsid w:val="00DE5847"/>
    <w:rsid w:val="00DE5B07"/>
    <w:rsid w:val="00DE6253"/>
    <w:rsid w:val="00DE639E"/>
    <w:rsid w:val="00DE6A04"/>
    <w:rsid w:val="00DE6BE8"/>
    <w:rsid w:val="00DE7065"/>
    <w:rsid w:val="00DE7298"/>
    <w:rsid w:val="00DE7357"/>
    <w:rsid w:val="00DE7458"/>
    <w:rsid w:val="00DE7711"/>
    <w:rsid w:val="00DE7C3C"/>
    <w:rsid w:val="00DE7EB1"/>
    <w:rsid w:val="00DF02F1"/>
    <w:rsid w:val="00DF04F1"/>
    <w:rsid w:val="00DF07BA"/>
    <w:rsid w:val="00DF0854"/>
    <w:rsid w:val="00DF0A09"/>
    <w:rsid w:val="00DF0A93"/>
    <w:rsid w:val="00DF0C18"/>
    <w:rsid w:val="00DF0C55"/>
    <w:rsid w:val="00DF0E4D"/>
    <w:rsid w:val="00DF0E84"/>
    <w:rsid w:val="00DF111B"/>
    <w:rsid w:val="00DF1245"/>
    <w:rsid w:val="00DF12C1"/>
    <w:rsid w:val="00DF1614"/>
    <w:rsid w:val="00DF177E"/>
    <w:rsid w:val="00DF18D7"/>
    <w:rsid w:val="00DF1946"/>
    <w:rsid w:val="00DF19FC"/>
    <w:rsid w:val="00DF1AA2"/>
    <w:rsid w:val="00DF1E60"/>
    <w:rsid w:val="00DF1EC9"/>
    <w:rsid w:val="00DF2583"/>
    <w:rsid w:val="00DF25C1"/>
    <w:rsid w:val="00DF2628"/>
    <w:rsid w:val="00DF2679"/>
    <w:rsid w:val="00DF293E"/>
    <w:rsid w:val="00DF29C9"/>
    <w:rsid w:val="00DF29DC"/>
    <w:rsid w:val="00DF2BEE"/>
    <w:rsid w:val="00DF2E04"/>
    <w:rsid w:val="00DF2EA6"/>
    <w:rsid w:val="00DF305F"/>
    <w:rsid w:val="00DF3588"/>
    <w:rsid w:val="00DF37C9"/>
    <w:rsid w:val="00DF39FC"/>
    <w:rsid w:val="00DF3A2B"/>
    <w:rsid w:val="00DF3ED4"/>
    <w:rsid w:val="00DF429E"/>
    <w:rsid w:val="00DF42D0"/>
    <w:rsid w:val="00DF465E"/>
    <w:rsid w:val="00DF4757"/>
    <w:rsid w:val="00DF51DC"/>
    <w:rsid w:val="00DF56CC"/>
    <w:rsid w:val="00DF5766"/>
    <w:rsid w:val="00DF59AA"/>
    <w:rsid w:val="00DF5AC4"/>
    <w:rsid w:val="00DF5BDA"/>
    <w:rsid w:val="00DF5BFA"/>
    <w:rsid w:val="00DF5EE0"/>
    <w:rsid w:val="00DF6136"/>
    <w:rsid w:val="00DF6178"/>
    <w:rsid w:val="00DF6A6B"/>
    <w:rsid w:val="00DF6B2E"/>
    <w:rsid w:val="00DF6E62"/>
    <w:rsid w:val="00DF76B2"/>
    <w:rsid w:val="00DF7839"/>
    <w:rsid w:val="00DF7F65"/>
    <w:rsid w:val="00DF9E17"/>
    <w:rsid w:val="00E00022"/>
    <w:rsid w:val="00E0050E"/>
    <w:rsid w:val="00E0060D"/>
    <w:rsid w:val="00E007B5"/>
    <w:rsid w:val="00E00D64"/>
    <w:rsid w:val="00E01AF2"/>
    <w:rsid w:val="00E01D20"/>
    <w:rsid w:val="00E024C0"/>
    <w:rsid w:val="00E02C11"/>
    <w:rsid w:val="00E02C78"/>
    <w:rsid w:val="00E02FEF"/>
    <w:rsid w:val="00E030ED"/>
    <w:rsid w:val="00E031C4"/>
    <w:rsid w:val="00E0355F"/>
    <w:rsid w:val="00E03B0F"/>
    <w:rsid w:val="00E03B14"/>
    <w:rsid w:val="00E03F2F"/>
    <w:rsid w:val="00E043A1"/>
    <w:rsid w:val="00E0451B"/>
    <w:rsid w:val="00E04527"/>
    <w:rsid w:val="00E04669"/>
    <w:rsid w:val="00E04981"/>
    <w:rsid w:val="00E04A64"/>
    <w:rsid w:val="00E04AB4"/>
    <w:rsid w:val="00E04FBB"/>
    <w:rsid w:val="00E050EE"/>
    <w:rsid w:val="00E0522E"/>
    <w:rsid w:val="00E05333"/>
    <w:rsid w:val="00E054E9"/>
    <w:rsid w:val="00E057DC"/>
    <w:rsid w:val="00E05C52"/>
    <w:rsid w:val="00E05FCF"/>
    <w:rsid w:val="00E065A9"/>
    <w:rsid w:val="00E06684"/>
    <w:rsid w:val="00E0680D"/>
    <w:rsid w:val="00E06877"/>
    <w:rsid w:val="00E0696B"/>
    <w:rsid w:val="00E06D2C"/>
    <w:rsid w:val="00E06E0B"/>
    <w:rsid w:val="00E06F70"/>
    <w:rsid w:val="00E07095"/>
    <w:rsid w:val="00E0734E"/>
    <w:rsid w:val="00E07732"/>
    <w:rsid w:val="00E0A0EC"/>
    <w:rsid w:val="00E1052E"/>
    <w:rsid w:val="00E10634"/>
    <w:rsid w:val="00E107A3"/>
    <w:rsid w:val="00E10812"/>
    <w:rsid w:val="00E10A69"/>
    <w:rsid w:val="00E116E5"/>
    <w:rsid w:val="00E11A15"/>
    <w:rsid w:val="00E11A56"/>
    <w:rsid w:val="00E11B02"/>
    <w:rsid w:val="00E11EB0"/>
    <w:rsid w:val="00E12319"/>
    <w:rsid w:val="00E1243A"/>
    <w:rsid w:val="00E12845"/>
    <w:rsid w:val="00E12CC2"/>
    <w:rsid w:val="00E12E34"/>
    <w:rsid w:val="00E13045"/>
    <w:rsid w:val="00E130AC"/>
    <w:rsid w:val="00E131CF"/>
    <w:rsid w:val="00E134B4"/>
    <w:rsid w:val="00E134F3"/>
    <w:rsid w:val="00E136D8"/>
    <w:rsid w:val="00E137F7"/>
    <w:rsid w:val="00E1402E"/>
    <w:rsid w:val="00E14128"/>
    <w:rsid w:val="00E14297"/>
    <w:rsid w:val="00E15700"/>
    <w:rsid w:val="00E15D5C"/>
    <w:rsid w:val="00E15E6F"/>
    <w:rsid w:val="00E16273"/>
    <w:rsid w:val="00E162D5"/>
    <w:rsid w:val="00E16881"/>
    <w:rsid w:val="00E16E03"/>
    <w:rsid w:val="00E17351"/>
    <w:rsid w:val="00E175E8"/>
    <w:rsid w:val="00E177F2"/>
    <w:rsid w:val="00E17AC1"/>
    <w:rsid w:val="00E17AF3"/>
    <w:rsid w:val="00E17C1D"/>
    <w:rsid w:val="00E17C94"/>
    <w:rsid w:val="00E17D83"/>
    <w:rsid w:val="00E17DC7"/>
    <w:rsid w:val="00E20015"/>
    <w:rsid w:val="00E2005C"/>
    <w:rsid w:val="00E20273"/>
    <w:rsid w:val="00E20B35"/>
    <w:rsid w:val="00E20B91"/>
    <w:rsid w:val="00E20FD0"/>
    <w:rsid w:val="00E2123F"/>
    <w:rsid w:val="00E2155B"/>
    <w:rsid w:val="00E2167F"/>
    <w:rsid w:val="00E21B18"/>
    <w:rsid w:val="00E21C8C"/>
    <w:rsid w:val="00E21CAB"/>
    <w:rsid w:val="00E21DB7"/>
    <w:rsid w:val="00E221D4"/>
    <w:rsid w:val="00E2227B"/>
    <w:rsid w:val="00E227C3"/>
    <w:rsid w:val="00E22D2B"/>
    <w:rsid w:val="00E2326D"/>
    <w:rsid w:val="00E23720"/>
    <w:rsid w:val="00E23962"/>
    <w:rsid w:val="00E23C2C"/>
    <w:rsid w:val="00E23C7D"/>
    <w:rsid w:val="00E23DE3"/>
    <w:rsid w:val="00E23E1D"/>
    <w:rsid w:val="00E23E47"/>
    <w:rsid w:val="00E24571"/>
    <w:rsid w:val="00E24C21"/>
    <w:rsid w:val="00E24DFD"/>
    <w:rsid w:val="00E24FA3"/>
    <w:rsid w:val="00E253AA"/>
    <w:rsid w:val="00E2554F"/>
    <w:rsid w:val="00E25CBA"/>
    <w:rsid w:val="00E2606C"/>
    <w:rsid w:val="00E2614F"/>
    <w:rsid w:val="00E26534"/>
    <w:rsid w:val="00E2659E"/>
    <w:rsid w:val="00E26F9A"/>
    <w:rsid w:val="00E271EE"/>
    <w:rsid w:val="00E27BBC"/>
    <w:rsid w:val="00E27F16"/>
    <w:rsid w:val="00E27F52"/>
    <w:rsid w:val="00E303A0"/>
    <w:rsid w:val="00E303DA"/>
    <w:rsid w:val="00E30659"/>
    <w:rsid w:val="00E306C0"/>
    <w:rsid w:val="00E30810"/>
    <w:rsid w:val="00E30A9C"/>
    <w:rsid w:val="00E30C92"/>
    <w:rsid w:val="00E30CBD"/>
    <w:rsid w:val="00E30CDC"/>
    <w:rsid w:val="00E30DF6"/>
    <w:rsid w:val="00E30F2B"/>
    <w:rsid w:val="00E31206"/>
    <w:rsid w:val="00E315D5"/>
    <w:rsid w:val="00E31771"/>
    <w:rsid w:val="00E319BD"/>
    <w:rsid w:val="00E31A11"/>
    <w:rsid w:val="00E31B38"/>
    <w:rsid w:val="00E31DBF"/>
    <w:rsid w:val="00E31F9B"/>
    <w:rsid w:val="00E3206A"/>
    <w:rsid w:val="00E321F6"/>
    <w:rsid w:val="00E322AF"/>
    <w:rsid w:val="00E3270A"/>
    <w:rsid w:val="00E32E4A"/>
    <w:rsid w:val="00E33271"/>
    <w:rsid w:val="00E338B7"/>
    <w:rsid w:val="00E33AB8"/>
    <w:rsid w:val="00E34065"/>
    <w:rsid w:val="00E343C4"/>
    <w:rsid w:val="00E34BA4"/>
    <w:rsid w:val="00E34C72"/>
    <w:rsid w:val="00E34D35"/>
    <w:rsid w:val="00E34D4F"/>
    <w:rsid w:val="00E35127"/>
    <w:rsid w:val="00E35294"/>
    <w:rsid w:val="00E3540E"/>
    <w:rsid w:val="00E3542D"/>
    <w:rsid w:val="00E3551D"/>
    <w:rsid w:val="00E355BD"/>
    <w:rsid w:val="00E35665"/>
    <w:rsid w:val="00E36638"/>
    <w:rsid w:val="00E367AE"/>
    <w:rsid w:val="00E3685D"/>
    <w:rsid w:val="00E36892"/>
    <w:rsid w:val="00E36CDD"/>
    <w:rsid w:val="00E36D72"/>
    <w:rsid w:val="00E36DFD"/>
    <w:rsid w:val="00E37427"/>
    <w:rsid w:val="00E3751E"/>
    <w:rsid w:val="00E37681"/>
    <w:rsid w:val="00E37895"/>
    <w:rsid w:val="00E37B62"/>
    <w:rsid w:val="00E37D7D"/>
    <w:rsid w:val="00E37F0A"/>
    <w:rsid w:val="00E4043E"/>
    <w:rsid w:val="00E406CB"/>
    <w:rsid w:val="00E40A87"/>
    <w:rsid w:val="00E40F27"/>
    <w:rsid w:val="00E40FAC"/>
    <w:rsid w:val="00E413C1"/>
    <w:rsid w:val="00E413FB"/>
    <w:rsid w:val="00E4197D"/>
    <w:rsid w:val="00E41DED"/>
    <w:rsid w:val="00E41FB7"/>
    <w:rsid w:val="00E4202B"/>
    <w:rsid w:val="00E42CC0"/>
    <w:rsid w:val="00E42E44"/>
    <w:rsid w:val="00E4311D"/>
    <w:rsid w:val="00E43384"/>
    <w:rsid w:val="00E43632"/>
    <w:rsid w:val="00E43BBE"/>
    <w:rsid w:val="00E43BC1"/>
    <w:rsid w:val="00E43F5D"/>
    <w:rsid w:val="00E44402"/>
    <w:rsid w:val="00E445B5"/>
    <w:rsid w:val="00E445D0"/>
    <w:rsid w:val="00E44753"/>
    <w:rsid w:val="00E44998"/>
    <w:rsid w:val="00E44B3D"/>
    <w:rsid w:val="00E44F70"/>
    <w:rsid w:val="00E44FD3"/>
    <w:rsid w:val="00E4544B"/>
    <w:rsid w:val="00E45970"/>
    <w:rsid w:val="00E45C48"/>
    <w:rsid w:val="00E45CBE"/>
    <w:rsid w:val="00E4604E"/>
    <w:rsid w:val="00E464D9"/>
    <w:rsid w:val="00E4667C"/>
    <w:rsid w:val="00E4677B"/>
    <w:rsid w:val="00E46783"/>
    <w:rsid w:val="00E46C06"/>
    <w:rsid w:val="00E46C78"/>
    <w:rsid w:val="00E46DD4"/>
    <w:rsid w:val="00E46DE2"/>
    <w:rsid w:val="00E47E07"/>
    <w:rsid w:val="00E47F1D"/>
    <w:rsid w:val="00E50033"/>
    <w:rsid w:val="00E507F7"/>
    <w:rsid w:val="00E50A97"/>
    <w:rsid w:val="00E50B54"/>
    <w:rsid w:val="00E50CBD"/>
    <w:rsid w:val="00E50E29"/>
    <w:rsid w:val="00E50F12"/>
    <w:rsid w:val="00E50F6D"/>
    <w:rsid w:val="00E510C4"/>
    <w:rsid w:val="00E510CD"/>
    <w:rsid w:val="00E516D7"/>
    <w:rsid w:val="00E51A74"/>
    <w:rsid w:val="00E51FDD"/>
    <w:rsid w:val="00E521FE"/>
    <w:rsid w:val="00E52384"/>
    <w:rsid w:val="00E528EA"/>
    <w:rsid w:val="00E5290A"/>
    <w:rsid w:val="00E52989"/>
    <w:rsid w:val="00E529FB"/>
    <w:rsid w:val="00E52B26"/>
    <w:rsid w:val="00E52B4B"/>
    <w:rsid w:val="00E52B79"/>
    <w:rsid w:val="00E53010"/>
    <w:rsid w:val="00E530E5"/>
    <w:rsid w:val="00E53497"/>
    <w:rsid w:val="00E53B3D"/>
    <w:rsid w:val="00E53C87"/>
    <w:rsid w:val="00E53E96"/>
    <w:rsid w:val="00E5407F"/>
    <w:rsid w:val="00E5451E"/>
    <w:rsid w:val="00E5489E"/>
    <w:rsid w:val="00E551E0"/>
    <w:rsid w:val="00E554BE"/>
    <w:rsid w:val="00E56014"/>
    <w:rsid w:val="00E5601E"/>
    <w:rsid w:val="00E56062"/>
    <w:rsid w:val="00E56102"/>
    <w:rsid w:val="00E563B3"/>
    <w:rsid w:val="00E565BF"/>
    <w:rsid w:val="00E5675B"/>
    <w:rsid w:val="00E56E9C"/>
    <w:rsid w:val="00E571CA"/>
    <w:rsid w:val="00E57245"/>
    <w:rsid w:val="00E57753"/>
    <w:rsid w:val="00E579BD"/>
    <w:rsid w:val="00E57B25"/>
    <w:rsid w:val="00E6044E"/>
    <w:rsid w:val="00E6073B"/>
    <w:rsid w:val="00E607B2"/>
    <w:rsid w:val="00E60BCF"/>
    <w:rsid w:val="00E60C62"/>
    <w:rsid w:val="00E60DEF"/>
    <w:rsid w:val="00E60F4E"/>
    <w:rsid w:val="00E6136B"/>
    <w:rsid w:val="00E61936"/>
    <w:rsid w:val="00E619C2"/>
    <w:rsid w:val="00E6244A"/>
    <w:rsid w:val="00E62D72"/>
    <w:rsid w:val="00E62F7F"/>
    <w:rsid w:val="00E6375A"/>
    <w:rsid w:val="00E63B73"/>
    <w:rsid w:val="00E63D9C"/>
    <w:rsid w:val="00E64CAF"/>
    <w:rsid w:val="00E64DA6"/>
    <w:rsid w:val="00E64E90"/>
    <w:rsid w:val="00E64F65"/>
    <w:rsid w:val="00E64F7D"/>
    <w:rsid w:val="00E64FBF"/>
    <w:rsid w:val="00E64FEB"/>
    <w:rsid w:val="00E650FE"/>
    <w:rsid w:val="00E6532B"/>
    <w:rsid w:val="00E653B3"/>
    <w:rsid w:val="00E65523"/>
    <w:rsid w:val="00E65534"/>
    <w:rsid w:val="00E659DF"/>
    <w:rsid w:val="00E65AD0"/>
    <w:rsid w:val="00E65BA2"/>
    <w:rsid w:val="00E666E3"/>
    <w:rsid w:val="00E667E5"/>
    <w:rsid w:val="00E66E8B"/>
    <w:rsid w:val="00E67130"/>
    <w:rsid w:val="00E67158"/>
    <w:rsid w:val="00E672C1"/>
    <w:rsid w:val="00E6786B"/>
    <w:rsid w:val="00E67B3A"/>
    <w:rsid w:val="00E67CAE"/>
    <w:rsid w:val="00E67DCC"/>
    <w:rsid w:val="00E67E81"/>
    <w:rsid w:val="00E7037E"/>
    <w:rsid w:val="00E70630"/>
    <w:rsid w:val="00E70BA9"/>
    <w:rsid w:val="00E70D55"/>
    <w:rsid w:val="00E71156"/>
    <w:rsid w:val="00E7136D"/>
    <w:rsid w:val="00E714D2"/>
    <w:rsid w:val="00E71B65"/>
    <w:rsid w:val="00E71D01"/>
    <w:rsid w:val="00E7207E"/>
    <w:rsid w:val="00E72156"/>
    <w:rsid w:val="00E72189"/>
    <w:rsid w:val="00E726D6"/>
    <w:rsid w:val="00E72981"/>
    <w:rsid w:val="00E72A1F"/>
    <w:rsid w:val="00E72B14"/>
    <w:rsid w:val="00E73084"/>
    <w:rsid w:val="00E73333"/>
    <w:rsid w:val="00E734C7"/>
    <w:rsid w:val="00E73919"/>
    <w:rsid w:val="00E73B76"/>
    <w:rsid w:val="00E73FE0"/>
    <w:rsid w:val="00E7457B"/>
    <w:rsid w:val="00E746AA"/>
    <w:rsid w:val="00E7479B"/>
    <w:rsid w:val="00E74B74"/>
    <w:rsid w:val="00E74D22"/>
    <w:rsid w:val="00E74D98"/>
    <w:rsid w:val="00E74F81"/>
    <w:rsid w:val="00E75C25"/>
    <w:rsid w:val="00E75DD1"/>
    <w:rsid w:val="00E75E6D"/>
    <w:rsid w:val="00E75F7B"/>
    <w:rsid w:val="00E7620C"/>
    <w:rsid w:val="00E763C9"/>
    <w:rsid w:val="00E76548"/>
    <w:rsid w:val="00E767E5"/>
    <w:rsid w:val="00E76B29"/>
    <w:rsid w:val="00E76F03"/>
    <w:rsid w:val="00E77168"/>
    <w:rsid w:val="00E77259"/>
    <w:rsid w:val="00E77337"/>
    <w:rsid w:val="00E773BE"/>
    <w:rsid w:val="00E773E0"/>
    <w:rsid w:val="00E77448"/>
    <w:rsid w:val="00E7771C"/>
    <w:rsid w:val="00E77A0D"/>
    <w:rsid w:val="00E77AC5"/>
    <w:rsid w:val="00E8005A"/>
    <w:rsid w:val="00E803D0"/>
    <w:rsid w:val="00E80C38"/>
    <w:rsid w:val="00E80D21"/>
    <w:rsid w:val="00E80F64"/>
    <w:rsid w:val="00E81441"/>
    <w:rsid w:val="00E816DC"/>
    <w:rsid w:val="00E81A28"/>
    <w:rsid w:val="00E81B55"/>
    <w:rsid w:val="00E82113"/>
    <w:rsid w:val="00E821D9"/>
    <w:rsid w:val="00E82283"/>
    <w:rsid w:val="00E82475"/>
    <w:rsid w:val="00E82C0F"/>
    <w:rsid w:val="00E82EFC"/>
    <w:rsid w:val="00E83296"/>
    <w:rsid w:val="00E83711"/>
    <w:rsid w:val="00E83872"/>
    <w:rsid w:val="00E83AEC"/>
    <w:rsid w:val="00E83CE1"/>
    <w:rsid w:val="00E84159"/>
    <w:rsid w:val="00E841EE"/>
    <w:rsid w:val="00E84AFF"/>
    <w:rsid w:val="00E8521B"/>
    <w:rsid w:val="00E8527D"/>
    <w:rsid w:val="00E85307"/>
    <w:rsid w:val="00E853AD"/>
    <w:rsid w:val="00E858A1"/>
    <w:rsid w:val="00E85923"/>
    <w:rsid w:val="00E85B5D"/>
    <w:rsid w:val="00E85CF8"/>
    <w:rsid w:val="00E86383"/>
    <w:rsid w:val="00E86452"/>
    <w:rsid w:val="00E867B1"/>
    <w:rsid w:val="00E86ABB"/>
    <w:rsid w:val="00E86DBA"/>
    <w:rsid w:val="00E86E28"/>
    <w:rsid w:val="00E86F13"/>
    <w:rsid w:val="00E87264"/>
    <w:rsid w:val="00E872D2"/>
    <w:rsid w:val="00E873C3"/>
    <w:rsid w:val="00E876A5"/>
    <w:rsid w:val="00E878EB"/>
    <w:rsid w:val="00E87943"/>
    <w:rsid w:val="00E87BF2"/>
    <w:rsid w:val="00E87F6A"/>
    <w:rsid w:val="00E87FA8"/>
    <w:rsid w:val="00E87FA9"/>
    <w:rsid w:val="00E8DC0C"/>
    <w:rsid w:val="00E901D1"/>
    <w:rsid w:val="00E902AD"/>
    <w:rsid w:val="00E908A2"/>
    <w:rsid w:val="00E90B89"/>
    <w:rsid w:val="00E90BBD"/>
    <w:rsid w:val="00E90CA7"/>
    <w:rsid w:val="00E90D29"/>
    <w:rsid w:val="00E90EFE"/>
    <w:rsid w:val="00E91100"/>
    <w:rsid w:val="00E91200"/>
    <w:rsid w:val="00E913AD"/>
    <w:rsid w:val="00E913C7"/>
    <w:rsid w:val="00E91626"/>
    <w:rsid w:val="00E9163B"/>
    <w:rsid w:val="00E9171D"/>
    <w:rsid w:val="00E917D7"/>
    <w:rsid w:val="00E918CF"/>
    <w:rsid w:val="00E91922"/>
    <w:rsid w:val="00E91F7A"/>
    <w:rsid w:val="00E92020"/>
    <w:rsid w:val="00E9232D"/>
    <w:rsid w:val="00E92721"/>
    <w:rsid w:val="00E9301F"/>
    <w:rsid w:val="00E93307"/>
    <w:rsid w:val="00E9340C"/>
    <w:rsid w:val="00E93585"/>
    <w:rsid w:val="00E93754"/>
    <w:rsid w:val="00E93800"/>
    <w:rsid w:val="00E93B45"/>
    <w:rsid w:val="00E93CCA"/>
    <w:rsid w:val="00E93ED1"/>
    <w:rsid w:val="00E93F73"/>
    <w:rsid w:val="00E9406A"/>
    <w:rsid w:val="00E943CE"/>
    <w:rsid w:val="00E94689"/>
    <w:rsid w:val="00E94C66"/>
    <w:rsid w:val="00E94EB0"/>
    <w:rsid w:val="00E95197"/>
    <w:rsid w:val="00E954B6"/>
    <w:rsid w:val="00E9564B"/>
    <w:rsid w:val="00E95A6E"/>
    <w:rsid w:val="00E95DBE"/>
    <w:rsid w:val="00E95E07"/>
    <w:rsid w:val="00E96131"/>
    <w:rsid w:val="00E96141"/>
    <w:rsid w:val="00E961DC"/>
    <w:rsid w:val="00E967A9"/>
    <w:rsid w:val="00E96985"/>
    <w:rsid w:val="00E969B7"/>
    <w:rsid w:val="00E969BE"/>
    <w:rsid w:val="00E97128"/>
    <w:rsid w:val="00E972D1"/>
    <w:rsid w:val="00E97532"/>
    <w:rsid w:val="00E97558"/>
    <w:rsid w:val="00E9794E"/>
    <w:rsid w:val="00E97981"/>
    <w:rsid w:val="00E97A0B"/>
    <w:rsid w:val="00E97B54"/>
    <w:rsid w:val="00EA0201"/>
    <w:rsid w:val="00EA029D"/>
    <w:rsid w:val="00EA0A03"/>
    <w:rsid w:val="00EA0A10"/>
    <w:rsid w:val="00EA0C4C"/>
    <w:rsid w:val="00EA12A5"/>
    <w:rsid w:val="00EA17F7"/>
    <w:rsid w:val="00EA19F8"/>
    <w:rsid w:val="00EA1D3F"/>
    <w:rsid w:val="00EA267E"/>
    <w:rsid w:val="00EA27EB"/>
    <w:rsid w:val="00EA2A48"/>
    <w:rsid w:val="00EA2B50"/>
    <w:rsid w:val="00EA2BDB"/>
    <w:rsid w:val="00EA2E5F"/>
    <w:rsid w:val="00EA2ED8"/>
    <w:rsid w:val="00EA306A"/>
    <w:rsid w:val="00EA3F15"/>
    <w:rsid w:val="00EA4295"/>
    <w:rsid w:val="00EA43C1"/>
    <w:rsid w:val="00EA45B8"/>
    <w:rsid w:val="00EA464B"/>
    <w:rsid w:val="00EA4B4E"/>
    <w:rsid w:val="00EA4BD0"/>
    <w:rsid w:val="00EA4D8B"/>
    <w:rsid w:val="00EA4DB8"/>
    <w:rsid w:val="00EA4DCD"/>
    <w:rsid w:val="00EA4E01"/>
    <w:rsid w:val="00EA5CB7"/>
    <w:rsid w:val="00EA5CED"/>
    <w:rsid w:val="00EA5F6C"/>
    <w:rsid w:val="00EA62BC"/>
    <w:rsid w:val="00EA6546"/>
    <w:rsid w:val="00EA6F3E"/>
    <w:rsid w:val="00EA7731"/>
    <w:rsid w:val="00EA7A8B"/>
    <w:rsid w:val="00EA7EE2"/>
    <w:rsid w:val="00EB01A2"/>
    <w:rsid w:val="00EB0296"/>
    <w:rsid w:val="00EB02D1"/>
    <w:rsid w:val="00EB05C0"/>
    <w:rsid w:val="00EB0625"/>
    <w:rsid w:val="00EB079C"/>
    <w:rsid w:val="00EB07BC"/>
    <w:rsid w:val="00EB0812"/>
    <w:rsid w:val="00EB0BA8"/>
    <w:rsid w:val="00EB0C07"/>
    <w:rsid w:val="00EB0EDF"/>
    <w:rsid w:val="00EB1148"/>
    <w:rsid w:val="00EB1177"/>
    <w:rsid w:val="00EB13B5"/>
    <w:rsid w:val="00EB15D4"/>
    <w:rsid w:val="00EB1B33"/>
    <w:rsid w:val="00EB1F99"/>
    <w:rsid w:val="00EB2691"/>
    <w:rsid w:val="00EB26D8"/>
    <w:rsid w:val="00EB2944"/>
    <w:rsid w:val="00EB2B3A"/>
    <w:rsid w:val="00EB2B81"/>
    <w:rsid w:val="00EB2BCF"/>
    <w:rsid w:val="00EB2CF3"/>
    <w:rsid w:val="00EB2D40"/>
    <w:rsid w:val="00EB35EA"/>
    <w:rsid w:val="00EB3753"/>
    <w:rsid w:val="00EB37FE"/>
    <w:rsid w:val="00EB3C18"/>
    <w:rsid w:val="00EB3E83"/>
    <w:rsid w:val="00EB4170"/>
    <w:rsid w:val="00EB4171"/>
    <w:rsid w:val="00EB4204"/>
    <w:rsid w:val="00EB4AAD"/>
    <w:rsid w:val="00EB5307"/>
    <w:rsid w:val="00EB534D"/>
    <w:rsid w:val="00EB580D"/>
    <w:rsid w:val="00EB59C6"/>
    <w:rsid w:val="00EB5BC8"/>
    <w:rsid w:val="00EB6057"/>
    <w:rsid w:val="00EB618A"/>
    <w:rsid w:val="00EB718E"/>
    <w:rsid w:val="00EB784B"/>
    <w:rsid w:val="00EB7E00"/>
    <w:rsid w:val="00EC016B"/>
    <w:rsid w:val="00EC02AC"/>
    <w:rsid w:val="00EC1250"/>
    <w:rsid w:val="00EC144C"/>
    <w:rsid w:val="00EC14DB"/>
    <w:rsid w:val="00EC161B"/>
    <w:rsid w:val="00EC173F"/>
    <w:rsid w:val="00EC1C59"/>
    <w:rsid w:val="00EC2300"/>
    <w:rsid w:val="00EC2A08"/>
    <w:rsid w:val="00EC2B91"/>
    <w:rsid w:val="00EC33AC"/>
    <w:rsid w:val="00EC3487"/>
    <w:rsid w:val="00EC3816"/>
    <w:rsid w:val="00EC3A5F"/>
    <w:rsid w:val="00EC3BF1"/>
    <w:rsid w:val="00EC3C93"/>
    <w:rsid w:val="00EC3CFC"/>
    <w:rsid w:val="00EC3E54"/>
    <w:rsid w:val="00EC4607"/>
    <w:rsid w:val="00EC4695"/>
    <w:rsid w:val="00EC46AA"/>
    <w:rsid w:val="00EC4771"/>
    <w:rsid w:val="00EC4BF3"/>
    <w:rsid w:val="00EC4E67"/>
    <w:rsid w:val="00EC4F62"/>
    <w:rsid w:val="00EC53AB"/>
    <w:rsid w:val="00EC5421"/>
    <w:rsid w:val="00EC58D9"/>
    <w:rsid w:val="00EC5EAC"/>
    <w:rsid w:val="00EC5FC9"/>
    <w:rsid w:val="00EC63FD"/>
    <w:rsid w:val="00EC6443"/>
    <w:rsid w:val="00EC64C1"/>
    <w:rsid w:val="00EC66FE"/>
    <w:rsid w:val="00EC6846"/>
    <w:rsid w:val="00EC69CA"/>
    <w:rsid w:val="00EC6A51"/>
    <w:rsid w:val="00EC6AE1"/>
    <w:rsid w:val="00EC6DD4"/>
    <w:rsid w:val="00EC70F4"/>
    <w:rsid w:val="00EC715B"/>
    <w:rsid w:val="00EC71AD"/>
    <w:rsid w:val="00EC77CD"/>
    <w:rsid w:val="00EC77D0"/>
    <w:rsid w:val="00EC7826"/>
    <w:rsid w:val="00EC7B0D"/>
    <w:rsid w:val="00EC7EF7"/>
    <w:rsid w:val="00ED00D9"/>
    <w:rsid w:val="00ED018D"/>
    <w:rsid w:val="00ED031E"/>
    <w:rsid w:val="00ED060E"/>
    <w:rsid w:val="00ED0ABE"/>
    <w:rsid w:val="00ED0DC5"/>
    <w:rsid w:val="00ED113D"/>
    <w:rsid w:val="00ED1485"/>
    <w:rsid w:val="00ED1F85"/>
    <w:rsid w:val="00ED1FFB"/>
    <w:rsid w:val="00ED20F7"/>
    <w:rsid w:val="00ED21AD"/>
    <w:rsid w:val="00ED2246"/>
    <w:rsid w:val="00ED2365"/>
    <w:rsid w:val="00ED24CA"/>
    <w:rsid w:val="00ED264C"/>
    <w:rsid w:val="00ED27E4"/>
    <w:rsid w:val="00ED3A52"/>
    <w:rsid w:val="00ED3AEE"/>
    <w:rsid w:val="00ED3C76"/>
    <w:rsid w:val="00ED3E4B"/>
    <w:rsid w:val="00ED49A8"/>
    <w:rsid w:val="00ED4DD6"/>
    <w:rsid w:val="00ED52AB"/>
    <w:rsid w:val="00ED5652"/>
    <w:rsid w:val="00ED5696"/>
    <w:rsid w:val="00ED5772"/>
    <w:rsid w:val="00ED5B33"/>
    <w:rsid w:val="00ED5E31"/>
    <w:rsid w:val="00ED5F7A"/>
    <w:rsid w:val="00ED641E"/>
    <w:rsid w:val="00ED6956"/>
    <w:rsid w:val="00ED6CBC"/>
    <w:rsid w:val="00ED6E43"/>
    <w:rsid w:val="00ED6FED"/>
    <w:rsid w:val="00ED73CD"/>
    <w:rsid w:val="00ED74CA"/>
    <w:rsid w:val="00ED761E"/>
    <w:rsid w:val="00ED767F"/>
    <w:rsid w:val="00ED769F"/>
    <w:rsid w:val="00ED79A2"/>
    <w:rsid w:val="00EE0055"/>
    <w:rsid w:val="00EE02DC"/>
    <w:rsid w:val="00EE041E"/>
    <w:rsid w:val="00EE0521"/>
    <w:rsid w:val="00EE056D"/>
    <w:rsid w:val="00EE0623"/>
    <w:rsid w:val="00EE10B8"/>
    <w:rsid w:val="00EE1104"/>
    <w:rsid w:val="00EE13B0"/>
    <w:rsid w:val="00EE1576"/>
    <w:rsid w:val="00EE1D7F"/>
    <w:rsid w:val="00EE1EA6"/>
    <w:rsid w:val="00EE1ED2"/>
    <w:rsid w:val="00EE2126"/>
    <w:rsid w:val="00EE21FF"/>
    <w:rsid w:val="00EE22F0"/>
    <w:rsid w:val="00EE26FE"/>
    <w:rsid w:val="00EE3909"/>
    <w:rsid w:val="00EE3CD6"/>
    <w:rsid w:val="00EE3ED1"/>
    <w:rsid w:val="00EE3F1A"/>
    <w:rsid w:val="00EE3F85"/>
    <w:rsid w:val="00EE3FC6"/>
    <w:rsid w:val="00EE40EC"/>
    <w:rsid w:val="00EE4233"/>
    <w:rsid w:val="00EE43BB"/>
    <w:rsid w:val="00EE4494"/>
    <w:rsid w:val="00EE480E"/>
    <w:rsid w:val="00EE48F3"/>
    <w:rsid w:val="00EE4AA1"/>
    <w:rsid w:val="00EE4CB0"/>
    <w:rsid w:val="00EE4D2E"/>
    <w:rsid w:val="00EE4DAA"/>
    <w:rsid w:val="00EE5161"/>
    <w:rsid w:val="00EE53E1"/>
    <w:rsid w:val="00EE5495"/>
    <w:rsid w:val="00EE54A3"/>
    <w:rsid w:val="00EE570F"/>
    <w:rsid w:val="00EE57A3"/>
    <w:rsid w:val="00EE5A55"/>
    <w:rsid w:val="00EE5E0B"/>
    <w:rsid w:val="00EE5FFC"/>
    <w:rsid w:val="00EE61BA"/>
    <w:rsid w:val="00EE6467"/>
    <w:rsid w:val="00EE66A3"/>
    <w:rsid w:val="00EE684B"/>
    <w:rsid w:val="00EE6D8A"/>
    <w:rsid w:val="00EE6E79"/>
    <w:rsid w:val="00EE6FB9"/>
    <w:rsid w:val="00EE7361"/>
    <w:rsid w:val="00EE7510"/>
    <w:rsid w:val="00EE75AE"/>
    <w:rsid w:val="00EE7B6F"/>
    <w:rsid w:val="00EE7E31"/>
    <w:rsid w:val="00EE7EF8"/>
    <w:rsid w:val="00EF0026"/>
    <w:rsid w:val="00EF0367"/>
    <w:rsid w:val="00EF0BB4"/>
    <w:rsid w:val="00EF0CBD"/>
    <w:rsid w:val="00EF0DA6"/>
    <w:rsid w:val="00EF0E20"/>
    <w:rsid w:val="00EF103D"/>
    <w:rsid w:val="00EF1205"/>
    <w:rsid w:val="00EF1275"/>
    <w:rsid w:val="00EF13FE"/>
    <w:rsid w:val="00EF142D"/>
    <w:rsid w:val="00EF145B"/>
    <w:rsid w:val="00EF197E"/>
    <w:rsid w:val="00EF1D14"/>
    <w:rsid w:val="00EF1D55"/>
    <w:rsid w:val="00EF1D93"/>
    <w:rsid w:val="00EF2299"/>
    <w:rsid w:val="00EF24A6"/>
    <w:rsid w:val="00EF2A14"/>
    <w:rsid w:val="00EF2AE3"/>
    <w:rsid w:val="00EF2DB3"/>
    <w:rsid w:val="00EF2E92"/>
    <w:rsid w:val="00EF2F6F"/>
    <w:rsid w:val="00EF35AB"/>
    <w:rsid w:val="00EF3908"/>
    <w:rsid w:val="00EF3E33"/>
    <w:rsid w:val="00EF456B"/>
    <w:rsid w:val="00EF474E"/>
    <w:rsid w:val="00EF4840"/>
    <w:rsid w:val="00EF48E9"/>
    <w:rsid w:val="00EF4E7C"/>
    <w:rsid w:val="00EF4F08"/>
    <w:rsid w:val="00EF4F50"/>
    <w:rsid w:val="00EF4F57"/>
    <w:rsid w:val="00EF521A"/>
    <w:rsid w:val="00EF5264"/>
    <w:rsid w:val="00EF52EB"/>
    <w:rsid w:val="00EF59C4"/>
    <w:rsid w:val="00EF5BBA"/>
    <w:rsid w:val="00EF5C16"/>
    <w:rsid w:val="00EF62F8"/>
    <w:rsid w:val="00EF6400"/>
    <w:rsid w:val="00EF6461"/>
    <w:rsid w:val="00EF6508"/>
    <w:rsid w:val="00EF6649"/>
    <w:rsid w:val="00EF6C8D"/>
    <w:rsid w:val="00EF6CC7"/>
    <w:rsid w:val="00EF6CCC"/>
    <w:rsid w:val="00EF6E7F"/>
    <w:rsid w:val="00EF6FF9"/>
    <w:rsid w:val="00EF72C3"/>
    <w:rsid w:val="00EF72F9"/>
    <w:rsid w:val="00EF73A1"/>
    <w:rsid w:val="00EF73B8"/>
    <w:rsid w:val="00EF7504"/>
    <w:rsid w:val="00EF75BE"/>
    <w:rsid w:val="00EF75E6"/>
    <w:rsid w:val="00EF78AB"/>
    <w:rsid w:val="00EF7987"/>
    <w:rsid w:val="00EF7EB9"/>
    <w:rsid w:val="00EF7F1A"/>
    <w:rsid w:val="00EF7F62"/>
    <w:rsid w:val="00F0012F"/>
    <w:rsid w:val="00F00284"/>
    <w:rsid w:val="00F00396"/>
    <w:rsid w:val="00F00657"/>
    <w:rsid w:val="00F0070F"/>
    <w:rsid w:val="00F007E0"/>
    <w:rsid w:val="00F009B8"/>
    <w:rsid w:val="00F00A64"/>
    <w:rsid w:val="00F00B21"/>
    <w:rsid w:val="00F00CAE"/>
    <w:rsid w:val="00F011A5"/>
    <w:rsid w:val="00F01761"/>
    <w:rsid w:val="00F01A70"/>
    <w:rsid w:val="00F01CC0"/>
    <w:rsid w:val="00F025D3"/>
    <w:rsid w:val="00F025EB"/>
    <w:rsid w:val="00F02755"/>
    <w:rsid w:val="00F02EF9"/>
    <w:rsid w:val="00F0368F"/>
    <w:rsid w:val="00F03726"/>
    <w:rsid w:val="00F03B01"/>
    <w:rsid w:val="00F03CD1"/>
    <w:rsid w:val="00F03DF4"/>
    <w:rsid w:val="00F04275"/>
    <w:rsid w:val="00F042F9"/>
    <w:rsid w:val="00F044FE"/>
    <w:rsid w:val="00F0453A"/>
    <w:rsid w:val="00F04680"/>
    <w:rsid w:val="00F046F8"/>
    <w:rsid w:val="00F04866"/>
    <w:rsid w:val="00F05273"/>
    <w:rsid w:val="00F05284"/>
    <w:rsid w:val="00F05365"/>
    <w:rsid w:val="00F05A3C"/>
    <w:rsid w:val="00F05D5F"/>
    <w:rsid w:val="00F05E0B"/>
    <w:rsid w:val="00F066F1"/>
    <w:rsid w:val="00F06751"/>
    <w:rsid w:val="00F071DA"/>
    <w:rsid w:val="00F074CD"/>
    <w:rsid w:val="00F07A51"/>
    <w:rsid w:val="00F10119"/>
    <w:rsid w:val="00F1013E"/>
    <w:rsid w:val="00F1025E"/>
    <w:rsid w:val="00F104FC"/>
    <w:rsid w:val="00F105E5"/>
    <w:rsid w:val="00F10BB0"/>
    <w:rsid w:val="00F10D33"/>
    <w:rsid w:val="00F10D39"/>
    <w:rsid w:val="00F110E8"/>
    <w:rsid w:val="00F1138D"/>
    <w:rsid w:val="00F11393"/>
    <w:rsid w:val="00F11458"/>
    <w:rsid w:val="00F115A7"/>
    <w:rsid w:val="00F11E62"/>
    <w:rsid w:val="00F11FDB"/>
    <w:rsid w:val="00F12266"/>
    <w:rsid w:val="00F123EB"/>
    <w:rsid w:val="00F12A63"/>
    <w:rsid w:val="00F12CD9"/>
    <w:rsid w:val="00F12E19"/>
    <w:rsid w:val="00F1301A"/>
    <w:rsid w:val="00F133AA"/>
    <w:rsid w:val="00F134BA"/>
    <w:rsid w:val="00F137DE"/>
    <w:rsid w:val="00F13827"/>
    <w:rsid w:val="00F13A9E"/>
    <w:rsid w:val="00F13C48"/>
    <w:rsid w:val="00F13DDA"/>
    <w:rsid w:val="00F13EB9"/>
    <w:rsid w:val="00F14070"/>
    <w:rsid w:val="00F14439"/>
    <w:rsid w:val="00F14929"/>
    <w:rsid w:val="00F149EC"/>
    <w:rsid w:val="00F14B2A"/>
    <w:rsid w:val="00F14B9C"/>
    <w:rsid w:val="00F15088"/>
    <w:rsid w:val="00F154E6"/>
    <w:rsid w:val="00F15872"/>
    <w:rsid w:val="00F15AC2"/>
    <w:rsid w:val="00F15FAB"/>
    <w:rsid w:val="00F15FBD"/>
    <w:rsid w:val="00F16411"/>
    <w:rsid w:val="00F165DA"/>
    <w:rsid w:val="00F16A57"/>
    <w:rsid w:val="00F16ADA"/>
    <w:rsid w:val="00F16FD1"/>
    <w:rsid w:val="00F17253"/>
    <w:rsid w:val="00F17423"/>
    <w:rsid w:val="00F1784C"/>
    <w:rsid w:val="00F17C97"/>
    <w:rsid w:val="00F17CEC"/>
    <w:rsid w:val="00F17D9B"/>
    <w:rsid w:val="00F17E65"/>
    <w:rsid w:val="00F20561"/>
    <w:rsid w:val="00F2094D"/>
    <w:rsid w:val="00F20AD0"/>
    <w:rsid w:val="00F20BB9"/>
    <w:rsid w:val="00F215A6"/>
    <w:rsid w:val="00F215AC"/>
    <w:rsid w:val="00F216F7"/>
    <w:rsid w:val="00F22089"/>
    <w:rsid w:val="00F2217F"/>
    <w:rsid w:val="00F22A98"/>
    <w:rsid w:val="00F22BC6"/>
    <w:rsid w:val="00F22D69"/>
    <w:rsid w:val="00F22DC6"/>
    <w:rsid w:val="00F22E50"/>
    <w:rsid w:val="00F23103"/>
    <w:rsid w:val="00F23379"/>
    <w:rsid w:val="00F2348A"/>
    <w:rsid w:val="00F23983"/>
    <w:rsid w:val="00F23C01"/>
    <w:rsid w:val="00F24209"/>
    <w:rsid w:val="00F24369"/>
    <w:rsid w:val="00F243BC"/>
    <w:rsid w:val="00F2461A"/>
    <w:rsid w:val="00F24788"/>
    <w:rsid w:val="00F24E96"/>
    <w:rsid w:val="00F25670"/>
    <w:rsid w:val="00F259E3"/>
    <w:rsid w:val="00F25A8C"/>
    <w:rsid w:val="00F25DB4"/>
    <w:rsid w:val="00F25FC2"/>
    <w:rsid w:val="00F26081"/>
    <w:rsid w:val="00F26345"/>
    <w:rsid w:val="00F266E5"/>
    <w:rsid w:val="00F268F7"/>
    <w:rsid w:val="00F26933"/>
    <w:rsid w:val="00F26A6A"/>
    <w:rsid w:val="00F26B68"/>
    <w:rsid w:val="00F26EAE"/>
    <w:rsid w:val="00F26EB8"/>
    <w:rsid w:val="00F272ED"/>
    <w:rsid w:val="00F27EE9"/>
    <w:rsid w:val="00F30254"/>
    <w:rsid w:val="00F306E1"/>
    <w:rsid w:val="00F30913"/>
    <w:rsid w:val="00F309B8"/>
    <w:rsid w:val="00F30EB5"/>
    <w:rsid w:val="00F31239"/>
    <w:rsid w:val="00F3159F"/>
    <w:rsid w:val="00F315C4"/>
    <w:rsid w:val="00F316CD"/>
    <w:rsid w:val="00F3180C"/>
    <w:rsid w:val="00F31D66"/>
    <w:rsid w:val="00F322B1"/>
    <w:rsid w:val="00F328E5"/>
    <w:rsid w:val="00F32A26"/>
    <w:rsid w:val="00F32A93"/>
    <w:rsid w:val="00F32AFF"/>
    <w:rsid w:val="00F32BB1"/>
    <w:rsid w:val="00F32C5D"/>
    <w:rsid w:val="00F330AA"/>
    <w:rsid w:val="00F330BF"/>
    <w:rsid w:val="00F3382E"/>
    <w:rsid w:val="00F3385A"/>
    <w:rsid w:val="00F33878"/>
    <w:rsid w:val="00F3399C"/>
    <w:rsid w:val="00F33B75"/>
    <w:rsid w:val="00F33D1F"/>
    <w:rsid w:val="00F340E5"/>
    <w:rsid w:val="00F34429"/>
    <w:rsid w:val="00F3447E"/>
    <w:rsid w:val="00F34999"/>
    <w:rsid w:val="00F34C82"/>
    <w:rsid w:val="00F34DBA"/>
    <w:rsid w:val="00F34FD8"/>
    <w:rsid w:val="00F34FE9"/>
    <w:rsid w:val="00F3530C"/>
    <w:rsid w:val="00F35373"/>
    <w:rsid w:val="00F354B3"/>
    <w:rsid w:val="00F35704"/>
    <w:rsid w:val="00F359DA"/>
    <w:rsid w:val="00F35BDA"/>
    <w:rsid w:val="00F35BDB"/>
    <w:rsid w:val="00F35DB2"/>
    <w:rsid w:val="00F35F99"/>
    <w:rsid w:val="00F36A79"/>
    <w:rsid w:val="00F36F50"/>
    <w:rsid w:val="00F372AB"/>
    <w:rsid w:val="00F37475"/>
    <w:rsid w:val="00F37600"/>
    <w:rsid w:val="00F3764D"/>
    <w:rsid w:val="00F37A1E"/>
    <w:rsid w:val="00F37A83"/>
    <w:rsid w:val="00F37BE3"/>
    <w:rsid w:val="00F404DE"/>
    <w:rsid w:val="00F40B55"/>
    <w:rsid w:val="00F40CC7"/>
    <w:rsid w:val="00F40CCA"/>
    <w:rsid w:val="00F40D7D"/>
    <w:rsid w:val="00F41171"/>
    <w:rsid w:val="00F41799"/>
    <w:rsid w:val="00F41A0C"/>
    <w:rsid w:val="00F41A30"/>
    <w:rsid w:val="00F41CED"/>
    <w:rsid w:val="00F41E66"/>
    <w:rsid w:val="00F42392"/>
    <w:rsid w:val="00F42534"/>
    <w:rsid w:val="00F4270C"/>
    <w:rsid w:val="00F42920"/>
    <w:rsid w:val="00F42961"/>
    <w:rsid w:val="00F42B31"/>
    <w:rsid w:val="00F42C3E"/>
    <w:rsid w:val="00F42D2F"/>
    <w:rsid w:val="00F42D30"/>
    <w:rsid w:val="00F42DAA"/>
    <w:rsid w:val="00F43507"/>
    <w:rsid w:val="00F43920"/>
    <w:rsid w:val="00F43A4B"/>
    <w:rsid w:val="00F43C7B"/>
    <w:rsid w:val="00F43D01"/>
    <w:rsid w:val="00F4404A"/>
    <w:rsid w:val="00F44225"/>
    <w:rsid w:val="00F44366"/>
    <w:rsid w:val="00F443F7"/>
    <w:rsid w:val="00F44434"/>
    <w:rsid w:val="00F449EB"/>
    <w:rsid w:val="00F44A93"/>
    <w:rsid w:val="00F44CB2"/>
    <w:rsid w:val="00F44CEC"/>
    <w:rsid w:val="00F44E3D"/>
    <w:rsid w:val="00F44F57"/>
    <w:rsid w:val="00F4524E"/>
    <w:rsid w:val="00F45362"/>
    <w:rsid w:val="00F455C3"/>
    <w:rsid w:val="00F455FD"/>
    <w:rsid w:val="00F4579F"/>
    <w:rsid w:val="00F45C95"/>
    <w:rsid w:val="00F45CF8"/>
    <w:rsid w:val="00F45F8F"/>
    <w:rsid w:val="00F4643F"/>
    <w:rsid w:val="00F464CA"/>
    <w:rsid w:val="00F46808"/>
    <w:rsid w:val="00F46FA5"/>
    <w:rsid w:val="00F47161"/>
    <w:rsid w:val="00F47169"/>
    <w:rsid w:val="00F471FC"/>
    <w:rsid w:val="00F476D1"/>
    <w:rsid w:val="00F47803"/>
    <w:rsid w:val="00F50200"/>
    <w:rsid w:val="00F502F6"/>
    <w:rsid w:val="00F5036D"/>
    <w:rsid w:val="00F50598"/>
    <w:rsid w:val="00F507A1"/>
    <w:rsid w:val="00F50EE8"/>
    <w:rsid w:val="00F50F5A"/>
    <w:rsid w:val="00F51346"/>
    <w:rsid w:val="00F51436"/>
    <w:rsid w:val="00F514F7"/>
    <w:rsid w:val="00F514FE"/>
    <w:rsid w:val="00F5157B"/>
    <w:rsid w:val="00F518B6"/>
    <w:rsid w:val="00F51A27"/>
    <w:rsid w:val="00F521D2"/>
    <w:rsid w:val="00F5269C"/>
    <w:rsid w:val="00F52AE3"/>
    <w:rsid w:val="00F53107"/>
    <w:rsid w:val="00F53596"/>
    <w:rsid w:val="00F53986"/>
    <w:rsid w:val="00F54042"/>
    <w:rsid w:val="00F5428B"/>
    <w:rsid w:val="00F547BA"/>
    <w:rsid w:val="00F547CA"/>
    <w:rsid w:val="00F547D0"/>
    <w:rsid w:val="00F55801"/>
    <w:rsid w:val="00F5589A"/>
    <w:rsid w:val="00F5590E"/>
    <w:rsid w:val="00F55995"/>
    <w:rsid w:val="00F55B94"/>
    <w:rsid w:val="00F55BF9"/>
    <w:rsid w:val="00F55DEA"/>
    <w:rsid w:val="00F560AD"/>
    <w:rsid w:val="00F568B4"/>
    <w:rsid w:val="00F56B9E"/>
    <w:rsid w:val="00F57086"/>
    <w:rsid w:val="00F575E3"/>
    <w:rsid w:val="00F57739"/>
    <w:rsid w:val="00F577B3"/>
    <w:rsid w:val="00F57E43"/>
    <w:rsid w:val="00F57F31"/>
    <w:rsid w:val="00F60322"/>
    <w:rsid w:val="00F60615"/>
    <w:rsid w:val="00F60889"/>
    <w:rsid w:val="00F6091D"/>
    <w:rsid w:val="00F61458"/>
    <w:rsid w:val="00F6206C"/>
    <w:rsid w:val="00F620B6"/>
    <w:rsid w:val="00F63201"/>
    <w:rsid w:val="00F63529"/>
    <w:rsid w:val="00F63680"/>
    <w:rsid w:val="00F636A1"/>
    <w:rsid w:val="00F636EB"/>
    <w:rsid w:val="00F6398A"/>
    <w:rsid w:val="00F63A9A"/>
    <w:rsid w:val="00F63C7B"/>
    <w:rsid w:val="00F63DCB"/>
    <w:rsid w:val="00F6448A"/>
    <w:rsid w:val="00F64999"/>
    <w:rsid w:val="00F64A35"/>
    <w:rsid w:val="00F64AC5"/>
    <w:rsid w:val="00F64DD2"/>
    <w:rsid w:val="00F6530F"/>
    <w:rsid w:val="00F6535B"/>
    <w:rsid w:val="00F65392"/>
    <w:rsid w:val="00F654FF"/>
    <w:rsid w:val="00F6555E"/>
    <w:rsid w:val="00F65ABF"/>
    <w:rsid w:val="00F65BF2"/>
    <w:rsid w:val="00F65E58"/>
    <w:rsid w:val="00F65EE0"/>
    <w:rsid w:val="00F661D9"/>
    <w:rsid w:val="00F66347"/>
    <w:rsid w:val="00F663B6"/>
    <w:rsid w:val="00F6654C"/>
    <w:rsid w:val="00F667D4"/>
    <w:rsid w:val="00F6688C"/>
    <w:rsid w:val="00F6693C"/>
    <w:rsid w:val="00F66E22"/>
    <w:rsid w:val="00F66E88"/>
    <w:rsid w:val="00F6724E"/>
    <w:rsid w:val="00F6733A"/>
    <w:rsid w:val="00F67531"/>
    <w:rsid w:val="00F676EF"/>
    <w:rsid w:val="00F67AC8"/>
    <w:rsid w:val="00F67B33"/>
    <w:rsid w:val="00F67CAE"/>
    <w:rsid w:val="00F67D0B"/>
    <w:rsid w:val="00F67F4B"/>
    <w:rsid w:val="00F701B4"/>
    <w:rsid w:val="00F701C5"/>
    <w:rsid w:val="00F7047E"/>
    <w:rsid w:val="00F7058B"/>
    <w:rsid w:val="00F7085C"/>
    <w:rsid w:val="00F70B80"/>
    <w:rsid w:val="00F70BB6"/>
    <w:rsid w:val="00F70F1D"/>
    <w:rsid w:val="00F71193"/>
    <w:rsid w:val="00F71476"/>
    <w:rsid w:val="00F71802"/>
    <w:rsid w:val="00F7192A"/>
    <w:rsid w:val="00F719BF"/>
    <w:rsid w:val="00F71FAC"/>
    <w:rsid w:val="00F722E4"/>
    <w:rsid w:val="00F722FF"/>
    <w:rsid w:val="00F723B2"/>
    <w:rsid w:val="00F726C2"/>
    <w:rsid w:val="00F7298B"/>
    <w:rsid w:val="00F72E33"/>
    <w:rsid w:val="00F73918"/>
    <w:rsid w:val="00F73AF9"/>
    <w:rsid w:val="00F73C9A"/>
    <w:rsid w:val="00F73CC7"/>
    <w:rsid w:val="00F743FD"/>
    <w:rsid w:val="00F744FE"/>
    <w:rsid w:val="00F7468C"/>
    <w:rsid w:val="00F7471B"/>
    <w:rsid w:val="00F74BA8"/>
    <w:rsid w:val="00F74C8F"/>
    <w:rsid w:val="00F74EE1"/>
    <w:rsid w:val="00F7506A"/>
    <w:rsid w:val="00F751C5"/>
    <w:rsid w:val="00F751EE"/>
    <w:rsid w:val="00F752AD"/>
    <w:rsid w:val="00F757A4"/>
    <w:rsid w:val="00F75B62"/>
    <w:rsid w:val="00F75DCF"/>
    <w:rsid w:val="00F75E07"/>
    <w:rsid w:val="00F75F2D"/>
    <w:rsid w:val="00F7604D"/>
    <w:rsid w:val="00F7613A"/>
    <w:rsid w:val="00F76189"/>
    <w:rsid w:val="00F761BE"/>
    <w:rsid w:val="00F7638C"/>
    <w:rsid w:val="00F76892"/>
    <w:rsid w:val="00F76A06"/>
    <w:rsid w:val="00F76AC3"/>
    <w:rsid w:val="00F76AEF"/>
    <w:rsid w:val="00F76B77"/>
    <w:rsid w:val="00F76BD1"/>
    <w:rsid w:val="00F76CD2"/>
    <w:rsid w:val="00F76F4F"/>
    <w:rsid w:val="00F77253"/>
    <w:rsid w:val="00F7755B"/>
    <w:rsid w:val="00F77B23"/>
    <w:rsid w:val="00F77D7A"/>
    <w:rsid w:val="00F77E82"/>
    <w:rsid w:val="00F800C0"/>
    <w:rsid w:val="00F8060B"/>
    <w:rsid w:val="00F80D06"/>
    <w:rsid w:val="00F80D64"/>
    <w:rsid w:val="00F810DB"/>
    <w:rsid w:val="00F81111"/>
    <w:rsid w:val="00F811F6"/>
    <w:rsid w:val="00F8161C"/>
    <w:rsid w:val="00F81A18"/>
    <w:rsid w:val="00F81AB2"/>
    <w:rsid w:val="00F81D42"/>
    <w:rsid w:val="00F81E1A"/>
    <w:rsid w:val="00F820E3"/>
    <w:rsid w:val="00F82231"/>
    <w:rsid w:val="00F822B4"/>
    <w:rsid w:val="00F827F4"/>
    <w:rsid w:val="00F828B1"/>
    <w:rsid w:val="00F8296F"/>
    <w:rsid w:val="00F82B3B"/>
    <w:rsid w:val="00F82BE8"/>
    <w:rsid w:val="00F82DA7"/>
    <w:rsid w:val="00F82E06"/>
    <w:rsid w:val="00F82EB2"/>
    <w:rsid w:val="00F8301A"/>
    <w:rsid w:val="00F83062"/>
    <w:rsid w:val="00F831A4"/>
    <w:rsid w:val="00F831F8"/>
    <w:rsid w:val="00F8345B"/>
    <w:rsid w:val="00F8375E"/>
    <w:rsid w:val="00F8376F"/>
    <w:rsid w:val="00F837E3"/>
    <w:rsid w:val="00F838E5"/>
    <w:rsid w:val="00F839C7"/>
    <w:rsid w:val="00F8400B"/>
    <w:rsid w:val="00F8450D"/>
    <w:rsid w:val="00F84695"/>
    <w:rsid w:val="00F84725"/>
    <w:rsid w:val="00F84AC4"/>
    <w:rsid w:val="00F84B8B"/>
    <w:rsid w:val="00F8513B"/>
    <w:rsid w:val="00F853EC"/>
    <w:rsid w:val="00F85619"/>
    <w:rsid w:val="00F85627"/>
    <w:rsid w:val="00F85A49"/>
    <w:rsid w:val="00F85F97"/>
    <w:rsid w:val="00F860E4"/>
    <w:rsid w:val="00F86138"/>
    <w:rsid w:val="00F8632E"/>
    <w:rsid w:val="00F863EF"/>
    <w:rsid w:val="00F86662"/>
    <w:rsid w:val="00F86CB0"/>
    <w:rsid w:val="00F86D2F"/>
    <w:rsid w:val="00F878D5"/>
    <w:rsid w:val="00F87AB9"/>
    <w:rsid w:val="00F87DDB"/>
    <w:rsid w:val="00F87FDC"/>
    <w:rsid w:val="00F901B1"/>
    <w:rsid w:val="00F902F2"/>
    <w:rsid w:val="00F90701"/>
    <w:rsid w:val="00F90A20"/>
    <w:rsid w:val="00F90EB2"/>
    <w:rsid w:val="00F91680"/>
    <w:rsid w:val="00F91867"/>
    <w:rsid w:val="00F91E29"/>
    <w:rsid w:val="00F92386"/>
    <w:rsid w:val="00F9275C"/>
    <w:rsid w:val="00F92769"/>
    <w:rsid w:val="00F9276C"/>
    <w:rsid w:val="00F927BE"/>
    <w:rsid w:val="00F9295F"/>
    <w:rsid w:val="00F92997"/>
    <w:rsid w:val="00F92D6B"/>
    <w:rsid w:val="00F938D3"/>
    <w:rsid w:val="00F93F68"/>
    <w:rsid w:val="00F9443F"/>
    <w:rsid w:val="00F94477"/>
    <w:rsid w:val="00F9454A"/>
    <w:rsid w:val="00F94656"/>
    <w:rsid w:val="00F9475C"/>
    <w:rsid w:val="00F947F1"/>
    <w:rsid w:val="00F94832"/>
    <w:rsid w:val="00F949F4"/>
    <w:rsid w:val="00F94E75"/>
    <w:rsid w:val="00F9500A"/>
    <w:rsid w:val="00F9522E"/>
    <w:rsid w:val="00F952FD"/>
    <w:rsid w:val="00F953C0"/>
    <w:rsid w:val="00F95874"/>
    <w:rsid w:val="00F9620D"/>
    <w:rsid w:val="00F9636F"/>
    <w:rsid w:val="00F967A9"/>
    <w:rsid w:val="00F96EFE"/>
    <w:rsid w:val="00F9717E"/>
    <w:rsid w:val="00F9726A"/>
    <w:rsid w:val="00F973A1"/>
    <w:rsid w:val="00F97682"/>
    <w:rsid w:val="00F976C0"/>
    <w:rsid w:val="00F97755"/>
    <w:rsid w:val="00F97EC3"/>
    <w:rsid w:val="00FA061C"/>
    <w:rsid w:val="00FA0698"/>
    <w:rsid w:val="00FA0B83"/>
    <w:rsid w:val="00FA13BE"/>
    <w:rsid w:val="00FA13F9"/>
    <w:rsid w:val="00FA1D65"/>
    <w:rsid w:val="00FA1F71"/>
    <w:rsid w:val="00FA217B"/>
    <w:rsid w:val="00FA25A1"/>
    <w:rsid w:val="00FA29DA"/>
    <w:rsid w:val="00FA2C5E"/>
    <w:rsid w:val="00FA31D0"/>
    <w:rsid w:val="00FA321A"/>
    <w:rsid w:val="00FA3744"/>
    <w:rsid w:val="00FA3C98"/>
    <w:rsid w:val="00FA3D1D"/>
    <w:rsid w:val="00FA3DDA"/>
    <w:rsid w:val="00FA3FD2"/>
    <w:rsid w:val="00FA4041"/>
    <w:rsid w:val="00FA4115"/>
    <w:rsid w:val="00FA4276"/>
    <w:rsid w:val="00FA431A"/>
    <w:rsid w:val="00FA437E"/>
    <w:rsid w:val="00FA4421"/>
    <w:rsid w:val="00FA4509"/>
    <w:rsid w:val="00FA473B"/>
    <w:rsid w:val="00FA4821"/>
    <w:rsid w:val="00FA4888"/>
    <w:rsid w:val="00FA4A66"/>
    <w:rsid w:val="00FA4E5F"/>
    <w:rsid w:val="00FA4F35"/>
    <w:rsid w:val="00FA536B"/>
    <w:rsid w:val="00FA5448"/>
    <w:rsid w:val="00FA558E"/>
    <w:rsid w:val="00FA625D"/>
    <w:rsid w:val="00FA62D8"/>
    <w:rsid w:val="00FA6705"/>
    <w:rsid w:val="00FA6A55"/>
    <w:rsid w:val="00FA6CE2"/>
    <w:rsid w:val="00FA6D80"/>
    <w:rsid w:val="00FA710F"/>
    <w:rsid w:val="00FA7157"/>
    <w:rsid w:val="00FA729C"/>
    <w:rsid w:val="00FA7378"/>
    <w:rsid w:val="00FA74FC"/>
    <w:rsid w:val="00FA767D"/>
    <w:rsid w:val="00FA7683"/>
    <w:rsid w:val="00FA7CA8"/>
    <w:rsid w:val="00FA7CB4"/>
    <w:rsid w:val="00FA7E83"/>
    <w:rsid w:val="00FA7EC2"/>
    <w:rsid w:val="00FB00DC"/>
    <w:rsid w:val="00FB0312"/>
    <w:rsid w:val="00FB06F5"/>
    <w:rsid w:val="00FB0928"/>
    <w:rsid w:val="00FB09A9"/>
    <w:rsid w:val="00FB0B38"/>
    <w:rsid w:val="00FB0B5A"/>
    <w:rsid w:val="00FB0C56"/>
    <w:rsid w:val="00FB0E3E"/>
    <w:rsid w:val="00FB0EEA"/>
    <w:rsid w:val="00FB123D"/>
    <w:rsid w:val="00FB12E3"/>
    <w:rsid w:val="00FB1403"/>
    <w:rsid w:val="00FB1916"/>
    <w:rsid w:val="00FB2183"/>
    <w:rsid w:val="00FB21D5"/>
    <w:rsid w:val="00FB229F"/>
    <w:rsid w:val="00FB3278"/>
    <w:rsid w:val="00FB340F"/>
    <w:rsid w:val="00FB34BA"/>
    <w:rsid w:val="00FB3836"/>
    <w:rsid w:val="00FB38FD"/>
    <w:rsid w:val="00FB3A0D"/>
    <w:rsid w:val="00FB40E8"/>
    <w:rsid w:val="00FB4179"/>
    <w:rsid w:val="00FB4201"/>
    <w:rsid w:val="00FB49B5"/>
    <w:rsid w:val="00FB4D8D"/>
    <w:rsid w:val="00FB4E9E"/>
    <w:rsid w:val="00FB4F06"/>
    <w:rsid w:val="00FB5033"/>
    <w:rsid w:val="00FB5058"/>
    <w:rsid w:val="00FB51EC"/>
    <w:rsid w:val="00FB536A"/>
    <w:rsid w:val="00FB562E"/>
    <w:rsid w:val="00FB56A0"/>
    <w:rsid w:val="00FB571F"/>
    <w:rsid w:val="00FB5AA1"/>
    <w:rsid w:val="00FB5CF9"/>
    <w:rsid w:val="00FB6136"/>
    <w:rsid w:val="00FB6667"/>
    <w:rsid w:val="00FB6AFF"/>
    <w:rsid w:val="00FB6CAC"/>
    <w:rsid w:val="00FB6F16"/>
    <w:rsid w:val="00FB6FA6"/>
    <w:rsid w:val="00FB7109"/>
    <w:rsid w:val="00FB729A"/>
    <w:rsid w:val="00FB72B9"/>
    <w:rsid w:val="00FB75B7"/>
    <w:rsid w:val="00FB76AF"/>
    <w:rsid w:val="00FB7B8C"/>
    <w:rsid w:val="00FB7BDF"/>
    <w:rsid w:val="00FB7DF9"/>
    <w:rsid w:val="00FC03A7"/>
    <w:rsid w:val="00FC0A63"/>
    <w:rsid w:val="00FC0B33"/>
    <w:rsid w:val="00FC0D23"/>
    <w:rsid w:val="00FC0F62"/>
    <w:rsid w:val="00FC117D"/>
    <w:rsid w:val="00FC15A3"/>
    <w:rsid w:val="00FC22FD"/>
    <w:rsid w:val="00FC25C1"/>
    <w:rsid w:val="00FC26C3"/>
    <w:rsid w:val="00FC2726"/>
    <w:rsid w:val="00FC29A0"/>
    <w:rsid w:val="00FC2D4C"/>
    <w:rsid w:val="00FC2F2F"/>
    <w:rsid w:val="00FC3320"/>
    <w:rsid w:val="00FC3328"/>
    <w:rsid w:val="00FC3765"/>
    <w:rsid w:val="00FC38FD"/>
    <w:rsid w:val="00FC3B27"/>
    <w:rsid w:val="00FC3BA4"/>
    <w:rsid w:val="00FC3FB5"/>
    <w:rsid w:val="00FC403D"/>
    <w:rsid w:val="00FC4611"/>
    <w:rsid w:val="00FC472E"/>
    <w:rsid w:val="00FC47AD"/>
    <w:rsid w:val="00FC4EE9"/>
    <w:rsid w:val="00FC5790"/>
    <w:rsid w:val="00FC6118"/>
    <w:rsid w:val="00FC615D"/>
    <w:rsid w:val="00FC62B9"/>
    <w:rsid w:val="00FC630D"/>
    <w:rsid w:val="00FC64AD"/>
    <w:rsid w:val="00FC6530"/>
    <w:rsid w:val="00FC6546"/>
    <w:rsid w:val="00FC69A3"/>
    <w:rsid w:val="00FC6A25"/>
    <w:rsid w:val="00FC6CBE"/>
    <w:rsid w:val="00FC6E30"/>
    <w:rsid w:val="00FC6E5C"/>
    <w:rsid w:val="00FC6EFD"/>
    <w:rsid w:val="00FC6F21"/>
    <w:rsid w:val="00FC728C"/>
    <w:rsid w:val="00FC72F2"/>
    <w:rsid w:val="00FC76F6"/>
    <w:rsid w:val="00FC76FF"/>
    <w:rsid w:val="00FC79CC"/>
    <w:rsid w:val="00FC7A28"/>
    <w:rsid w:val="00FC7A65"/>
    <w:rsid w:val="00FC7E0D"/>
    <w:rsid w:val="00FC7E9E"/>
    <w:rsid w:val="00FD00FC"/>
    <w:rsid w:val="00FD041A"/>
    <w:rsid w:val="00FD06B4"/>
    <w:rsid w:val="00FD0A8B"/>
    <w:rsid w:val="00FD0BEC"/>
    <w:rsid w:val="00FD0CE9"/>
    <w:rsid w:val="00FD0E82"/>
    <w:rsid w:val="00FD1082"/>
    <w:rsid w:val="00FD1112"/>
    <w:rsid w:val="00FD2000"/>
    <w:rsid w:val="00FD2058"/>
    <w:rsid w:val="00FD220B"/>
    <w:rsid w:val="00FD24CD"/>
    <w:rsid w:val="00FD2AA2"/>
    <w:rsid w:val="00FD2BB3"/>
    <w:rsid w:val="00FD2FE6"/>
    <w:rsid w:val="00FD38F1"/>
    <w:rsid w:val="00FD3973"/>
    <w:rsid w:val="00FD40F4"/>
    <w:rsid w:val="00FD4240"/>
    <w:rsid w:val="00FD497B"/>
    <w:rsid w:val="00FD4BCE"/>
    <w:rsid w:val="00FD4D43"/>
    <w:rsid w:val="00FD4DB9"/>
    <w:rsid w:val="00FD5367"/>
    <w:rsid w:val="00FD55CA"/>
    <w:rsid w:val="00FD595E"/>
    <w:rsid w:val="00FD6423"/>
    <w:rsid w:val="00FD648C"/>
    <w:rsid w:val="00FD654D"/>
    <w:rsid w:val="00FD679C"/>
    <w:rsid w:val="00FD67FA"/>
    <w:rsid w:val="00FD6818"/>
    <w:rsid w:val="00FD699E"/>
    <w:rsid w:val="00FD6B0A"/>
    <w:rsid w:val="00FD6DC2"/>
    <w:rsid w:val="00FD6E1A"/>
    <w:rsid w:val="00FD730D"/>
    <w:rsid w:val="00FD76C5"/>
    <w:rsid w:val="00FD777A"/>
    <w:rsid w:val="00FD7A36"/>
    <w:rsid w:val="00FD7B2B"/>
    <w:rsid w:val="00FD7C75"/>
    <w:rsid w:val="00FD7D0B"/>
    <w:rsid w:val="00FD7DD8"/>
    <w:rsid w:val="00FE01C9"/>
    <w:rsid w:val="00FE03E2"/>
    <w:rsid w:val="00FE051E"/>
    <w:rsid w:val="00FE08D4"/>
    <w:rsid w:val="00FE09AC"/>
    <w:rsid w:val="00FE1035"/>
    <w:rsid w:val="00FE1172"/>
    <w:rsid w:val="00FE12A4"/>
    <w:rsid w:val="00FE13D0"/>
    <w:rsid w:val="00FE1525"/>
    <w:rsid w:val="00FE156F"/>
    <w:rsid w:val="00FE16EF"/>
    <w:rsid w:val="00FE1B0C"/>
    <w:rsid w:val="00FE2036"/>
    <w:rsid w:val="00FE2228"/>
    <w:rsid w:val="00FE22F5"/>
    <w:rsid w:val="00FE236A"/>
    <w:rsid w:val="00FE250A"/>
    <w:rsid w:val="00FE2889"/>
    <w:rsid w:val="00FE29D5"/>
    <w:rsid w:val="00FE2BBC"/>
    <w:rsid w:val="00FE2BFA"/>
    <w:rsid w:val="00FE2F7C"/>
    <w:rsid w:val="00FE302D"/>
    <w:rsid w:val="00FE329B"/>
    <w:rsid w:val="00FE35AD"/>
    <w:rsid w:val="00FE3AA1"/>
    <w:rsid w:val="00FE3AAB"/>
    <w:rsid w:val="00FE3C47"/>
    <w:rsid w:val="00FE3D58"/>
    <w:rsid w:val="00FE412A"/>
    <w:rsid w:val="00FE4B75"/>
    <w:rsid w:val="00FE4EB4"/>
    <w:rsid w:val="00FE4F9A"/>
    <w:rsid w:val="00FE53A5"/>
    <w:rsid w:val="00FE552E"/>
    <w:rsid w:val="00FE55EA"/>
    <w:rsid w:val="00FE5861"/>
    <w:rsid w:val="00FE58A3"/>
    <w:rsid w:val="00FE5A9A"/>
    <w:rsid w:val="00FE5B08"/>
    <w:rsid w:val="00FE5B5D"/>
    <w:rsid w:val="00FE5CBF"/>
    <w:rsid w:val="00FE5E1F"/>
    <w:rsid w:val="00FE627E"/>
    <w:rsid w:val="00FE6B54"/>
    <w:rsid w:val="00FE6E6E"/>
    <w:rsid w:val="00FE775A"/>
    <w:rsid w:val="00FE7912"/>
    <w:rsid w:val="00FE7AA5"/>
    <w:rsid w:val="00FE7F3D"/>
    <w:rsid w:val="00FF0233"/>
    <w:rsid w:val="00FF050F"/>
    <w:rsid w:val="00FF0531"/>
    <w:rsid w:val="00FF0A76"/>
    <w:rsid w:val="00FF0C1A"/>
    <w:rsid w:val="00FF11FE"/>
    <w:rsid w:val="00FF14BC"/>
    <w:rsid w:val="00FF16AE"/>
    <w:rsid w:val="00FF16BF"/>
    <w:rsid w:val="00FF1734"/>
    <w:rsid w:val="00FF1766"/>
    <w:rsid w:val="00FF19C1"/>
    <w:rsid w:val="00FF1C3D"/>
    <w:rsid w:val="00FF2380"/>
    <w:rsid w:val="00FF239F"/>
    <w:rsid w:val="00FF2483"/>
    <w:rsid w:val="00FF2804"/>
    <w:rsid w:val="00FF2A74"/>
    <w:rsid w:val="00FF39A3"/>
    <w:rsid w:val="00FF39FE"/>
    <w:rsid w:val="00FF3AB4"/>
    <w:rsid w:val="00FF3D3F"/>
    <w:rsid w:val="00FF3E23"/>
    <w:rsid w:val="00FF3F97"/>
    <w:rsid w:val="00FF498A"/>
    <w:rsid w:val="00FF4DF3"/>
    <w:rsid w:val="00FF4F97"/>
    <w:rsid w:val="00FF5602"/>
    <w:rsid w:val="00FF569A"/>
    <w:rsid w:val="00FF58F4"/>
    <w:rsid w:val="00FF5B5A"/>
    <w:rsid w:val="00FF5BEE"/>
    <w:rsid w:val="00FF605D"/>
    <w:rsid w:val="00FF62DB"/>
    <w:rsid w:val="00FF6791"/>
    <w:rsid w:val="00FF6976"/>
    <w:rsid w:val="00FF6D38"/>
    <w:rsid w:val="00FF6D7A"/>
    <w:rsid w:val="00FF6EAB"/>
    <w:rsid w:val="00FF6EC9"/>
    <w:rsid w:val="00FF6FA7"/>
    <w:rsid w:val="00FF7103"/>
    <w:rsid w:val="00FF727F"/>
    <w:rsid w:val="00FF7920"/>
    <w:rsid w:val="00FF7D7F"/>
    <w:rsid w:val="014ADD09"/>
    <w:rsid w:val="014C3517"/>
    <w:rsid w:val="01583874"/>
    <w:rsid w:val="01837FED"/>
    <w:rsid w:val="01EC8B59"/>
    <w:rsid w:val="01EE2D00"/>
    <w:rsid w:val="01F3F3AA"/>
    <w:rsid w:val="0219B643"/>
    <w:rsid w:val="023E1CA8"/>
    <w:rsid w:val="02489313"/>
    <w:rsid w:val="025B2BF5"/>
    <w:rsid w:val="025C984E"/>
    <w:rsid w:val="0284AC6D"/>
    <w:rsid w:val="0287CE21"/>
    <w:rsid w:val="02979FDB"/>
    <w:rsid w:val="02999770"/>
    <w:rsid w:val="02B92C2E"/>
    <w:rsid w:val="02CA6790"/>
    <w:rsid w:val="02E2CE62"/>
    <w:rsid w:val="02EE8469"/>
    <w:rsid w:val="02FF80E3"/>
    <w:rsid w:val="02FFB140"/>
    <w:rsid w:val="030C6DA3"/>
    <w:rsid w:val="035E8BE2"/>
    <w:rsid w:val="0384B813"/>
    <w:rsid w:val="038689A3"/>
    <w:rsid w:val="03F90748"/>
    <w:rsid w:val="0404557C"/>
    <w:rsid w:val="040D43E0"/>
    <w:rsid w:val="04272CAD"/>
    <w:rsid w:val="04408FE9"/>
    <w:rsid w:val="046B2D7B"/>
    <w:rsid w:val="047EFAF7"/>
    <w:rsid w:val="049A8F74"/>
    <w:rsid w:val="049BE549"/>
    <w:rsid w:val="04B2D8E1"/>
    <w:rsid w:val="04B5E328"/>
    <w:rsid w:val="04C13BA4"/>
    <w:rsid w:val="04EF2607"/>
    <w:rsid w:val="04F6E54C"/>
    <w:rsid w:val="0504014C"/>
    <w:rsid w:val="050A834B"/>
    <w:rsid w:val="05118835"/>
    <w:rsid w:val="055ED726"/>
    <w:rsid w:val="055F906A"/>
    <w:rsid w:val="058EBA0A"/>
    <w:rsid w:val="0590D831"/>
    <w:rsid w:val="05A8D875"/>
    <w:rsid w:val="05B426A5"/>
    <w:rsid w:val="05BBEF76"/>
    <w:rsid w:val="05D0F82D"/>
    <w:rsid w:val="05DBB87E"/>
    <w:rsid w:val="05F6CD9A"/>
    <w:rsid w:val="063267D4"/>
    <w:rsid w:val="063A6EA9"/>
    <w:rsid w:val="064C26E4"/>
    <w:rsid w:val="065BA3C9"/>
    <w:rsid w:val="065E3D22"/>
    <w:rsid w:val="066D17EC"/>
    <w:rsid w:val="0678BE02"/>
    <w:rsid w:val="06798D50"/>
    <w:rsid w:val="06A764F2"/>
    <w:rsid w:val="06C31C1F"/>
    <w:rsid w:val="06D996F5"/>
    <w:rsid w:val="06EED495"/>
    <w:rsid w:val="0707FEF0"/>
    <w:rsid w:val="070A7E9E"/>
    <w:rsid w:val="07298844"/>
    <w:rsid w:val="07341E09"/>
    <w:rsid w:val="073D4CA4"/>
    <w:rsid w:val="074BA23F"/>
    <w:rsid w:val="07548644"/>
    <w:rsid w:val="0765BA44"/>
    <w:rsid w:val="07680321"/>
    <w:rsid w:val="078DFEE3"/>
    <w:rsid w:val="07A0F02F"/>
    <w:rsid w:val="07B27385"/>
    <w:rsid w:val="07B5FD9C"/>
    <w:rsid w:val="07D4D85E"/>
    <w:rsid w:val="07D9A029"/>
    <w:rsid w:val="07DB95B4"/>
    <w:rsid w:val="0819F9A4"/>
    <w:rsid w:val="0820392F"/>
    <w:rsid w:val="084A971B"/>
    <w:rsid w:val="085A4D26"/>
    <w:rsid w:val="0863A9C4"/>
    <w:rsid w:val="086431BB"/>
    <w:rsid w:val="086A9FC3"/>
    <w:rsid w:val="08BF95BB"/>
    <w:rsid w:val="08C0FB43"/>
    <w:rsid w:val="08DBE2BE"/>
    <w:rsid w:val="08DF0E6B"/>
    <w:rsid w:val="0902073B"/>
    <w:rsid w:val="091274F4"/>
    <w:rsid w:val="09155D94"/>
    <w:rsid w:val="091B8E9E"/>
    <w:rsid w:val="093304FA"/>
    <w:rsid w:val="0946D833"/>
    <w:rsid w:val="09498125"/>
    <w:rsid w:val="09576B32"/>
    <w:rsid w:val="09A67F96"/>
    <w:rsid w:val="09A9553E"/>
    <w:rsid w:val="09AC0C79"/>
    <w:rsid w:val="09B97B40"/>
    <w:rsid w:val="09C5E89F"/>
    <w:rsid w:val="09C9EAF1"/>
    <w:rsid w:val="09CC84D2"/>
    <w:rsid w:val="09CCEA58"/>
    <w:rsid w:val="09D00A9E"/>
    <w:rsid w:val="09E5C0F0"/>
    <w:rsid w:val="09EEBF8E"/>
    <w:rsid w:val="0A2DD90B"/>
    <w:rsid w:val="0A3FC510"/>
    <w:rsid w:val="0A583942"/>
    <w:rsid w:val="0A8120B0"/>
    <w:rsid w:val="0A829731"/>
    <w:rsid w:val="0A86EDC7"/>
    <w:rsid w:val="0AA89148"/>
    <w:rsid w:val="0AAEA5EF"/>
    <w:rsid w:val="0AB2EB05"/>
    <w:rsid w:val="0AB446A2"/>
    <w:rsid w:val="0ACF94F6"/>
    <w:rsid w:val="0AE1E218"/>
    <w:rsid w:val="0B0F579E"/>
    <w:rsid w:val="0B3A904D"/>
    <w:rsid w:val="0B3E005D"/>
    <w:rsid w:val="0B459832"/>
    <w:rsid w:val="0B65D671"/>
    <w:rsid w:val="0B66B417"/>
    <w:rsid w:val="0B66B591"/>
    <w:rsid w:val="0B76CE62"/>
    <w:rsid w:val="0B8C56C2"/>
    <w:rsid w:val="0B959C49"/>
    <w:rsid w:val="0B9665ED"/>
    <w:rsid w:val="0BAB3804"/>
    <w:rsid w:val="0BB7A8FE"/>
    <w:rsid w:val="0BBA9582"/>
    <w:rsid w:val="0BCA23E1"/>
    <w:rsid w:val="0BD27B22"/>
    <w:rsid w:val="0BDAACA6"/>
    <w:rsid w:val="0BF93C98"/>
    <w:rsid w:val="0C23D41A"/>
    <w:rsid w:val="0C5B6E4D"/>
    <w:rsid w:val="0C861329"/>
    <w:rsid w:val="0C90C31F"/>
    <w:rsid w:val="0C9349FE"/>
    <w:rsid w:val="0C962D32"/>
    <w:rsid w:val="0CA1E078"/>
    <w:rsid w:val="0CAF625A"/>
    <w:rsid w:val="0CCAE088"/>
    <w:rsid w:val="0CCC66B1"/>
    <w:rsid w:val="0CD5380D"/>
    <w:rsid w:val="0CF3B10D"/>
    <w:rsid w:val="0CFC0C31"/>
    <w:rsid w:val="0D0E15F0"/>
    <w:rsid w:val="0D3D3E81"/>
    <w:rsid w:val="0D4D2615"/>
    <w:rsid w:val="0D50AE3A"/>
    <w:rsid w:val="0D58E334"/>
    <w:rsid w:val="0D6579CD"/>
    <w:rsid w:val="0D89DE9B"/>
    <w:rsid w:val="0D8E1A76"/>
    <w:rsid w:val="0DBB10F4"/>
    <w:rsid w:val="0DCFBEC0"/>
    <w:rsid w:val="0DDB0220"/>
    <w:rsid w:val="0DE911EF"/>
    <w:rsid w:val="0DF64C52"/>
    <w:rsid w:val="0E24F3C8"/>
    <w:rsid w:val="0E24FB4F"/>
    <w:rsid w:val="0E2FB168"/>
    <w:rsid w:val="0E3C2950"/>
    <w:rsid w:val="0E413B43"/>
    <w:rsid w:val="0E47BE6D"/>
    <w:rsid w:val="0E4E7FD3"/>
    <w:rsid w:val="0E5BD6B2"/>
    <w:rsid w:val="0E6E1D36"/>
    <w:rsid w:val="0E904308"/>
    <w:rsid w:val="0E9CE479"/>
    <w:rsid w:val="0E9DC1CE"/>
    <w:rsid w:val="0EB24A69"/>
    <w:rsid w:val="0EBB78FB"/>
    <w:rsid w:val="0ECC44FD"/>
    <w:rsid w:val="0EFD2BB6"/>
    <w:rsid w:val="0F0BD1A6"/>
    <w:rsid w:val="0F10BCD9"/>
    <w:rsid w:val="0F15E3B5"/>
    <w:rsid w:val="0F1DD5B4"/>
    <w:rsid w:val="0F4B0D3F"/>
    <w:rsid w:val="0F4FBE2D"/>
    <w:rsid w:val="0F5491D3"/>
    <w:rsid w:val="0F679F0C"/>
    <w:rsid w:val="0F68C202"/>
    <w:rsid w:val="0F76D4A6"/>
    <w:rsid w:val="0F799AEC"/>
    <w:rsid w:val="0F8DC7B4"/>
    <w:rsid w:val="0F9EEED6"/>
    <w:rsid w:val="0FA66B1B"/>
    <w:rsid w:val="0FC0B0AE"/>
    <w:rsid w:val="0FE1F6EA"/>
    <w:rsid w:val="0FF5B768"/>
    <w:rsid w:val="1008A107"/>
    <w:rsid w:val="103A6CEA"/>
    <w:rsid w:val="1063C852"/>
    <w:rsid w:val="106C2CF5"/>
    <w:rsid w:val="108BD842"/>
    <w:rsid w:val="10907B8D"/>
    <w:rsid w:val="10993AA0"/>
    <w:rsid w:val="10A5DC15"/>
    <w:rsid w:val="10A94BB2"/>
    <w:rsid w:val="10C91997"/>
    <w:rsid w:val="10C9BB7F"/>
    <w:rsid w:val="10E90C82"/>
    <w:rsid w:val="111AFF05"/>
    <w:rsid w:val="1133834D"/>
    <w:rsid w:val="1155EAAD"/>
    <w:rsid w:val="11640EAF"/>
    <w:rsid w:val="1164544A"/>
    <w:rsid w:val="1175EE02"/>
    <w:rsid w:val="117ABAD5"/>
    <w:rsid w:val="11834A44"/>
    <w:rsid w:val="118B3EF1"/>
    <w:rsid w:val="11BA924C"/>
    <w:rsid w:val="11C43A6B"/>
    <w:rsid w:val="11DDF705"/>
    <w:rsid w:val="11EA6B2C"/>
    <w:rsid w:val="11ED1E54"/>
    <w:rsid w:val="11EE2E63"/>
    <w:rsid w:val="11FBD890"/>
    <w:rsid w:val="120142DC"/>
    <w:rsid w:val="12182E97"/>
    <w:rsid w:val="123FE693"/>
    <w:rsid w:val="124FB246"/>
    <w:rsid w:val="1255891F"/>
    <w:rsid w:val="1261B870"/>
    <w:rsid w:val="12D24D02"/>
    <w:rsid w:val="12E6DD52"/>
    <w:rsid w:val="1303E75D"/>
    <w:rsid w:val="1306595F"/>
    <w:rsid w:val="131F672D"/>
    <w:rsid w:val="1339E72E"/>
    <w:rsid w:val="134A3B12"/>
    <w:rsid w:val="134CA529"/>
    <w:rsid w:val="137278FE"/>
    <w:rsid w:val="13760301"/>
    <w:rsid w:val="1376CBAF"/>
    <w:rsid w:val="13803847"/>
    <w:rsid w:val="1388CD09"/>
    <w:rsid w:val="139E4DAE"/>
    <w:rsid w:val="13AB72AC"/>
    <w:rsid w:val="13BE8B17"/>
    <w:rsid w:val="13D0F282"/>
    <w:rsid w:val="140C8D10"/>
    <w:rsid w:val="147F7938"/>
    <w:rsid w:val="1483CDB4"/>
    <w:rsid w:val="1487164C"/>
    <w:rsid w:val="14A188A8"/>
    <w:rsid w:val="14A2B0EB"/>
    <w:rsid w:val="14A618A2"/>
    <w:rsid w:val="14EB465D"/>
    <w:rsid w:val="15190E56"/>
    <w:rsid w:val="151DA70D"/>
    <w:rsid w:val="1522709F"/>
    <w:rsid w:val="153419F9"/>
    <w:rsid w:val="155938E8"/>
    <w:rsid w:val="15751C53"/>
    <w:rsid w:val="1578F904"/>
    <w:rsid w:val="15809472"/>
    <w:rsid w:val="15885D27"/>
    <w:rsid w:val="15D46FB2"/>
    <w:rsid w:val="161AB579"/>
    <w:rsid w:val="162016B4"/>
    <w:rsid w:val="1625F3EA"/>
    <w:rsid w:val="162F6341"/>
    <w:rsid w:val="16347697"/>
    <w:rsid w:val="16449C6C"/>
    <w:rsid w:val="1689C488"/>
    <w:rsid w:val="16ADE29A"/>
    <w:rsid w:val="16BCB0CA"/>
    <w:rsid w:val="16C2D19D"/>
    <w:rsid w:val="16FB065B"/>
    <w:rsid w:val="170A6EA4"/>
    <w:rsid w:val="17179D6D"/>
    <w:rsid w:val="1723788D"/>
    <w:rsid w:val="1726A057"/>
    <w:rsid w:val="172A3204"/>
    <w:rsid w:val="172B802E"/>
    <w:rsid w:val="172D3B03"/>
    <w:rsid w:val="177F86E5"/>
    <w:rsid w:val="17A231CE"/>
    <w:rsid w:val="17AE103A"/>
    <w:rsid w:val="17BE23E5"/>
    <w:rsid w:val="17DA2810"/>
    <w:rsid w:val="17DD35F7"/>
    <w:rsid w:val="17E0489B"/>
    <w:rsid w:val="17E1D49F"/>
    <w:rsid w:val="17E3A71E"/>
    <w:rsid w:val="17E71A36"/>
    <w:rsid w:val="17FA95DC"/>
    <w:rsid w:val="185961F8"/>
    <w:rsid w:val="18612F6C"/>
    <w:rsid w:val="186ED7DC"/>
    <w:rsid w:val="187092AF"/>
    <w:rsid w:val="1874DBC9"/>
    <w:rsid w:val="1878437A"/>
    <w:rsid w:val="18861937"/>
    <w:rsid w:val="188B423A"/>
    <w:rsid w:val="18A11B56"/>
    <w:rsid w:val="18A5B8A7"/>
    <w:rsid w:val="18D5C8DF"/>
    <w:rsid w:val="18FE40C3"/>
    <w:rsid w:val="190B47D0"/>
    <w:rsid w:val="191EFBCA"/>
    <w:rsid w:val="19284636"/>
    <w:rsid w:val="193423D4"/>
    <w:rsid w:val="194266C2"/>
    <w:rsid w:val="19445E2B"/>
    <w:rsid w:val="194728FF"/>
    <w:rsid w:val="197E3FC0"/>
    <w:rsid w:val="19A4AA04"/>
    <w:rsid w:val="19BE9E9F"/>
    <w:rsid w:val="19DD3BCD"/>
    <w:rsid w:val="19E86A41"/>
    <w:rsid w:val="19F16617"/>
    <w:rsid w:val="1A11C225"/>
    <w:rsid w:val="1A26EA39"/>
    <w:rsid w:val="1A28575F"/>
    <w:rsid w:val="1A31B731"/>
    <w:rsid w:val="1A8B3FE4"/>
    <w:rsid w:val="1AA4C326"/>
    <w:rsid w:val="1AD17DF9"/>
    <w:rsid w:val="1ADCD0F3"/>
    <w:rsid w:val="1B2442F7"/>
    <w:rsid w:val="1B482F2D"/>
    <w:rsid w:val="1B65B1F3"/>
    <w:rsid w:val="1B710F56"/>
    <w:rsid w:val="1B784192"/>
    <w:rsid w:val="1B88F5B0"/>
    <w:rsid w:val="1B88F977"/>
    <w:rsid w:val="1B985692"/>
    <w:rsid w:val="1BAE86D4"/>
    <w:rsid w:val="1BB63EE3"/>
    <w:rsid w:val="1BD4D458"/>
    <w:rsid w:val="1BDB2423"/>
    <w:rsid w:val="1BF090DC"/>
    <w:rsid w:val="1BFDA3BF"/>
    <w:rsid w:val="1C0143E7"/>
    <w:rsid w:val="1C2B8079"/>
    <w:rsid w:val="1C35991F"/>
    <w:rsid w:val="1C4FCB5B"/>
    <w:rsid w:val="1C518BAF"/>
    <w:rsid w:val="1C519E7F"/>
    <w:rsid w:val="1C783C74"/>
    <w:rsid w:val="1C853081"/>
    <w:rsid w:val="1C86AD18"/>
    <w:rsid w:val="1C89B512"/>
    <w:rsid w:val="1C8A0304"/>
    <w:rsid w:val="1C9A18D6"/>
    <w:rsid w:val="1CA949DB"/>
    <w:rsid w:val="1CAADAC4"/>
    <w:rsid w:val="1CBCF52C"/>
    <w:rsid w:val="1CC1F309"/>
    <w:rsid w:val="1CCE927E"/>
    <w:rsid w:val="1CCF3284"/>
    <w:rsid w:val="1D06E024"/>
    <w:rsid w:val="1D0EC56D"/>
    <w:rsid w:val="1D176A2C"/>
    <w:rsid w:val="1D3C6D93"/>
    <w:rsid w:val="1D5D1A06"/>
    <w:rsid w:val="1D6CFCB2"/>
    <w:rsid w:val="1D7E50D8"/>
    <w:rsid w:val="1D9B4E70"/>
    <w:rsid w:val="1DB63B77"/>
    <w:rsid w:val="1DBD217D"/>
    <w:rsid w:val="1DDCF636"/>
    <w:rsid w:val="1DEF8951"/>
    <w:rsid w:val="1DF3F1DE"/>
    <w:rsid w:val="1E031EF1"/>
    <w:rsid w:val="1E057C65"/>
    <w:rsid w:val="1E07E1DF"/>
    <w:rsid w:val="1E1BD012"/>
    <w:rsid w:val="1E32D4DA"/>
    <w:rsid w:val="1E37B0B3"/>
    <w:rsid w:val="1E6F2750"/>
    <w:rsid w:val="1E88219B"/>
    <w:rsid w:val="1E9A633D"/>
    <w:rsid w:val="1E9EBF44"/>
    <w:rsid w:val="1E9FB75C"/>
    <w:rsid w:val="1EAB0248"/>
    <w:rsid w:val="1EADFA63"/>
    <w:rsid w:val="1ECE48EB"/>
    <w:rsid w:val="1EE4242B"/>
    <w:rsid w:val="1EE8785A"/>
    <w:rsid w:val="1EF8D0D8"/>
    <w:rsid w:val="1EFFCAD7"/>
    <w:rsid w:val="1F0769E4"/>
    <w:rsid w:val="1F0985AA"/>
    <w:rsid w:val="1F231FC8"/>
    <w:rsid w:val="1F44AE08"/>
    <w:rsid w:val="1F751BE5"/>
    <w:rsid w:val="1F7FC340"/>
    <w:rsid w:val="1F88E274"/>
    <w:rsid w:val="1F8E3A87"/>
    <w:rsid w:val="1FAC281E"/>
    <w:rsid w:val="1FAFB400"/>
    <w:rsid w:val="1FEB9098"/>
    <w:rsid w:val="1FF157AB"/>
    <w:rsid w:val="1FFA1C57"/>
    <w:rsid w:val="1FFAD13D"/>
    <w:rsid w:val="200DDFCC"/>
    <w:rsid w:val="2043561D"/>
    <w:rsid w:val="20455033"/>
    <w:rsid w:val="204AA70D"/>
    <w:rsid w:val="2051006A"/>
    <w:rsid w:val="2065A7E8"/>
    <w:rsid w:val="206F4128"/>
    <w:rsid w:val="2079DEBA"/>
    <w:rsid w:val="207A6B44"/>
    <w:rsid w:val="2080F1D2"/>
    <w:rsid w:val="20AF38C2"/>
    <w:rsid w:val="20C2F69B"/>
    <w:rsid w:val="20CB5E38"/>
    <w:rsid w:val="20D9EA6D"/>
    <w:rsid w:val="20ED3FE7"/>
    <w:rsid w:val="20F78719"/>
    <w:rsid w:val="212C80EF"/>
    <w:rsid w:val="21562651"/>
    <w:rsid w:val="216EEBEF"/>
    <w:rsid w:val="216FEDFC"/>
    <w:rsid w:val="217AAB44"/>
    <w:rsid w:val="2196CCD0"/>
    <w:rsid w:val="21C4541D"/>
    <w:rsid w:val="21E0CD4E"/>
    <w:rsid w:val="21E42BFF"/>
    <w:rsid w:val="21F29E14"/>
    <w:rsid w:val="2218FBAE"/>
    <w:rsid w:val="221F2575"/>
    <w:rsid w:val="22277939"/>
    <w:rsid w:val="2241D991"/>
    <w:rsid w:val="227DE073"/>
    <w:rsid w:val="22815FEB"/>
    <w:rsid w:val="229368B5"/>
    <w:rsid w:val="22A25CCD"/>
    <w:rsid w:val="22B4B086"/>
    <w:rsid w:val="22B8130B"/>
    <w:rsid w:val="22C622E1"/>
    <w:rsid w:val="22E0CB1E"/>
    <w:rsid w:val="2323D9C3"/>
    <w:rsid w:val="2332C1A4"/>
    <w:rsid w:val="2385E96C"/>
    <w:rsid w:val="239C4D2E"/>
    <w:rsid w:val="239D09DF"/>
    <w:rsid w:val="23A40F7C"/>
    <w:rsid w:val="23D0819C"/>
    <w:rsid w:val="23EE5236"/>
    <w:rsid w:val="23FD8739"/>
    <w:rsid w:val="24090236"/>
    <w:rsid w:val="240A1288"/>
    <w:rsid w:val="244D92A3"/>
    <w:rsid w:val="247FF2F2"/>
    <w:rsid w:val="248FCBDA"/>
    <w:rsid w:val="24AE6BD5"/>
    <w:rsid w:val="24B56AA3"/>
    <w:rsid w:val="24D75DD1"/>
    <w:rsid w:val="24E40817"/>
    <w:rsid w:val="24EB0B13"/>
    <w:rsid w:val="250FA389"/>
    <w:rsid w:val="252A7310"/>
    <w:rsid w:val="25386CE1"/>
    <w:rsid w:val="254F7741"/>
    <w:rsid w:val="255C6B2A"/>
    <w:rsid w:val="256267D3"/>
    <w:rsid w:val="258300D7"/>
    <w:rsid w:val="2592E99B"/>
    <w:rsid w:val="259E3265"/>
    <w:rsid w:val="25B73E1A"/>
    <w:rsid w:val="25BC000D"/>
    <w:rsid w:val="25C90787"/>
    <w:rsid w:val="25D3BA61"/>
    <w:rsid w:val="25EBF79F"/>
    <w:rsid w:val="26068A48"/>
    <w:rsid w:val="2607B1E6"/>
    <w:rsid w:val="260A0A0B"/>
    <w:rsid w:val="260D325A"/>
    <w:rsid w:val="2610E02F"/>
    <w:rsid w:val="261EF7A2"/>
    <w:rsid w:val="2630E7F9"/>
    <w:rsid w:val="2633E4C2"/>
    <w:rsid w:val="26366B3B"/>
    <w:rsid w:val="26370457"/>
    <w:rsid w:val="26438C02"/>
    <w:rsid w:val="26595A60"/>
    <w:rsid w:val="26620BFA"/>
    <w:rsid w:val="26691EC3"/>
    <w:rsid w:val="2676F70C"/>
    <w:rsid w:val="26822A12"/>
    <w:rsid w:val="2683B88C"/>
    <w:rsid w:val="26D77936"/>
    <w:rsid w:val="27092283"/>
    <w:rsid w:val="27186EA4"/>
    <w:rsid w:val="2737AFE3"/>
    <w:rsid w:val="2737F8FA"/>
    <w:rsid w:val="2743CCCE"/>
    <w:rsid w:val="2777071A"/>
    <w:rsid w:val="278497D0"/>
    <w:rsid w:val="278B58C1"/>
    <w:rsid w:val="278E285A"/>
    <w:rsid w:val="27A9F3CD"/>
    <w:rsid w:val="27D02268"/>
    <w:rsid w:val="27D77A65"/>
    <w:rsid w:val="27DD51BB"/>
    <w:rsid w:val="27DDFAA2"/>
    <w:rsid w:val="27E7F489"/>
    <w:rsid w:val="27EBE612"/>
    <w:rsid w:val="27FA216B"/>
    <w:rsid w:val="28173711"/>
    <w:rsid w:val="28480288"/>
    <w:rsid w:val="2856845F"/>
    <w:rsid w:val="285B9B3F"/>
    <w:rsid w:val="287C1C44"/>
    <w:rsid w:val="287DA85A"/>
    <w:rsid w:val="28888750"/>
    <w:rsid w:val="28A03E29"/>
    <w:rsid w:val="28A720FA"/>
    <w:rsid w:val="28ACEA07"/>
    <w:rsid w:val="28AD0675"/>
    <w:rsid w:val="28E4BCBD"/>
    <w:rsid w:val="28EBA90D"/>
    <w:rsid w:val="29013617"/>
    <w:rsid w:val="2903F761"/>
    <w:rsid w:val="2916CDA9"/>
    <w:rsid w:val="29236EA6"/>
    <w:rsid w:val="292B1FC2"/>
    <w:rsid w:val="29339F99"/>
    <w:rsid w:val="294C11F2"/>
    <w:rsid w:val="294E7A50"/>
    <w:rsid w:val="2968AAD1"/>
    <w:rsid w:val="29742626"/>
    <w:rsid w:val="29846E29"/>
    <w:rsid w:val="299B0008"/>
    <w:rsid w:val="299D01A3"/>
    <w:rsid w:val="29AFC268"/>
    <w:rsid w:val="29C9785E"/>
    <w:rsid w:val="29CD93FD"/>
    <w:rsid w:val="2A0B31AE"/>
    <w:rsid w:val="2A0F75FF"/>
    <w:rsid w:val="2A3E4575"/>
    <w:rsid w:val="2A460772"/>
    <w:rsid w:val="2A481858"/>
    <w:rsid w:val="2A5943A6"/>
    <w:rsid w:val="2A6DAB83"/>
    <w:rsid w:val="2A965ED9"/>
    <w:rsid w:val="2AB2555B"/>
    <w:rsid w:val="2AC6821C"/>
    <w:rsid w:val="2AC690FC"/>
    <w:rsid w:val="2AF3E618"/>
    <w:rsid w:val="2B06A12D"/>
    <w:rsid w:val="2B085FC3"/>
    <w:rsid w:val="2B160F62"/>
    <w:rsid w:val="2B310AEB"/>
    <w:rsid w:val="2B44D2AF"/>
    <w:rsid w:val="2B46F557"/>
    <w:rsid w:val="2B4EAF64"/>
    <w:rsid w:val="2B55003E"/>
    <w:rsid w:val="2B7D377E"/>
    <w:rsid w:val="2B86E142"/>
    <w:rsid w:val="2BA18D13"/>
    <w:rsid w:val="2BA98FAE"/>
    <w:rsid w:val="2BAEC6F8"/>
    <w:rsid w:val="2BB6EB37"/>
    <w:rsid w:val="2BE40AAF"/>
    <w:rsid w:val="2C1BF3E5"/>
    <w:rsid w:val="2C341BEF"/>
    <w:rsid w:val="2C3BD268"/>
    <w:rsid w:val="2C452173"/>
    <w:rsid w:val="2C5D673C"/>
    <w:rsid w:val="2C6D8154"/>
    <w:rsid w:val="2C838E5D"/>
    <w:rsid w:val="2C85CDE1"/>
    <w:rsid w:val="2C950FA9"/>
    <w:rsid w:val="2CBCB615"/>
    <w:rsid w:val="2CDE141D"/>
    <w:rsid w:val="2CDF57A8"/>
    <w:rsid w:val="2CF892CF"/>
    <w:rsid w:val="2D03DB91"/>
    <w:rsid w:val="2D0CD7B3"/>
    <w:rsid w:val="2D1AEED5"/>
    <w:rsid w:val="2D2BE298"/>
    <w:rsid w:val="2D2FDF19"/>
    <w:rsid w:val="2D360B53"/>
    <w:rsid w:val="2D465B13"/>
    <w:rsid w:val="2D4FA1DF"/>
    <w:rsid w:val="2D63EFE9"/>
    <w:rsid w:val="2DA100D3"/>
    <w:rsid w:val="2DA27868"/>
    <w:rsid w:val="2DA6BF0B"/>
    <w:rsid w:val="2DBF117C"/>
    <w:rsid w:val="2DC5AA0D"/>
    <w:rsid w:val="2DD3CE2F"/>
    <w:rsid w:val="2DEAF78E"/>
    <w:rsid w:val="2DF9A3DE"/>
    <w:rsid w:val="2DFA6C99"/>
    <w:rsid w:val="2DFD85B7"/>
    <w:rsid w:val="2E11CE74"/>
    <w:rsid w:val="2E2EE33B"/>
    <w:rsid w:val="2E359DA7"/>
    <w:rsid w:val="2E42D83C"/>
    <w:rsid w:val="2E468073"/>
    <w:rsid w:val="2E4EE3E0"/>
    <w:rsid w:val="2E8EFA6A"/>
    <w:rsid w:val="2E9CB051"/>
    <w:rsid w:val="2EB06D40"/>
    <w:rsid w:val="2EB2BC18"/>
    <w:rsid w:val="2EB93D10"/>
    <w:rsid w:val="2EC7B5B5"/>
    <w:rsid w:val="2EC99E87"/>
    <w:rsid w:val="2EE4A714"/>
    <w:rsid w:val="2EEEAD7F"/>
    <w:rsid w:val="2EF67884"/>
    <w:rsid w:val="2F2480DF"/>
    <w:rsid w:val="2F270D6E"/>
    <w:rsid w:val="2F29E31D"/>
    <w:rsid w:val="2F337502"/>
    <w:rsid w:val="2F3A0E49"/>
    <w:rsid w:val="2F6ECDB0"/>
    <w:rsid w:val="2F746884"/>
    <w:rsid w:val="2F746F5A"/>
    <w:rsid w:val="2FA02FEB"/>
    <w:rsid w:val="2FB2EDD4"/>
    <w:rsid w:val="2FBDE3F5"/>
    <w:rsid w:val="2FC463C4"/>
    <w:rsid w:val="2FC6CA2D"/>
    <w:rsid w:val="2FD4BF31"/>
    <w:rsid w:val="2FD69599"/>
    <w:rsid w:val="2FDB2E7A"/>
    <w:rsid w:val="2FDF2673"/>
    <w:rsid w:val="2FF51A2A"/>
    <w:rsid w:val="2FF78E32"/>
    <w:rsid w:val="3005D77C"/>
    <w:rsid w:val="300ADCD1"/>
    <w:rsid w:val="301CE1F1"/>
    <w:rsid w:val="303FB3A8"/>
    <w:rsid w:val="3073526F"/>
    <w:rsid w:val="307AC534"/>
    <w:rsid w:val="30C5B37E"/>
    <w:rsid w:val="30C62571"/>
    <w:rsid w:val="30D763BE"/>
    <w:rsid w:val="30DAF4AB"/>
    <w:rsid w:val="30F44F5B"/>
    <w:rsid w:val="30F9070A"/>
    <w:rsid w:val="310EBEEB"/>
    <w:rsid w:val="31157A42"/>
    <w:rsid w:val="3122C9E2"/>
    <w:rsid w:val="3129ADEA"/>
    <w:rsid w:val="3138FCE7"/>
    <w:rsid w:val="313C9AF0"/>
    <w:rsid w:val="31466405"/>
    <w:rsid w:val="315E1EF4"/>
    <w:rsid w:val="316138E1"/>
    <w:rsid w:val="316B0F0E"/>
    <w:rsid w:val="318442EC"/>
    <w:rsid w:val="318D61AF"/>
    <w:rsid w:val="31D06470"/>
    <w:rsid w:val="31DF3DFB"/>
    <w:rsid w:val="320E30F1"/>
    <w:rsid w:val="321232C7"/>
    <w:rsid w:val="3214B2E0"/>
    <w:rsid w:val="322A3A64"/>
    <w:rsid w:val="323779E5"/>
    <w:rsid w:val="324F06B5"/>
    <w:rsid w:val="3271F687"/>
    <w:rsid w:val="3285F340"/>
    <w:rsid w:val="3287644E"/>
    <w:rsid w:val="328D0E71"/>
    <w:rsid w:val="3297BFAC"/>
    <w:rsid w:val="32996166"/>
    <w:rsid w:val="32A55F7B"/>
    <w:rsid w:val="32B3BFE9"/>
    <w:rsid w:val="32BE9A43"/>
    <w:rsid w:val="32D567FE"/>
    <w:rsid w:val="32F75C08"/>
    <w:rsid w:val="32FF6956"/>
    <w:rsid w:val="3312CF3C"/>
    <w:rsid w:val="33153D09"/>
    <w:rsid w:val="33506528"/>
    <w:rsid w:val="337C0A0E"/>
    <w:rsid w:val="338A073A"/>
    <w:rsid w:val="33940A97"/>
    <w:rsid w:val="33A36713"/>
    <w:rsid w:val="33A70D92"/>
    <w:rsid w:val="33AE1859"/>
    <w:rsid w:val="33C92893"/>
    <w:rsid w:val="33DD2D2C"/>
    <w:rsid w:val="34050129"/>
    <w:rsid w:val="3405B75B"/>
    <w:rsid w:val="34125850"/>
    <w:rsid w:val="34430F14"/>
    <w:rsid w:val="3446F5F3"/>
    <w:rsid w:val="344F76EE"/>
    <w:rsid w:val="348EC499"/>
    <w:rsid w:val="3493982C"/>
    <w:rsid w:val="34C87FB5"/>
    <w:rsid w:val="34CD36F3"/>
    <w:rsid w:val="34DBBE2A"/>
    <w:rsid w:val="34EDECB7"/>
    <w:rsid w:val="34FBFBA0"/>
    <w:rsid w:val="3511E46E"/>
    <w:rsid w:val="3512238B"/>
    <w:rsid w:val="35457A01"/>
    <w:rsid w:val="35545A41"/>
    <w:rsid w:val="355AB5FF"/>
    <w:rsid w:val="355D71C5"/>
    <w:rsid w:val="356869A4"/>
    <w:rsid w:val="35799E86"/>
    <w:rsid w:val="358EFAA9"/>
    <w:rsid w:val="359218BA"/>
    <w:rsid w:val="35A7C961"/>
    <w:rsid w:val="35AACADF"/>
    <w:rsid w:val="35E32247"/>
    <w:rsid w:val="35E4C6E2"/>
    <w:rsid w:val="35ED6428"/>
    <w:rsid w:val="35EE9CE0"/>
    <w:rsid w:val="36132E05"/>
    <w:rsid w:val="364A60CC"/>
    <w:rsid w:val="365F1B68"/>
    <w:rsid w:val="3660D968"/>
    <w:rsid w:val="3671A2D8"/>
    <w:rsid w:val="368EDA69"/>
    <w:rsid w:val="36A6D3E8"/>
    <w:rsid w:val="36B4741E"/>
    <w:rsid w:val="36BFEA25"/>
    <w:rsid w:val="36D1E663"/>
    <w:rsid w:val="36FD6EBD"/>
    <w:rsid w:val="370340BC"/>
    <w:rsid w:val="370651EB"/>
    <w:rsid w:val="37256DCD"/>
    <w:rsid w:val="3736E7D7"/>
    <w:rsid w:val="37439D23"/>
    <w:rsid w:val="374A65B4"/>
    <w:rsid w:val="375F6B62"/>
    <w:rsid w:val="37618818"/>
    <w:rsid w:val="3796E1A4"/>
    <w:rsid w:val="37C3A6E1"/>
    <w:rsid w:val="37CE3CB6"/>
    <w:rsid w:val="3801E47C"/>
    <w:rsid w:val="38090DF2"/>
    <w:rsid w:val="380E43AE"/>
    <w:rsid w:val="38140476"/>
    <w:rsid w:val="38488AC5"/>
    <w:rsid w:val="384C7C53"/>
    <w:rsid w:val="384E4337"/>
    <w:rsid w:val="385BAD8D"/>
    <w:rsid w:val="386501BF"/>
    <w:rsid w:val="38708BDC"/>
    <w:rsid w:val="3870ED1F"/>
    <w:rsid w:val="3892FA97"/>
    <w:rsid w:val="3893123D"/>
    <w:rsid w:val="38D668E8"/>
    <w:rsid w:val="38E060D5"/>
    <w:rsid w:val="38E60FB6"/>
    <w:rsid w:val="39032141"/>
    <w:rsid w:val="39307E6B"/>
    <w:rsid w:val="3963856F"/>
    <w:rsid w:val="3969C6D2"/>
    <w:rsid w:val="397F254F"/>
    <w:rsid w:val="39973EC7"/>
    <w:rsid w:val="39DB717C"/>
    <w:rsid w:val="39F9D2C0"/>
    <w:rsid w:val="39FD5E15"/>
    <w:rsid w:val="3A1763E6"/>
    <w:rsid w:val="3A428CA5"/>
    <w:rsid w:val="3A4B490E"/>
    <w:rsid w:val="3A5AF081"/>
    <w:rsid w:val="3ACA04A1"/>
    <w:rsid w:val="3AF02520"/>
    <w:rsid w:val="3AFDD2E0"/>
    <w:rsid w:val="3B1B1CAE"/>
    <w:rsid w:val="3B33E62C"/>
    <w:rsid w:val="3B3ED6E4"/>
    <w:rsid w:val="3B4F8EA1"/>
    <w:rsid w:val="3B514BB6"/>
    <w:rsid w:val="3B59C8E5"/>
    <w:rsid w:val="3B5AF679"/>
    <w:rsid w:val="3B5E4B3E"/>
    <w:rsid w:val="3B659DFC"/>
    <w:rsid w:val="3B935109"/>
    <w:rsid w:val="3B9F63F2"/>
    <w:rsid w:val="3BA51D78"/>
    <w:rsid w:val="3BABD5A5"/>
    <w:rsid w:val="3BC634DD"/>
    <w:rsid w:val="3BCF862E"/>
    <w:rsid w:val="3BD8F79B"/>
    <w:rsid w:val="3BEF4863"/>
    <w:rsid w:val="3C201D3E"/>
    <w:rsid w:val="3C53D34E"/>
    <w:rsid w:val="3C57555A"/>
    <w:rsid w:val="3C5928B4"/>
    <w:rsid w:val="3C6C4288"/>
    <w:rsid w:val="3C701475"/>
    <w:rsid w:val="3C96AB4B"/>
    <w:rsid w:val="3C9B2631"/>
    <w:rsid w:val="3C9DAA5F"/>
    <w:rsid w:val="3CB2CBD7"/>
    <w:rsid w:val="3CB71F01"/>
    <w:rsid w:val="3CBCD79E"/>
    <w:rsid w:val="3CC05621"/>
    <w:rsid w:val="3CD93E85"/>
    <w:rsid w:val="3CDB45DB"/>
    <w:rsid w:val="3CE60476"/>
    <w:rsid w:val="3CF5E8B9"/>
    <w:rsid w:val="3CF78191"/>
    <w:rsid w:val="3D043BD3"/>
    <w:rsid w:val="3D0BC0C3"/>
    <w:rsid w:val="3D10188D"/>
    <w:rsid w:val="3D1B6F08"/>
    <w:rsid w:val="3D543E95"/>
    <w:rsid w:val="3D6E3098"/>
    <w:rsid w:val="3D700D37"/>
    <w:rsid w:val="3D7C82B1"/>
    <w:rsid w:val="3DA10763"/>
    <w:rsid w:val="3DA54844"/>
    <w:rsid w:val="3DB3D2D8"/>
    <w:rsid w:val="3DC010B1"/>
    <w:rsid w:val="3DD54E0E"/>
    <w:rsid w:val="3DE3F02D"/>
    <w:rsid w:val="3DF70981"/>
    <w:rsid w:val="3E327C11"/>
    <w:rsid w:val="3E371074"/>
    <w:rsid w:val="3E3E71E6"/>
    <w:rsid w:val="3E549E79"/>
    <w:rsid w:val="3E64DDDA"/>
    <w:rsid w:val="3E6998E3"/>
    <w:rsid w:val="3E8E08D6"/>
    <w:rsid w:val="3EA647CA"/>
    <w:rsid w:val="3EAB1A45"/>
    <w:rsid w:val="3EAC9ACD"/>
    <w:rsid w:val="3EBD36DD"/>
    <w:rsid w:val="3EC5E449"/>
    <w:rsid w:val="3EEB8412"/>
    <w:rsid w:val="3EEE5865"/>
    <w:rsid w:val="3F071382"/>
    <w:rsid w:val="3F11C72C"/>
    <w:rsid w:val="3F2B944A"/>
    <w:rsid w:val="3F464DBD"/>
    <w:rsid w:val="3F6E8FA4"/>
    <w:rsid w:val="3F89B739"/>
    <w:rsid w:val="3FE08CBA"/>
    <w:rsid w:val="40269B3F"/>
    <w:rsid w:val="40457A1A"/>
    <w:rsid w:val="406E7E8E"/>
    <w:rsid w:val="4077A3EE"/>
    <w:rsid w:val="40799697"/>
    <w:rsid w:val="40922745"/>
    <w:rsid w:val="409C0B6C"/>
    <w:rsid w:val="40B8EB03"/>
    <w:rsid w:val="40E68C25"/>
    <w:rsid w:val="40EEDF1E"/>
    <w:rsid w:val="40F906D8"/>
    <w:rsid w:val="4113A54C"/>
    <w:rsid w:val="412261EB"/>
    <w:rsid w:val="4137352C"/>
    <w:rsid w:val="41397AB2"/>
    <w:rsid w:val="415F5B36"/>
    <w:rsid w:val="41B5D9CB"/>
    <w:rsid w:val="41B88DC6"/>
    <w:rsid w:val="41C485C1"/>
    <w:rsid w:val="41C7C157"/>
    <w:rsid w:val="4218A58E"/>
    <w:rsid w:val="42274E07"/>
    <w:rsid w:val="423C514B"/>
    <w:rsid w:val="424817DB"/>
    <w:rsid w:val="4249CC72"/>
    <w:rsid w:val="424B30A3"/>
    <w:rsid w:val="425AF57E"/>
    <w:rsid w:val="4289381C"/>
    <w:rsid w:val="4292749A"/>
    <w:rsid w:val="42B56886"/>
    <w:rsid w:val="42C5B9FD"/>
    <w:rsid w:val="42D38C83"/>
    <w:rsid w:val="42D9BD56"/>
    <w:rsid w:val="42E629E9"/>
    <w:rsid w:val="4324FB70"/>
    <w:rsid w:val="432D7995"/>
    <w:rsid w:val="4332E2EA"/>
    <w:rsid w:val="4341C539"/>
    <w:rsid w:val="434D7C17"/>
    <w:rsid w:val="43599575"/>
    <w:rsid w:val="43613FBE"/>
    <w:rsid w:val="437D1ADC"/>
    <w:rsid w:val="438711B3"/>
    <w:rsid w:val="438721CB"/>
    <w:rsid w:val="438A5F35"/>
    <w:rsid w:val="438E6124"/>
    <w:rsid w:val="4395F9C4"/>
    <w:rsid w:val="43B016DB"/>
    <w:rsid w:val="43DDD3FD"/>
    <w:rsid w:val="43E54B9B"/>
    <w:rsid w:val="4420594B"/>
    <w:rsid w:val="44403B27"/>
    <w:rsid w:val="4446F6D0"/>
    <w:rsid w:val="445D751F"/>
    <w:rsid w:val="449DF272"/>
    <w:rsid w:val="44A3A584"/>
    <w:rsid w:val="44B34853"/>
    <w:rsid w:val="44C707A0"/>
    <w:rsid w:val="44D3BBA3"/>
    <w:rsid w:val="450A7204"/>
    <w:rsid w:val="4514260B"/>
    <w:rsid w:val="4523AD16"/>
    <w:rsid w:val="45311680"/>
    <w:rsid w:val="45322B3B"/>
    <w:rsid w:val="458B74E2"/>
    <w:rsid w:val="45ADD1B2"/>
    <w:rsid w:val="45C34AF8"/>
    <w:rsid w:val="45C42991"/>
    <w:rsid w:val="45CDADE3"/>
    <w:rsid w:val="45E28C12"/>
    <w:rsid w:val="45F8BF61"/>
    <w:rsid w:val="45FF79FA"/>
    <w:rsid w:val="4628757E"/>
    <w:rsid w:val="4632CC59"/>
    <w:rsid w:val="4647FDC8"/>
    <w:rsid w:val="464C6F88"/>
    <w:rsid w:val="46536468"/>
    <w:rsid w:val="466261FF"/>
    <w:rsid w:val="467B2470"/>
    <w:rsid w:val="46907C6A"/>
    <w:rsid w:val="46A006A4"/>
    <w:rsid w:val="46A2BDAF"/>
    <w:rsid w:val="46BEC862"/>
    <w:rsid w:val="46C63381"/>
    <w:rsid w:val="46DB3346"/>
    <w:rsid w:val="470DCFC9"/>
    <w:rsid w:val="471FD64E"/>
    <w:rsid w:val="4739DDF5"/>
    <w:rsid w:val="476ECBCB"/>
    <w:rsid w:val="47905C13"/>
    <w:rsid w:val="47A21606"/>
    <w:rsid w:val="47AA7818"/>
    <w:rsid w:val="47B8F885"/>
    <w:rsid w:val="47CA6C74"/>
    <w:rsid w:val="47D76FB8"/>
    <w:rsid w:val="47D9CF7D"/>
    <w:rsid w:val="47DBEE21"/>
    <w:rsid w:val="48183D01"/>
    <w:rsid w:val="482F0577"/>
    <w:rsid w:val="484ADB63"/>
    <w:rsid w:val="484B93D1"/>
    <w:rsid w:val="485C99D3"/>
    <w:rsid w:val="487317D8"/>
    <w:rsid w:val="487A8326"/>
    <w:rsid w:val="487B02F5"/>
    <w:rsid w:val="488B2962"/>
    <w:rsid w:val="4898CEA3"/>
    <w:rsid w:val="48AF36D4"/>
    <w:rsid w:val="48BDE78C"/>
    <w:rsid w:val="48D7A8B2"/>
    <w:rsid w:val="48E39763"/>
    <w:rsid w:val="48FA7031"/>
    <w:rsid w:val="4906C109"/>
    <w:rsid w:val="491D066C"/>
    <w:rsid w:val="49667DB2"/>
    <w:rsid w:val="49B16FBE"/>
    <w:rsid w:val="49BB1592"/>
    <w:rsid w:val="49C1DAA3"/>
    <w:rsid w:val="49CFADE0"/>
    <w:rsid w:val="49E21C8D"/>
    <w:rsid w:val="4A0942B0"/>
    <w:rsid w:val="4A11B352"/>
    <w:rsid w:val="4A1A75AD"/>
    <w:rsid w:val="4A54CB83"/>
    <w:rsid w:val="4A6C5FD7"/>
    <w:rsid w:val="4A717EB7"/>
    <w:rsid w:val="4A9A801E"/>
    <w:rsid w:val="4A9B8A94"/>
    <w:rsid w:val="4AB48297"/>
    <w:rsid w:val="4B14A699"/>
    <w:rsid w:val="4B345850"/>
    <w:rsid w:val="4B39BD06"/>
    <w:rsid w:val="4B87A274"/>
    <w:rsid w:val="4B9678C1"/>
    <w:rsid w:val="4BC31A02"/>
    <w:rsid w:val="4BF20B46"/>
    <w:rsid w:val="4C07ECDA"/>
    <w:rsid w:val="4C110FC4"/>
    <w:rsid w:val="4C1C5312"/>
    <w:rsid w:val="4C1EFF58"/>
    <w:rsid w:val="4C1F40DB"/>
    <w:rsid w:val="4C2AECC1"/>
    <w:rsid w:val="4C37127B"/>
    <w:rsid w:val="4C5D5298"/>
    <w:rsid w:val="4C63F4B7"/>
    <w:rsid w:val="4C68044E"/>
    <w:rsid w:val="4C692A0C"/>
    <w:rsid w:val="4C98546F"/>
    <w:rsid w:val="4C99088B"/>
    <w:rsid w:val="4CAA59B9"/>
    <w:rsid w:val="4CB3B334"/>
    <w:rsid w:val="4CB87185"/>
    <w:rsid w:val="4CBF0D7F"/>
    <w:rsid w:val="4CC85AFC"/>
    <w:rsid w:val="4CCB8408"/>
    <w:rsid w:val="4CDECA5A"/>
    <w:rsid w:val="4CF03616"/>
    <w:rsid w:val="4D1566DD"/>
    <w:rsid w:val="4D22C25A"/>
    <w:rsid w:val="4D35CA66"/>
    <w:rsid w:val="4D3CFB5D"/>
    <w:rsid w:val="4D604C91"/>
    <w:rsid w:val="4D6B1D36"/>
    <w:rsid w:val="4D702025"/>
    <w:rsid w:val="4D7CA873"/>
    <w:rsid w:val="4D846001"/>
    <w:rsid w:val="4D8E1E87"/>
    <w:rsid w:val="4D976BD8"/>
    <w:rsid w:val="4DAEDC2B"/>
    <w:rsid w:val="4DBA0AF9"/>
    <w:rsid w:val="4DD1DDA7"/>
    <w:rsid w:val="4DDDFC0B"/>
    <w:rsid w:val="4E5F8A2A"/>
    <w:rsid w:val="4E6D0487"/>
    <w:rsid w:val="4E88079D"/>
    <w:rsid w:val="4E8DC617"/>
    <w:rsid w:val="4E947AC9"/>
    <w:rsid w:val="4EB20856"/>
    <w:rsid w:val="4EBEE09C"/>
    <w:rsid w:val="4EBF65F1"/>
    <w:rsid w:val="4ECE395A"/>
    <w:rsid w:val="4ED64224"/>
    <w:rsid w:val="4EDCD8A6"/>
    <w:rsid w:val="4F281DE8"/>
    <w:rsid w:val="4F668ECC"/>
    <w:rsid w:val="4F7304D5"/>
    <w:rsid w:val="4F8527D5"/>
    <w:rsid w:val="4F86F156"/>
    <w:rsid w:val="4F8A01B0"/>
    <w:rsid w:val="4F8E0C4B"/>
    <w:rsid w:val="4F9A0624"/>
    <w:rsid w:val="4FE8873A"/>
    <w:rsid w:val="4FFA1129"/>
    <w:rsid w:val="5008D4E8"/>
    <w:rsid w:val="503CBAC6"/>
    <w:rsid w:val="50692C23"/>
    <w:rsid w:val="509396AC"/>
    <w:rsid w:val="509A510F"/>
    <w:rsid w:val="50ADB2CC"/>
    <w:rsid w:val="50DC0396"/>
    <w:rsid w:val="50EC8996"/>
    <w:rsid w:val="5116D476"/>
    <w:rsid w:val="51295DEB"/>
    <w:rsid w:val="514A4C03"/>
    <w:rsid w:val="514E8102"/>
    <w:rsid w:val="515975FC"/>
    <w:rsid w:val="515EDE54"/>
    <w:rsid w:val="515F3355"/>
    <w:rsid w:val="516EC8D6"/>
    <w:rsid w:val="517EA5B2"/>
    <w:rsid w:val="51BB833A"/>
    <w:rsid w:val="51CA0992"/>
    <w:rsid w:val="51D1BC79"/>
    <w:rsid w:val="51D94629"/>
    <w:rsid w:val="51D94DBA"/>
    <w:rsid w:val="51DDD8DA"/>
    <w:rsid w:val="51E814D8"/>
    <w:rsid w:val="51F59DE0"/>
    <w:rsid w:val="51F97723"/>
    <w:rsid w:val="52246144"/>
    <w:rsid w:val="522571DD"/>
    <w:rsid w:val="52477FE7"/>
    <w:rsid w:val="525EBEEA"/>
    <w:rsid w:val="5271233E"/>
    <w:rsid w:val="527771BC"/>
    <w:rsid w:val="528D7313"/>
    <w:rsid w:val="528EE40F"/>
    <w:rsid w:val="52941316"/>
    <w:rsid w:val="52DFC55E"/>
    <w:rsid w:val="52EAF739"/>
    <w:rsid w:val="530E8A92"/>
    <w:rsid w:val="53232FA1"/>
    <w:rsid w:val="5328B83F"/>
    <w:rsid w:val="533949EE"/>
    <w:rsid w:val="53444C19"/>
    <w:rsid w:val="535630C4"/>
    <w:rsid w:val="53BAD0A5"/>
    <w:rsid w:val="53C09A54"/>
    <w:rsid w:val="53CECCCF"/>
    <w:rsid w:val="53EFE4FF"/>
    <w:rsid w:val="53F54053"/>
    <w:rsid w:val="53F8DAE2"/>
    <w:rsid w:val="53FD600B"/>
    <w:rsid w:val="53FE1E19"/>
    <w:rsid w:val="540ADED0"/>
    <w:rsid w:val="540BB9AD"/>
    <w:rsid w:val="5413E5BC"/>
    <w:rsid w:val="5416D6FB"/>
    <w:rsid w:val="541E960D"/>
    <w:rsid w:val="54207931"/>
    <w:rsid w:val="54278EE0"/>
    <w:rsid w:val="54507439"/>
    <w:rsid w:val="54BA4310"/>
    <w:rsid w:val="54D099FB"/>
    <w:rsid w:val="54E4ECA6"/>
    <w:rsid w:val="54E87AF7"/>
    <w:rsid w:val="54F383D3"/>
    <w:rsid w:val="54F68A3E"/>
    <w:rsid w:val="55009E2D"/>
    <w:rsid w:val="550DB2D2"/>
    <w:rsid w:val="5517E5FC"/>
    <w:rsid w:val="553436E7"/>
    <w:rsid w:val="553B550A"/>
    <w:rsid w:val="554AAC96"/>
    <w:rsid w:val="554AF74F"/>
    <w:rsid w:val="555560E2"/>
    <w:rsid w:val="5555F59A"/>
    <w:rsid w:val="555D1AB6"/>
    <w:rsid w:val="5562EBBE"/>
    <w:rsid w:val="558BB2DC"/>
    <w:rsid w:val="55902137"/>
    <w:rsid w:val="55A57315"/>
    <w:rsid w:val="55D768C5"/>
    <w:rsid w:val="55E2311A"/>
    <w:rsid w:val="56059537"/>
    <w:rsid w:val="56291882"/>
    <w:rsid w:val="56487C3E"/>
    <w:rsid w:val="565163F2"/>
    <w:rsid w:val="565A335A"/>
    <w:rsid w:val="5670CB12"/>
    <w:rsid w:val="5674A579"/>
    <w:rsid w:val="56950630"/>
    <w:rsid w:val="5695DED4"/>
    <w:rsid w:val="569D0538"/>
    <w:rsid w:val="56A22AB1"/>
    <w:rsid w:val="56A38907"/>
    <w:rsid w:val="56D42B73"/>
    <w:rsid w:val="56EA3CB3"/>
    <w:rsid w:val="57080504"/>
    <w:rsid w:val="570EA268"/>
    <w:rsid w:val="57183997"/>
    <w:rsid w:val="57264361"/>
    <w:rsid w:val="574F9FE6"/>
    <w:rsid w:val="576AD548"/>
    <w:rsid w:val="5788C481"/>
    <w:rsid w:val="5790C504"/>
    <w:rsid w:val="57954C2F"/>
    <w:rsid w:val="57A0652A"/>
    <w:rsid w:val="57ABDDFC"/>
    <w:rsid w:val="57ACBFDB"/>
    <w:rsid w:val="57E8F6D5"/>
    <w:rsid w:val="57F8EF5B"/>
    <w:rsid w:val="581020C8"/>
    <w:rsid w:val="58221789"/>
    <w:rsid w:val="5829A1E7"/>
    <w:rsid w:val="5834F283"/>
    <w:rsid w:val="583783E0"/>
    <w:rsid w:val="58488F3E"/>
    <w:rsid w:val="58621A7D"/>
    <w:rsid w:val="586D39ED"/>
    <w:rsid w:val="58805B39"/>
    <w:rsid w:val="58947F19"/>
    <w:rsid w:val="58CA13BD"/>
    <w:rsid w:val="58D81A54"/>
    <w:rsid w:val="58F5100F"/>
    <w:rsid w:val="58FEC4B8"/>
    <w:rsid w:val="58FEFADF"/>
    <w:rsid w:val="5909BA15"/>
    <w:rsid w:val="59124DF8"/>
    <w:rsid w:val="5921E4D0"/>
    <w:rsid w:val="592235BC"/>
    <w:rsid w:val="5927E4B6"/>
    <w:rsid w:val="5931ECE5"/>
    <w:rsid w:val="5937465F"/>
    <w:rsid w:val="593F9801"/>
    <w:rsid w:val="59684577"/>
    <w:rsid w:val="5969A195"/>
    <w:rsid w:val="597D6DE3"/>
    <w:rsid w:val="599DBFE9"/>
    <w:rsid w:val="59A73A15"/>
    <w:rsid w:val="59B15A23"/>
    <w:rsid w:val="59B50EA2"/>
    <w:rsid w:val="59C10A78"/>
    <w:rsid w:val="59C1DCF8"/>
    <w:rsid w:val="59D32DEC"/>
    <w:rsid w:val="59DA7633"/>
    <w:rsid w:val="5A15FF8F"/>
    <w:rsid w:val="5A245C62"/>
    <w:rsid w:val="5A2B69EA"/>
    <w:rsid w:val="5A38E55B"/>
    <w:rsid w:val="5A3B0056"/>
    <w:rsid w:val="5A4B72E1"/>
    <w:rsid w:val="5A4D2661"/>
    <w:rsid w:val="5A85A96C"/>
    <w:rsid w:val="5A9B2A3C"/>
    <w:rsid w:val="5AA62918"/>
    <w:rsid w:val="5AC58D8C"/>
    <w:rsid w:val="5AC6055A"/>
    <w:rsid w:val="5AD805EC"/>
    <w:rsid w:val="5ADD1AC0"/>
    <w:rsid w:val="5AE75B89"/>
    <w:rsid w:val="5AF16452"/>
    <w:rsid w:val="5AF3CEB7"/>
    <w:rsid w:val="5B0E963D"/>
    <w:rsid w:val="5B2803D0"/>
    <w:rsid w:val="5B832684"/>
    <w:rsid w:val="5B88D402"/>
    <w:rsid w:val="5BA25EF1"/>
    <w:rsid w:val="5BC1145D"/>
    <w:rsid w:val="5BD56474"/>
    <w:rsid w:val="5BDB2CDF"/>
    <w:rsid w:val="5BE23C23"/>
    <w:rsid w:val="5BE30E5F"/>
    <w:rsid w:val="5BF335F0"/>
    <w:rsid w:val="5BF66CD0"/>
    <w:rsid w:val="5BF6FBDC"/>
    <w:rsid w:val="5C0BB1EF"/>
    <w:rsid w:val="5C0DD003"/>
    <w:rsid w:val="5C2EA335"/>
    <w:rsid w:val="5C35074F"/>
    <w:rsid w:val="5C37D1A8"/>
    <w:rsid w:val="5C3830FE"/>
    <w:rsid w:val="5C40B5FC"/>
    <w:rsid w:val="5C547781"/>
    <w:rsid w:val="5C5ABF9A"/>
    <w:rsid w:val="5C69EA40"/>
    <w:rsid w:val="5C7372C7"/>
    <w:rsid w:val="5CA5F78A"/>
    <w:rsid w:val="5CAC61E4"/>
    <w:rsid w:val="5CE00C96"/>
    <w:rsid w:val="5CE59702"/>
    <w:rsid w:val="5D0618DF"/>
    <w:rsid w:val="5D0DD793"/>
    <w:rsid w:val="5D15DA71"/>
    <w:rsid w:val="5D436CC5"/>
    <w:rsid w:val="5D49BC35"/>
    <w:rsid w:val="5D4C0CBA"/>
    <w:rsid w:val="5D650246"/>
    <w:rsid w:val="5D7E2A87"/>
    <w:rsid w:val="5D87EB30"/>
    <w:rsid w:val="5DA7FDD1"/>
    <w:rsid w:val="5DB31024"/>
    <w:rsid w:val="5DBF116D"/>
    <w:rsid w:val="5DD49C78"/>
    <w:rsid w:val="5DDE9CAE"/>
    <w:rsid w:val="5DE4E1BC"/>
    <w:rsid w:val="5E0EF71D"/>
    <w:rsid w:val="5E14BB82"/>
    <w:rsid w:val="5E1973C0"/>
    <w:rsid w:val="5E5E42BD"/>
    <w:rsid w:val="5EC0D3E6"/>
    <w:rsid w:val="5EC92613"/>
    <w:rsid w:val="5EDE4F78"/>
    <w:rsid w:val="5EFC0479"/>
    <w:rsid w:val="5F091255"/>
    <w:rsid w:val="5F1FBBF8"/>
    <w:rsid w:val="5F45E4D9"/>
    <w:rsid w:val="5F47816F"/>
    <w:rsid w:val="5F740936"/>
    <w:rsid w:val="5F90E354"/>
    <w:rsid w:val="5F93FFEA"/>
    <w:rsid w:val="5F9BF330"/>
    <w:rsid w:val="5FF9BE2F"/>
    <w:rsid w:val="5FFB0B82"/>
    <w:rsid w:val="600B7CA4"/>
    <w:rsid w:val="603115E9"/>
    <w:rsid w:val="60428F26"/>
    <w:rsid w:val="60682A03"/>
    <w:rsid w:val="60919542"/>
    <w:rsid w:val="60AD6C87"/>
    <w:rsid w:val="60FD8E78"/>
    <w:rsid w:val="614C9F12"/>
    <w:rsid w:val="6153C958"/>
    <w:rsid w:val="61795523"/>
    <w:rsid w:val="6184BD3E"/>
    <w:rsid w:val="61CD98B2"/>
    <w:rsid w:val="61CE07BB"/>
    <w:rsid w:val="61D0530F"/>
    <w:rsid w:val="61DEC94A"/>
    <w:rsid w:val="61E1F6E5"/>
    <w:rsid w:val="61FA2BC7"/>
    <w:rsid w:val="61FA4934"/>
    <w:rsid w:val="6207BA68"/>
    <w:rsid w:val="6211A192"/>
    <w:rsid w:val="62165A0F"/>
    <w:rsid w:val="62448A7E"/>
    <w:rsid w:val="6250B084"/>
    <w:rsid w:val="629AA1EC"/>
    <w:rsid w:val="62B80B5F"/>
    <w:rsid w:val="62BF9496"/>
    <w:rsid w:val="62C3FEBE"/>
    <w:rsid w:val="62D3BDA7"/>
    <w:rsid w:val="62D6AAC3"/>
    <w:rsid w:val="630652D9"/>
    <w:rsid w:val="630CC976"/>
    <w:rsid w:val="63100B00"/>
    <w:rsid w:val="6317D494"/>
    <w:rsid w:val="63221E9E"/>
    <w:rsid w:val="635A85BD"/>
    <w:rsid w:val="63713658"/>
    <w:rsid w:val="63734764"/>
    <w:rsid w:val="63821537"/>
    <w:rsid w:val="638D40B7"/>
    <w:rsid w:val="63C44F24"/>
    <w:rsid w:val="63CFC5E2"/>
    <w:rsid w:val="63D8F404"/>
    <w:rsid w:val="63D97220"/>
    <w:rsid w:val="6416CDDF"/>
    <w:rsid w:val="6445C6EF"/>
    <w:rsid w:val="6445D5C0"/>
    <w:rsid w:val="6445F466"/>
    <w:rsid w:val="644D15BC"/>
    <w:rsid w:val="64E212A9"/>
    <w:rsid w:val="64F17DEF"/>
    <w:rsid w:val="64F28248"/>
    <w:rsid w:val="64FAA6D4"/>
    <w:rsid w:val="6506DCBE"/>
    <w:rsid w:val="6509E859"/>
    <w:rsid w:val="654DC681"/>
    <w:rsid w:val="655629AD"/>
    <w:rsid w:val="655B9B76"/>
    <w:rsid w:val="6579BB41"/>
    <w:rsid w:val="657A5C3C"/>
    <w:rsid w:val="659BB0E7"/>
    <w:rsid w:val="65B0BA1E"/>
    <w:rsid w:val="65BA6ABA"/>
    <w:rsid w:val="65BB0D26"/>
    <w:rsid w:val="65CC4F9A"/>
    <w:rsid w:val="65D1472A"/>
    <w:rsid w:val="65E6514F"/>
    <w:rsid w:val="65FC26E7"/>
    <w:rsid w:val="6606607C"/>
    <w:rsid w:val="660888B7"/>
    <w:rsid w:val="66112AF9"/>
    <w:rsid w:val="66273415"/>
    <w:rsid w:val="6657CA53"/>
    <w:rsid w:val="665C30F0"/>
    <w:rsid w:val="6665754D"/>
    <w:rsid w:val="666BA7B7"/>
    <w:rsid w:val="666D1610"/>
    <w:rsid w:val="667CB8C4"/>
    <w:rsid w:val="6684590E"/>
    <w:rsid w:val="66870437"/>
    <w:rsid w:val="6689031D"/>
    <w:rsid w:val="66B8558E"/>
    <w:rsid w:val="66BB52B2"/>
    <w:rsid w:val="66C69AE8"/>
    <w:rsid w:val="66CF6935"/>
    <w:rsid w:val="66D447E4"/>
    <w:rsid w:val="66E50688"/>
    <w:rsid w:val="66E9E3C3"/>
    <w:rsid w:val="66F12269"/>
    <w:rsid w:val="66F96A4F"/>
    <w:rsid w:val="67000F6F"/>
    <w:rsid w:val="670ADC0C"/>
    <w:rsid w:val="6738B14F"/>
    <w:rsid w:val="6739E762"/>
    <w:rsid w:val="673EB161"/>
    <w:rsid w:val="67501CC5"/>
    <w:rsid w:val="67669859"/>
    <w:rsid w:val="678DB6A7"/>
    <w:rsid w:val="678E5045"/>
    <w:rsid w:val="67936F0E"/>
    <w:rsid w:val="67B7D015"/>
    <w:rsid w:val="67C0A24C"/>
    <w:rsid w:val="67D4E5B8"/>
    <w:rsid w:val="680C7B59"/>
    <w:rsid w:val="6823018E"/>
    <w:rsid w:val="68284F5F"/>
    <w:rsid w:val="6842B2F4"/>
    <w:rsid w:val="684E10EA"/>
    <w:rsid w:val="6876FBEC"/>
    <w:rsid w:val="68CCC9ED"/>
    <w:rsid w:val="68D359EB"/>
    <w:rsid w:val="68E6BFE7"/>
    <w:rsid w:val="68FC0DE6"/>
    <w:rsid w:val="690BD645"/>
    <w:rsid w:val="692990D2"/>
    <w:rsid w:val="694094AA"/>
    <w:rsid w:val="69477236"/>
    <w:rsid w:val="695E659B"/>
    <w:rsid w:val="696530EE"/>
    <w:rsid w:val="697C9721"/>
    <w:rsid w:val="69844880"/>
    <w:rsid w:val="69970049"/>
    <w:rsid w:val="69AEDB70"/>
    <w:rsid w:val="69CA578B"/>
    <w:rsid w:val="69D771A0"/>
    <w:rsid w:val="69D9E11E"/>
    <w:rsid w:val="69FD5B9E"/>
    <w:rsid w:val="69FEF6CC"/>
    <w:rsid w:val="6A380BF3"/>
    <w:rsid w:val="6A46C3DB"/>
    <w:rsid w:val="6A69C5B2"/>
    <w:rsid w:val="6AD51CED"/>
    <w:rsid w:val="6AEDF7D4"/>
    <w:rsid w:val="6B035604"/>
    <w:rsid w:val="6B09E1C9"/>
    <w:rsid w:val="6B34670C"/>
    <w:rsid w:val="6B5A1B36"/>
    <w:rsid w:val="6B5C583D"/>
    <w:rsid w:val="6B74534A"/>
    <w:rsid w:val="6B767096"/>
    <w:rsid w:val="6B8EC50C"/>
    <w:rsid w:val="6B908BF0"/>
    <w:rsid w:val="6B92A67D"/>
    <w:rsid w:val="6B9528B8"/>
    <w:rsid w:val="6BA5AB1E"/>
    <w:rsid w:val="6BE1ECA9"/>
    <w:rsid w:val="6BE5BD92"/>
    <w:rsid w:val="6BFBE4CF"/>
    <w:rsid w:val="6C032456"/>
    <w:rsid w:val="6C06BFFC"/>
    <w:rsid w:val="6C09CC27"/>
    <w:rsid w:val="6C3627B9"/>
    <w:rsid w:val="6C4E7E47"/>
    <w:rsid w:val="6C66C196"/>
    <w:rsid w:val="6C72CE47"/>
    <w:rsid w:val="6C7BE66E"/>
    <w:rsid w:val="6C915F93"/>
    <w:rsid w:val="6C98D5D7"/>
    <w:rsid w:val="6C9E791A"/>
    <w:rsid w:val="6CABDFC3"/>
    <w:rsid w:val="6CBA557D"/>
    <w:rsid w:val="6CCDF057"/>
    <w:rsid w:val="6CD0DB4C"/>
    <w:rsid w:val="6CD29FE3"/>
    <w:rsid w:val="6CE5305F"/>
    <w:rsid w:val="6CEAD81C"/>
    <w:rsid w:val="6CEC40E3"/>
    <w:rsid w:val="6D1EF544"/>
    <w:rsid w:val="6D3995E0"/>
    <w:rsid w:val="6D52DA61"/>
    <w:rsid w:val="6D84E66E"/>
    <w:rsid w:val="6D891ADB"/>
    <w:rsid w:val="6D8AAE3E"/>
    <w:rsid w:val="6DAA0FA9"/>
    <w:rsid w:val="6DF03067"/>
    <w:rsid w:val="6DF89608"/>
    <w:rsid w:val="6E090C7D"/>
    <w:rsid w:val="6E1A2679"/>
    <w:rsid w:val="6E1C1F08"/>
    <w:rsid w:val="6E3E0C0A"/>
    <w:rsid w:val="6E47029A"/>
    <w:rsid w:val="6E5A005F"/>
    <w:rsid w:val="6E5B2D2B"/>
    <w:rsid w:val="6E83D1A2"/>
    <w:rsid w:val="6EB0F532"/>
    <w:rsid w:val="6EC29D06"/>
    <w:rsid w:val="6EC5A11D"/>
    <w:rsid w:val="6ED3CB1C"/>
    <w:rsid w:val="6EF04884"/>
    <w:rsid w:val="6F016813"/>
    <w:rsid w:val="6F195435"/>
    <w:rsid w:val="6F2D582B"/>
    <w:rsid w:val="6F319116"/>
    <w:rsid w:val="6F34D7EB"/>
    <w:rsid w:val="6F3BA28C"/>
    <w:rsid w:val="6F40C9DD"/>
    <w:rsid w:val="6F4A1570"/>
    <w:rsid w:val="6F4F574D"/>
    <w:rsid w:val="6F5D91C1"/>
    <w:rsid w:val="6F69CD4B"/>
    <w:rsid w:val="6FAC3904"/>
    <w:rsid w:val="6FCDBD5E"/>
    <w:rsid w:val="6FD2C890"/>
    <w:rsid w:val="6FDC6DF6"/>
    <w:rsid w:val="6FFEEDB4"/>
    <w:rsid w:val="7018E15F"/>
    <w:rsid w:val="702D03E0"/>
    <w:rsid w:val="70380644"/>
    <w:rsid w:val="704B2764"/>
    <w:rsid w:val="7091250A"/>
    <w:rsid w:val="70923A06"/>
    <w:rsid w:val="709ACA11"/>
    <w:rsid w:val="70A57F91"/>
    <w:rsid w:val="70C8609A"/>
    <w:rsid w:val="70CEBB53"/>
    <w:rsid w:val="70E1B882"/>
    <w:rsid w:val="70E21EFC"/>
    <w:rsid w:val="71169BC0"/>
    <w:rsid w:val="71318D6E"/>
    <w:rsid w:val="71419CCD"/>
    <w:rsid w:val="7145189D"/>
    <w:rsid w:val="7192E8DC"/>
    <w:rsid w:val="71971BB5"/>
    <w:rsid w:val="71A13339"/>
    <w:rsid w:val="71A90B7E"/>
    <w:rsid w:val="71B67D66"/>
    <w:rsid w:val="71B8A2BB"/>
    <w:rsid w:val="71B8A35F"/>
    <w:rsid w:val="71C83E15"/>
    <w:rsid w:val="71CCA173"/>
    <w:rsid w:val="71E72A96"/>
    <w:rsid w:val="71EF8FEB"/>
    <w:rsid w:val="72087732"/>
    <w:rsid w:val="720D2CF8"/>
    <w:rsid w:val="721ADF54"/>
    <w:rsid w:val="7222ED00"/>
    <w:rsid w:val="72369A72"/>
    <w:rsid w:val="723E8B30"/>
    <w:rsid w:val="724E6BBC"/>
    <w:rsid w:val="72512E2D"/>
    <w:rsid w:val="725928C6"/>
    <w:rsid w:val="72A7EB80"/>
    <w:rsid w:val="72A8E0C9"/>
    <w:rsid w:val="72B80352"/>
    <w:rsid w:val="72BE7609"/>
    <w:rsid w:val="72C02929"/>
    <w:rsid w:val="72E80142"/>
    <w:rsid w:val="72EF02FB"/>
    <w:rsid w:val="72F8D4E5"/>
    <w:rsid w:val="73077DDA"/>
    <w:rsid w:val="731275AA"/>
    <w:rsid w:val="734DB550"/>
    <w:rsid w:val="7355B978"/>
    <w:rsid w:val="73630C93"/>
    <w:rsid w:val="736871D4"/>
    <w:rsid w:val="7370241D"/>
    <w:rsid w:val="737A1152"/>
    <w:rsid w:val="738521B7"/>
    <w:rsid w:val="739103DE"/>
    <w:rsid w:val="73BE62DD"/>
    <w:rsid w:val="73C71A94"/>
    <w:rsid w:val="73D98D0B"/>
    <w:rsid w:val="73F04239"/>
    <w:rsid w:val="73FB3764"/>
    <w:rsid w:val="7420704C"/>
    <w:rsid w:val="743BC697"/>
    <w:rsid w:val="7453D3B3"/>
    <w:rsid w:val="74788622"/>
    <w:rsid w:val="747DFEDB"/>
    <w:rsid w:val="7482A877"/>
    <w:rsid w:val="749EF514"/>
    <w:rsid w:val="74A9E18F"/>
    <w:rsid w:val="74B0CAD2"/>
    <w:rsid w:val="74B3D703"/>
    <w:rsid w:val="74BD2037"/>
    <w:rsid w:val="74BD4775"/>
    <w:rsid w:val="74D3AD4B"/>
    <w:rsid w:val="74D9023C"/>
    <w:rsid w:val="74EB492E"/>
    <w:rsid w:val="74EB73E7"/>
    <w:rsid w:val="74EEE151"/>
    <w:rsid w:val="74F3428A"/>
    <w:rsid w:val="75217671"/>
    <w:rsid w:val="7526078F"/>
    <w:rsid w:val="7527C2B4"/>
    <w:rsid w:val="75314FED"/>
    <w:rsid w:val="7541A973"/>
    <w:rsid w:val="7559C3BA"/>
    <w:rsid w:val="756234E3"/>
    <w:rsid w:val="75699D30"/>
    <w:rsid w:val="75792EC9"/>
    <w:rsid w:val="759DFB3D"/>
    <w:rsid w:val="759F753B"/>
    <w:rsid w:val="75A995D7"/>
    <w:rsid w:val="75C99B5B"/>
    <w:rsid w:val="75CE60AA"/>
    <w:rsid w:val="75DF1678"/>
    <w:rsid w:val="762A173C"/>
    <w:rsid w:val="76304B42"/>
    <w:rsid w:val="7630A4FC"/>
    <w:rsid w:val="7634D0B7"/>
    <w:rsid w:val="763B43B3"/>
    <w:rsid w:val="7649CD59"/>
    <w:rsid w:val="769131AB"/>
    <w:rsid w:val="769C8905"/>
    <w:rsid w:val="76A8DE43"/>
    <w:rsid w:val="76AE3675"/>
    <w:rsid w:val="76B037CF"/>
    <w:rsid w:val="76CA7251"/>
    <w:rsid w:val="76DAA8B8"/>
    <w:rsid w:val="76E9383E"/>
    <w:rsid w:val="77081976"/>
    <w:rsid w:val="7734CF9E"/>
    <w:rsid w:val="7745904E"/>
    <w:rsid w:val="775AC609"/>
    <w:rsid w:val="775FDDB7"/>
    <w:rsid w:val="77659316"/>
    <w:rsid w:val="778AD2CB"/>
    <w:rsid w:val="77C57446"/>
    <w:rsid w:val="77E7AC3A"/>
    <w:rsid w:val="77EA3925"/>
    <w:rsid w:val="77F707C9"/>
    <w:rsid w:val="77FBC7D5"/>
    <w:rsid w:val="780EB2A4"/>
    <w:rsid w:val="785D683D"/>
    <w:rsid w:val="788A4FC2"/>
    <w:rsid w:val="788BDC74"/>
    <w:rsid w:val="78B06FD9"/>
    <w:rsid w:val="78E44E9D"/>
    <w:rsid w:val="78F7CAA2"/>
    <w:rsid w:val="790A4529"/>
    <w:rsid w:val="79247DBF"/>
    <w:rsid w:val="79251BF4"/>
    <w:rsid w:val="794910AF"/>
    <w:rsid w:val="796BE1AD"/>
    <w:rsid w:val="799BEB15"/>
    <w:rsid w:val="79A1B36A"/>
    <w:rsid w:val="79C67881"/>
    <w:rsid w:val="79E7D891"/>
    <w:rsid w:val="79F37FB1"/>
    <w:rsid w:val="79FEF5EB"/>
    <w:rsid w:val="7A1B16B0"/>
    <w:rsid w:val="7A35DAC6"/>
    <w:rsid w:val="7A3E35EB"/>
    <w:rsid w:val="7A42BD61"/>
    <w:rsid w:val="7A4FFF49"/>
    <w:rsid w:val="7A52AA9D"/>
    <w:rsid w:val="7A5FF6FC"/>
    <w:rsid w:val="7A6EBA9B"/>
    <w:rsid w:val="7A70455A"/>
    <w:rsid w:val="7A70F19D"/>
    <w:rsid w:val="7A72A93C"/>
    <w:rsid w:val="7A7357A5"/>
    <w:rsid w:val="7A7667E2"/>
    <w:rsid w:val="7A76D218"/>
    <w:rsid w:val="7A7A7A38"/>
    <w:rsid w:val="7A8E37B9"/>
    <w:rsid w:val="7AD31159"/>
    <w:rsid w:val="7AD87F3D"/>
    <w:rsid w:val="7ADEA960"/>
    <w:rsid w:val="7B241BE7"/>
    <w:rsid w:val="7B36E8EE"/>
    <w:rsid w:val="7B380CEC"/>
    <w:rsid w:val="7B81BF91"/>
    <w:rsid w:val="7B9045A0"/>
    <w:rsid w:val="7BB27DD6"/>
    <w:rsid w:val="7BD41382"/>
    <w:rsid w:val="7BE92BF8"/>
    <w:rsid w:val="7BED998C"/>
    <w:rsid w:val="7BEEC965"/>
    <w:rsid w:val="7BF514D2"/>
    <w:rsid w:val="7C0D3CC1"/>
    <w:rsid w:val="7C10B900"/>
    <w:rsid w:val="7C1EC139"/>
    <w:rsid w:val="7C35A7A5"/>
    <w:rsid w:val="7C4F4B39"/>
    <w:rsid w:val="7C54B3C3"/>
    <w:rsid w:val="7C6BCB29"/>
    <w:rsid w:val="7C94BBB4"/>
    <w:rsid w:val="7CBCAE29"/>
    <w:rsid w:val="7CDC3365"/>
    <w:rsid w:val="7CDCEB7D"/>
    <w:rsid w:val="7D0E5CBC"/>
    <w:rsid w:val="7D199A36"/>
    <w:rsid w:val="7D213926"/>
    <w:rsid w:val="7D2811B3"/>
    <w:rsid w:val="7D4820E7"/>
    <w:rsid w:val="7D4F2E68"/>
    <w:rsid w:val="7D6AA05E"/>
    <w:rsid w:val="7DBA9559"/>
    <w:rsid w:val="7DD4B830"/>
    <w:rsid w:val="7DD5DE4E"/>
    <w:rsid w:val="7DDD9FB6"/>
    <w:rsid w:val="7E2A4A8D"/>
    <w:rsid w:val="7E32CEAA"/>
    <w:rsid w:val="7E43FADD"/>
    <w:rsid w:val="7E74AD18"/>
    <w:rsid w:val="7E869EA5"/>
    <w:rsid w:val="7EA466C4"/>
    <w:rsid w:val="7EB5B21B"/>
    <w:rsid w:val="7EDD4169"/>
    <w:rsid w:val="7EE24D47"/>
    <w:rsid w:val="7EFB093E"/>
    <w:rsid w:val="7EFC5E13"/>
    <w:rsid w:val="7F03E8C7"/>
    <w:rsid w:val="7F284511"/>
    <w:rsid w:val="7F2BB526"/>
    <w:rsid w:val="7F36DCAE"/>
    <w:rsid w:val="7F38775D"/>
    <w:rsid w:val="7F3DDA51"/>
    <w:rsid w:val="7F8484DF"/>
    <w:rsid w:val="7F8581A8"/>
    <w:rsid w:val="7F8B6FC3"/>
    <w:rsid w:val="7FAF3940"/>
    <w:rsid w:val="7FB8BEBE"/>
    <w:rsid w:val="7FBE54A9"/>
    <w:rsid w:val="7FBFED88"/>
    <w:rsid w:val="7FC58E73"/>
    <w:rsid w:val="7FC948F3"/>
    <w:rsid w:val="7FE2B4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60CA8"/>
  <w15:docId w15:val="{644EFCB2-F713-4A98-98FB-38CAA860D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semiHidden="1"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qFormat="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uiPriority="2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unhideWhenUsed="1"/>
    <w:lsdException w:name="Smart Link" w:locked="0" w:semiHidden="1"/>
  </w:latentStyles>
  <w:style w:type="paragraph" w:default="1" w:styleId="Normal">
    <w:name w:val="Normal"/>
    <w:semiHidden/>
    <w:qFormat/>
    <w:rsid w:val="009D3814"/>
    <w:pPr>
      <w:spacing w:before="40" w:after="40" w:line="240" w:lineRule="auto"/>
    </w:pPr>
    <w:rPr>
      <w:rFonts w:ascii="Calibri" w:hAnsi="Calibri"/>
      <w:sz w:val="22"/>
      <w:lang w:val="en-AU"/>
    </w:rPr>
  </w:style>
  <w:style w:type="paragraph" w:styleId="Heading1">
    <w:name w:val="heading 1"/>
    <w:basedOn w:val="BodyText"/>
    <w:next w:val="BodyText"/>
    <w:link w:val="Heading1Char"/>
    <w:uiPriority w:val="9"/>
    <w:qFormat/>
    <w:rsid w:val="003E2E19"/>
    <w:pPr>
      <w:keepNext/>
      <w:pageBreakBefore/>
      <w:numPr>
        <w:numId w:val="2"/>
      </w:numPr>
      <w:spacing w:before="400" w:after="240" w:line="480" w:lineRule="atLeast"/>
      <w:contextualSpacing/>
      <w:outlineLvl w:val="0"/>
    </w:pPr>
    <w:rPr>
      <w:rFonts w:eastAsia="Times New Roman" w:cs="Arial"/>
      <w:b/>
      <w:bCs/>
      <w:color w:val="981D97"/>
      <w:sz w:val="36"/>
      <w:szCs w:val="32"/>
      <w:lang w:eastAsia="en-AU"/>
    </w:rPr>
  </w:style>
  <w:style w:type="paragraph" w:styleId="Heading2">
    <w:name w:val="heading 2"/>
    <w:basedOn w:val="Heading1"/>
    <w:next w:val="BodyText"/>
    <w:link w:val="Heading2Char"/>
    <w:uiPriority w:val="9"/>
    <w:qFormat/>
    <w:rsid w:val="003E2E19"/>
    <w:pPr>
      <w:pageBreakBefore w:val="0"/>
      <w:numPr>
        <w:numId w:val="0"/>
      </w:numPr>
      <w:tabs>
        <w:tab w:val="left" w:pos="714"/>
      </w:tabs>
      <w:spacing w:before="240" w:after="120" w:line="400" w:lineRule="atLeast"/>
      <w:outlineLvl w:val="1"/>
    </w:pPr>
    <w:rPr>
      <w:bCs w:val="0"/>
      <w:iCs/>
      <w:sz w:val="28"/>
      <w:szCs w:val="28"/>
    </w:rPr>
  </w:style>
  <w:style w:type="paragraph" w:styleId="Heading3">
    <w:name w:val="heading 3"/>
    <w:basedOn w:val="Heading1"/>
    <w:next w:val="BodyText"/>
    <w:link w:val="Heading3Char"/>
    <w:uiPriority w:val="9"/>
    <w:qFormat/>
    <w:rsid w:val="0084253B"/>
    <w:pPr>
      <w:pageBreakBefore w:val="0"/>
      <w:numPr>
        <w:numId w:val="0"/>
      </w:numPr>
      <w:tabs>
        <w:tab w:val="left" w:pos="714"/>
      </w:tabs>
      <w:spacing w:before="240" w:after="120" w:line="400" w:lineRule="atLeast"/>
      <w:outlineLvl w:val="2"/>
    </w:pPr>
    <w:rPr>
      <w:bCs w:val="0"/>
      <w:sz w:val="24"/>
      <w:szCs w:val="26"/>
    </w:rPr>
  </w:style>
  <w:style w:type="paragraph" w:styleId="Heading4">
    <w:name w:val="heading 4"/>
    <w:basedOn w:val="Heading1"/>
    <w:next w:val="BodyText"/>
    <w:link w:val="Heading4Char"/>
    <w:autoRedefine/>
    <w:uiPriority w:val="9"/>
    <w:qFormat/>
    <w:rsid w:val="007F2998"/>
    <w:pPr>
      <w:pageBreakBefore w:val="0"/>
      <w:numPr>
        <w:numId w:val="0"/>
      </w:numPr>
      <w:spacing w:before="160" w:after="120" w:line="240" w:lineRule="atLeast"/>
      <w:contextualSpacing w:val="0"/>
      <w:outlineLvl w:val="3"/>
    </w:pPr>
    <w:rPr>
      <w:bCs w:val="0"/>
      <w:color w:val="7F7F7F"/>
      <w:sz w:val="23"/>
      <w:szCs w:val="21"/>
    </w:rPr>
  </w:style>
  <w:style w:type="paragraph" w:styleId="Heading5">
    <w:name w:val="heading 5"/>
    <w:basedOn w:val="Heading4"/>
    <w:next w:val="Normal"/>
    <w:link w:val="Heading5Char"/>
    <w:uiPriority w:val="9"/>
    <w:qFormat/>
    <w:rsid w:val="00FF19C1"/>
    <w:pPr>
      <w:spacing w:line="280" w:lineRule="atLeast"/>
      <w:outlineLvl w:val="4"/>
    </w:pPr>
    <w:rPr>
      <w:color w:val="000000" w:themeColor="text1"/>
      <w:sz w:val="21"/>
    </w:rPr>
  </w:style>
  <w:style w:type="paragraph" w:styleId="Heading6">
    <w:name w:val="heading 6"/>
    <w:next w:val="BodyText"/>
    <w:link w:val="Heading6Char"/>
    <w:uiPriority w:val="9"/>
    <w:qFormat/>
    <w:rsid w:val="00FF19C1"/>
    <w:pPr>
      <w:keepNext/>
      <w:spacing w:after="120" w:line="240" w:lineRule="auto"/>
      <w:outlineLvl w:val="5"/>
    </w:pPr>
    <w:rPr>
      <w:rFonts w:ascii="Calibri" w:hAnsi="Calibri" w:cstheme="minorHAnsi"/>
      <w:b/>
      <w:color w:val="7F7F7F"/>
      <w:lang w:val="en-AU"/>
    </w:rPr>
  </w:style>
  <w:style w:type="paragraph" w:styleId="Heading7">
    <w:name w:val="heading 7"/>
    <w:basedOn w:val="Normal"/>
    <w:next w:val="Normal"/>
    <w:link w:val="Heading7Char"/>
    <w:uiPriority w:val="9"/>
    <w:semiHidden/>
    <w:qFormat/>
    <w:rsid w:val="00B87EDE"/>
    <w:pPr>
      <w:keepNext/>
      <w:keepLines/>
      <w:spacing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B87EDE"/>
    <w:pPr>
      <w:keepNext/>
      <w:keepLines/>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B87EDE"/>
    <w:pPr>
      <w:keepNext/>
      <w:keepLines/>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E2E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34F"/>
    <w:rPr>
      <w:rFonts w:ascii="Tahoma" w:hAnsi="Tahoma" w:cs="Tahoma"/>
      <w:sz w:val="16"/>
      <w:szCs w:val="16"/>
      <w:lang w:val="en-AU"/>
    </w:rPr>
  </w:style>
  <w:style w:type="paragraph" w:styleId="ListBullet">
    <w:name w:val="List Bullet"/>
    <w:basedOn w:val="Normal"/>
    <w:uiPriority w:val="4"/>
    <w:qFormat/>
    <w:rsid w:val="003E2E19"/>
    <w:pPr>
      <w:numPr>
        <w:numId w:val="11"/>
      </w:numPr>
      <w:spacing w:before="120" w:after="120" w:line="260" w:lineRule="atLeast"/>
    </w:pPr>
    <w:rPr>
      <w:rFonts w:eastAsia="Times New Roman" w:cs="Times New Roman"/>
      <w:szCs w:val="24"/>
      <w:lang w:eastAsia="en-GB"/>
    </w:rPr>
  </w:style>
  <w:style w:type="numbering" w:customStyle="1" w:styleId="ListBulletmaster">
    <w:name w:val="List Bullet (master)"/>
    <w:rsid w:val="003E2E19"/>
    <w:pPr>
      <w:numPr>
        <w:numId w:val="3"/>
      </w:numPr>
    </w:pPr>
  </w:style>
  <w:style w:type="paragraph" w:styleId="ListBullet2">
    <w:name w:val="List Bullet 2"/>
    <w:basedOn w:val="Normal"/>
    <w:uiPriority w:val="4"/>
    <w:qFormat/>
    <w:rsid w:val="00B40EDA"/>
    <w:pPr>
      <w:numPr>
        <w:ilvl w:val="1"/>
        <w:numId w:val="29"/>
      </w:numPr>
      <w:spacing w:before="120" w:after="120" w:line="260" w:lineRule="atLeast"/>
    </w:pPr>
    <w:rPr>
      <w:rFonts w:eastAsia="Times New Roman" w:cs="Times New Roman"/>
      <w:szCs w:val="24"/>
      <w:lang w:eastAsia="en-GB"/>
    </w:rPr>
  </w:style>
  <w:style w:type="paragraph" w:styleId="ListBullet3">
    <w:name w:val="List Bullet 3"/>
    <w:basedOn w:val="Normal"/>
    <w:uiPriority w:val="4"/>
    <w:qFormat/>
    <w:rsid w:val="003E2E19"/>
    <w:pPr>
      <w:spacing w:before="120" w:after="120" w:line="260" w:lineRule="atLeast"/>
    </w:pPr>
    <w:rPr>
      <w:rFonts w:eastAsia="Times New Roman" w:cs="Times New Roman"/>
      <w:szCs w:val="24"/>
      <w:lang w:eastAsia="en-GB"/>
    </w:rPr>
  </w:style>
  <w:style w:type="numbering" w:customStyle="1" w:styleId="ListNumbermaster">
    <w:name w:val="List Number (master)"/>
    <w:rsid w:val="003E2E19"/>
    <w:pPr>
      <w:numPr>
        <w:numId w:val="4"/>
      </w:numPr>
    </w:pPr>
  </w:style>
  <w:style w:type="paragraph" w:styleId="ListNumber2">
    <w:name w:val="List Number 2"/>
    <w:basedOn w:val="Normal"/>
    <w:uiPriority w:val="5"/>
    <w:qFormat/>
    <w:rsid w:val="003E2E19"/>
    <w:pPr>
      <w:numPr>
        <w:ilvl w:val="1"/>
        <w:numId w:val="21"/>
      </w:numPr>
      <w:spacing w:before="120" w:after="120" w:line="260" w:lineRule="atLeast"/>
    </w:pPr>
    <w:rPr>
      <w:rFonts w:eastAsia="Times New Roman" w:cs="Times New Roman"/>
      <w:szCs w:val="24"/>
      <w:lang w:eastAsia="en-GB"/>
    </w:rPr>
  </w:style>
  <w:style w:type="paragraph" w:styleId="ListNumber3">
    <w:name w:val="List Number 3"/>
    <w:basedOn w:val="Normal"/>
    <w:uiPriority w:val="5"/>
    <w:qFormat/>
    <w:rsid w:val="003E2E19"/>
    <w:pPr>
      <w:numPr>
        <w:ilvl w:val="2"/>
        <w:numId w:val="21"/>
      </w:numPr>
      <w:spacing w:before="120" w:after="120" w:line="260" w:lineRule="atLeast"/>
    </w:pPr>
    <w:rPr>
      <w:rFonts w:eastAsia="Times New Roman" w:cs="Times New Roman"/>
      <w:szCs w:val="24"/>
      <w:lang w:eastAsia="en-GB"/>
    </w:rPr>
  </w:style>
  <w:style w:type="paragraph" w:styleId="ListNumber">
    <w:name w:val="List Number"/>
    <w:basedOn w:val="Normal"/>
    <w:uiPriority w:val="5"/>
    <w:qFormat/>
    <w:rsid w:val="003E2E19"/>
    <w:pPr>
      <w:numPr>
        <w:numId w:val="21"/>
      </w:numPr>
      <w:spacing w:before="120" w:after="120" w:line="260" w:lineRule="atLeast"/>
    </w:pPr>
    <w:rPr>
      <w:rFonts w:eastAsia="Times New Roman" w:cs="Times New Roman"/>
      <w:szCs w:val="24"/>
      <w:lang w:eastAsia="en-GB"/>
    </w:rPr>
  </w:style>
  <w:style w:type="paragraph" w:styleId="NoSpacing">
    <w:name w:val="No Spacing"/>
    <w:uiPriority w:val="99"/>
    <w:semiHidden/>
    <w:qFormat/>
    <w:rsid w:val="003E2E19"/>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3E2E19"/>
    <w:pPr>
      <w:spacing w:before="60" w:after="60" w:line="140" w:lineRule="atLeast"/>
    </w:pPr>
    <w:rPr>
      <w:rFonts w:eastAsia="Times New Roman" w:cs="Times New Roman"/>
      <w:b/>
      <w:bCs/>
      <w:color w:val="981D97"/>
      <w:sz w:val="18"/>
      <w:szCs w:val="24"/>
      <w:lang w:eastAsia="en-GB"/>
    </w:rPr>
  </w:style>
  <w:style w:type="paragraph" w:customStyle="1" w:styleId="TableListBullet">
    <w:name w:val="Table List Bullet"/>
    <w:basedOn w:val="Normal"/>
    <w:uiPriority w:val="16"/>
    <w:qFormat/>
    <w:rsid w:val="00356CC7"/>
    <w:pPr>
      <w:numPr>
        <w:numId w:val="105"/>
      </w:numPr>
      <w:spacing w:before="60" w:after="60" w:line="140" w:lineRule="atLeast"/>
    </w:pPr>
    <w:rPr>
      <w:rFonts w:eastAsia="Times New Roman" w:cs="Times New Roman"/>
      <w:bCs/>
      <w:sz w:val="18"/>
      <w:szCs w:val="24"/>
      <w:lang w:eastAsia="en-GB"/>
    </w:rPr>
  </w:style>
  <w:style w:type="numbering" w:customStyle="1" w:styleId="TableListBulletmaster">
    <w:name w:val="Table List Bullet (master)"/>
    <w:rsid w:val="00356CC7"/>
    <w:pPr>
      <w:numPr>
        <w:numId w:val="5"/>
      </w:numPr>
    </w:pPr>
  </w:style>
  <w:style w:type="paragraph" w:customStyle="1" w:styleId="TableListBullet2">
    <w:name w:val="Table List Bullet 2"/>
    <w:basedOn w:val="TableListBullet"/>
    <w:uiPriority w:val="16"/>
    <w:qFormat/>
    <w:rsid w:val="00356CC7"/>
    <w:pPr>
      <w:numPr>
        <w:ilvl w:val="1"/>
      </w:numPr>
    </w:pPr>
  </w:style>
  <w:style w:type="paragraph" w:customStyle="1" w:styleId="TableListNumber">
    <w:name w:val="Table List Number"/>
    <w:basedOn w:val="Normal"/>
    <w:uiPriority w:val="16"/>
    <w:qFormat/>
    <w:rsid w:val="003E2E19"/>
    <w:pPr>
      <w:numPr>
        <w:numId w:val="61"/>
      </w:numPr>
      <w:spacing w:before="60" w:after="60" w:line="140" w:lineRule="atLeast"/>
    </w:pPr>
    <w:rPr>
      <w:rFonts w:eastAsia="Times New Roman" w:cs="Times New Roman"/>
      <w:bCs/>
      <w:sz w:val="18"/>
      <w:szCs w:val="24"/>
      <w:lang w:eastAsia="en-GB"/>
    </w:rPr>
  </w:style>
  <w:style w:type="numbering" w:customStyle="1" w:styleId="TableListNumbermaster">
    <w:name w:val="Table List Number (master)"/>
    <w:rsid w:val="003E2E19"/>
    <w:pPr>
      <w:numPr>
        <w:numId w:val="6"/>
      </w:numPr>
    </w:pPr>
  </w:style>
  <w:style w:type="paragraph" w:customStyle="1" w:styleId="TableListNumber2">
    <w:name w:val="Table List Number 2"/>
    <w:basedOn w:val="TableListNumber"/>
    <w:uiPriority w:val="16"/>
    <w:qFormat/>
    <w:rsid w:val="003E2E19"/>
    <w:pPr>
      <w:numPr>
        <w:ilvl w:val="1"/>
      </w:numPr>
    </w:pPr>
  </w:style>
  <w:style w:type="paragraph" w:customStyle="1" w:styleId="TableBodyText">
    <w:name w:val="Table Body Text"/>
    <w:basedOn w:val="Normal"/>
    <w:uiPriority w:val="14"/>
    <w:qFormat/>
    <w:rsid w:val="003E2E19"/>
    <w:pPr>
      <w:spacing w:before="60" w:after="80" w:line="140" w:lineRule="atLeast"/>
    </w:pPr>
    <w:rPr>
      <w:rFonts w:eastAsia="Times New Roman" w:cs="Times New Roman"/>
      <w:bCs/>
      <w:sz w:val="18"/>
      <w:szCs w:val="24"/>
      <w:lang w:eastAsia="en-GB"/>
    </w:rPr>
  </w:style>
  <w:style w:type="paragraph" w:customStyle="1" w:styleId="TableBodyTextsmall">
    <w:name w:val="Table Body Text (small)"/>
    <w:basedOn w:val="TableBodyText"/>
    <w:uiPriority w:val="17"/>
    <w:qFormat/>
    <w:rsid w:val="003E2E19"/>
    <w:pPr>
      <w:spacing w:before="40" w:after="40" w:line="100" w:lineRule="atLeast"/>
    </w:pPr>
    <w:rPr>
      <w:sz w:val="15"/>
    </w:rPr>
  </w:style>
  <w:style w:type="character" w:customStyle="1" w:styleId="Characterbold">
    <w:name w:val="Character (bold)"/>
    <w:basedOn w:val="DefaultParagraphFont"/>
    <w:uiPriority w:val="2"/>
    <w:qFormat/>
    <w:rsid w:val="003E2E19"/>
    <w:rPr>
      <w:b/>
      <w:lang w:val="en-AU"/>
    </w:rPr>
  </w:style>
  <w:style w:type="character" w:customStyle="1" w:styleId="Characteritalic">
    <w:name w:val="Character (italic)"/>
    <w:basedOn w:val="DefaultParagraphFont"/>
    <w:uiPriority w:val="2"/>
    <w:qFormat/>
    <w:rsid w:val="003E2E19"/>
    <w:rPr>
      <w:i/>
      <w:lang w:val="en-AU"/>
    </w:rPr>
  </w:style>
  <w:style w:type="character" w:customStyle="1" w:styleId="Charactersubscript">
    <w:name w:val="Character (subscript)"/>
    <w:basedOn w:val="DefaultParagraphFont"/>
    <w:uiPriority w:val="3"/>
    <w:qFormat/>
    <w:rsid w:val="003E2E19"/>
    <w:rPr>
      <w:vertAlign w:val="subscript"/>
      <w:lang w:val="en-AU"/>
    </w:rPr>
  </w:style>
  <w:style w:type="character" w:customStyle="1" w:styleId="Charactersuperscript">
    <w:name w:val="Character (superscript)"/>
    <w:basedOn w:val="DefaultParagraphFont"/>
    <w:uiPriority w:val="3"/>
    <w:qFormat/>
    <w:rsid w:val="003E2E19"/>
    <w:rPr>
      <w:vertAlign w:val="superscript"/>
      <w:lang w:val="en-AU"/>
    </w:rPr>
  </w:style>
  <w:style w:type="character" w:customStyle="1" w:styleId="Characterunderline">
    <w:name w:val="Character (underline)"/>
    <w:basedOn w:val="DefaultParagraphFont"/>
    <w:uiPriority w:val="2"/>
    <w:qFormat/>
    <w:rsid w:val="003E2E19"/>
    <w:rPr>
      <w:u w:val="single"/>
      <w:lang w:val="en-AU"/>
    </w:rPr>
  </w:style>
  <w:style w:type="paragraph" w:styleId="ListParagraph">
    <w:name w:val="List Paragraph"/>
    <w:basedOn w:val="Normal"/>
    <w:link w:val="ListParagraphChar"/>
    <w:uiPriority w:val="34"/>
    <w:semiHidden/>
    <w:qFormat/>
    <w:rsid w:val="003E2E19"/>
    <w:pPr>
      <w:ind w:left="720"/>
      <w:contextualSpacing/>
    </w:pPr>
  </w:style>
  <w:style w:type="character" w:customStyle="1" w:styleId="Heading1Char">
    <w:name w:val="Heading 1 Char"/>
    <w:basedOn w:val="DefaultParagraphFont"/>
    <w:link w:val="Heading1"/>
    <w:uiPriority w:val="9"/>
    <w:rsid w:val="003E2E19"/>
    <w:rPr>
      <w:rFonts w:ascii="Calibri" w:eastAsia="Times New Roman" w:hAnsi="Calibri" w:cs="Arial"/>
      <w:b/>
      <w:bCs/>
      <w:color w:val="981D97"/>
      <w:sz w:val="36"/>
      <w:szCs w:val="32"/>
      <w:lang w:val="en-AU" w:eastAsia="en-AU"/>
    </w:rPr>
  </w:style>
  <w:style w:type="character" w:customStyle="1" w:styleId="Heading2Char">
    <w:name w:val="Heading 2 Char"/>
    <w:basedOn w:val="DefaultParagraphFont"/>
    <w:link w:val="Heading2"/>
    <w:uiPriority w:val="9"/>
    <w:rsid w:val="003E2E19"/>
    <w:rPr>
      <w:rFonts w:ascii="Calibri" w:eastAsia="Times New Roman" w:hAnsi="Calibri" w:cs="Arial"/>
      <w:b/>
      <w:iCs/>
      <w:color w:val="981D97"/>
      <w:sz w:val="28"/>
      <w:szCs w:val="28"/>
      <w:lang w:val="en-AU" w:eastAsia="en-AU"/>
    </w:rPr>
  </w:style>
  <w:style w:type="character" w:customStyle="1" w:styleId="Heading3Char">
    <w:name w:val="Heading 3 Char"/>
    <w:basedOn w:val="DefaultParagraphFont"/>
    <w:link w:val="Heading3"/>
    <w:uiPriority w:val="9"/>
    <w:rsid w:val="0084253B"/>
    <w:rPr>
      <w:rFonts w:ascii="Calibri" w:eastAsia="Times New Roman" w:hAnsi="Calibri" w:cs="Arial"/>
      <w:b/>
      <w:color w:val="981D97"/>
      <w:sz w:val="24"/>
      <w:szCs w:val="26"/>
      <w:lang w:val="en-AU" w:eastAsia="en-AU"/>
    </w:rPr>
  </w:style>
  <w:style w:type="character" w:customStyle="1" w:styleId="Heading4Char">
    <w:name w:val="Heading 4 Char"/>
    <w:basedOn w:val="DefaultParagraphFont"/>
    <w:link w:val="Heading4"/>
    <w:uiPriority w:val="9"/>
    <w:rsid w:val="007F2998"/>
    <w:rPr>
      <w:rFonts w:ascii="Calibri" w:eastAsia="Times New Roman" w:hAnsi="Calibri" w:cs="Arial"/>
      <w:b/>
      <w:color w:val="7F7F7F"/>
      <w:sz w:val="23"/>
      <w:szCs w:val="21"/>
      <w:lang w:val="en-AU" w:eastAsia="en-AU"/>
    </w:rPr>
  </w:style>
  <w:style w:type="character" w:customStyle="1" w:styleId="Heading5Char">
    <w:name w:val="Heading 5 Char"/>
    <w:basedOn w:val="DefaultParagraphFont"/>
    <w:link w:val="Heading5"/>
    <w:uiPriority w:val="9"/>
    <w:rsid w:val="00FF19C1"/>
    <w:rPr>
      <w:rFonts w:ascii="Calibri" w:eastAsia="Times New Roman" w:hAnsi="Calibri" w:cs="Arial"/>
      <w:b/>
      <w:color w:val="000000" w:themeColor="text1"/>
      <w:sz w:val="21"/>
      <w:szCs w:val="21"/>
      <w:lang w:val="en-AU" w:eastAsia="en-AU"/>
    </w:rPr>
  </w:style>
  <w:style w:type="paragraph" w:customStyle="1" w:styleId="AppendixHeading1">
    <w:name w:val="Appendix Heading 1"/>
    <w:basedOn w:val="Heading1"/>
    <w:next w:val="BodyText"/>
    <w:uiPriority w:val="11"/>
    <w:qFormat/>
    <w:rsid w:val="003E2E19"/>
    <w:pPr>
      <w:keepNext w:val="0"/>
      <w:numPr>
        <w:numId w:val="10"/>
      </w:numPr>
      <w:tabs>
        <w:tab w:val="left" w:pos="2268"/>
      </w:tabs>
      <w:suppressAutoHyphens/>
    </w:pPr>
    <w:rPr>
      <w:szCs w:val="30"/>
    </w:rPr>
  </w:style>
  <w:style w:type="numbering" w:customStyle="1" w:styleId="AppendixHeadingmaster">
    <w:name w:val="Appendix Heading (master)"/>
    <w:uiPriority w:val="99"/>
    <w:rsid w:val="003E2E19"/>
    <w:pPr>
      <w:numPr>
        <w:numId w:val="1"/>
      </w:numPr>
    </w:pPr>
  </w:style>
  <w:style w:type="paragraph" w:styleId="BodyText">
    <w:name w:val="Body Text"/>
    <w:basedOn w:val="Normal"/>
    <w:link w:val="BodyTextChar"/>
    <w:qFormat/>
    <w:rsid w:val="003E2E19"/>
    <w:pPr>
      <w:spacing w:before="120" w:after="120" w:line="260" w:lineRule="atLeast"/>
    </w:pPr>
  </w:style>
  <w:style w:type="character" w:customStyle="1" w:styleId="BodyTextChar">
    <w:name w:val="Body Text Char"/>
    <w:basedOn w:val="DefaultParagraphFont"/>
    <w:link w:val="BodyText"/>
    <w:rsid w:val="003E2E19"/>
    <w:rPr>
      <w:rFonts w:ascii="Calibri" w:hAnsi="Calibri"/>
      <w:sz w:val="22"/>
      <w:lang w:val="en-AU"/>
    </w:rPr>
  </w:style>
  <w:style w:type="paragraph" w:customStyle="1" w:styleId="AppendixHeading2">
    <w:name w:val="Appendix Heading 2"/>
    <w:basedOn w:val="AppendixHeading1"/>
    <w:next w:val="BodyText"/>
    <w:uiPriority w:val="11"/>
    <w:qFormat/>
    <w:rsid w:val="003E2E19"/>
    <w:pPr>
      <w:keepNext/>
      <w:pageBreakBefore w:val="0"/>
      <w:numPr>
        <w:ilvl w:val="1"/>
      </w:numPr>
      <w:spacing w:before="160" w:after="120"/>
    </w:pPr>
    <w:rPr>
      <w:sz w:val="24"/>
    </w:rPr>
  </w:style>
  <w:style w:type="paragraph" w:customStyle="1" w:styleId="AppendixHeading3">
    <w:name w:val="Appendix Heading 3"/>
    <w:basedOn w:val="Heading1"/>
    <w:next w:val="BodyText"/>
    <w:uiPriority w:val="11"/>
    <w:semiHidden/>
    <w:rsid w:val="003E2E19"/>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qFormat/>
    <w:rsid w:val="003E2E19"/>
    <w:pPr>
      <w:pageBreakBefore w:val="0"/>
      <w:numPr>
        <w:numId w:val="0"/>
      </w:numPr>
    </w:pPr>
  </w:style>
  <w:style w:type="paragraph" w:customStyle="1" w:styleId="Image">
    <w:name w:val="Image"/>
    <w:basedOn w:val="Normal"/>
    <w:next w:val="BodyText"/>
    <w:uiPriority w:val="19"/>
    <w:qFormat/>
    <w:rsid w:val="003E2E19"/>
    <w:pPr>
      <w:spacing w:before="120" w:after="120" w:line="260" w:lineRule="atLeast"/>
    </w:pPr>
    <w:rPr>
      <w:rFonts w:eastAsia="Times New Roman" w:cs="Times New Roman"/>
      <w:szCs w:val="24"/>
      <w:lang w:eastAsia="en-AU"/>
    </w:rPr>
  </w:style>
  <w:style w:type="paragraph" w:customStyle="1" w:styleId="InstructionalText">
    <w:name w:val="Instructional Text"/>
    <w:basedOn w:val="Normal"/>
    <w:uiPriority w:val="40"/>
    <w:semiHidden/>
    <w:rsid w:val="003E2E19"/>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BodyText"/>
    <w:next w:val="BodyText"/>
    <w:uiPriority w:val="17"/>
    <w:qFormat/>
    <w:rsid w:val="00BF05E2"/>
    <w:pPr>
      <w:spacing w:before="40" w:after="120" w:line="276" w:lineRule="auto"/>
      <w:contextualSpacing/>
    </w:pPr>
    <w:rPr>
      <w:sz w:val="17"/>
    </w:rPr>
  </w:style>
  <w:style w:type="paragraph" w:customStyle="1" w:styleId="TableBodyTextrightalign">
    <w:name w:val="Table Body Text (right align)"/>
    <w:basedOn w:val="TableBodyText"/>
    <w:uiPriority w:val="17"/>
    <w:qFormat/>
    <w:rsid w:val="003E2E19"/>
    <w:pPr>
      <w:jc w:val="right"/>
    </w:pPr>
  </w:style>
  <w:style w:type="table" w:styleId="TableGrid">
    <w:name w:val="Table Grid"/>
    <w:aliases w:val="none,McLL Table General Text,SGS Numeric Table,GTA,EY Table,NWRL Table,PB Table,SWRL,EP Table Grid,ICB Table,1TableGrid"/>
    <w:basedOn w:val="TableNormal"/>
    <w:uiPriority w:val="39"/>
    <w:rsid w:val="003E2E19"/>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3E2E19"/>
    <w:pPr>
      <w:spacing w:before="120" w:after="120" w:line="260" w:lineRule="atLeast"/>
      <w:ind w:left="714" w:right="714"/>
    </w:pPr>
    <w:rPr>
      <w:i/>
      <w:iCs/>
    </w:rPr>
  </w:style>
  <w:style w:type="character" w:customStyle="1" w:styleId="QuoteChar">
    <w:name w:val="Quote Char"/>
    <w:basedOn w:val="DefaultParagraphFont"/>
    <w:link w:val="Quote"/>
    <w:uiPriority w:val="18"/>
    <w:rsid w:val="003E2E19"/>
    <w:rPr>
      <w:rFonts w:ascii="Calibri" w:hAnsi="Calibri"/>
      <w:i/>
      <w:iCs/>
      <w:sz w:val="22"/>
      <w:lang w:val="en-AU"/>
    </w:rPr>
  </w:style>
  <w:style w:type="paragraph" w:styleId="Header">
    <w:name w:val="header"/>
    <w:basedOn w:val="Normal"/>
    <w:link w:val="HeaderChar"/>
    <w:uiPriority w:val="24"/>
    <w:rsid w:val="003E2E19"/>
    <w:pPr>
      <w:tabs>
        <w:tab w:val="right" w:pos="0"/>
        <w:tab w:val="center" w:pos="4680"/>
        <w:tab w:val="right" w:pos="9360"/>
      </w:tabs>
      <w:spacing w:before="0" w:after="0"/>
    </w:pPr>
    <w:rPr>
      <w:sz w:val="16"/>
    </w:rPr>
  </w:style>
  <w:style w:type="character" w:customStyle="1" w:styleId="HeaderChar">
    <w:name w:val="Header Char"/>
    <w:basedOn w:val="DefaultParagraphFont"/>
    <w:link w:val="Header"/>
    <w:uiPriority w:val="24"/>
    <w:rsid w:val="003E2E19"/>
    <w:rPr>
      <w:rFonts w:ascii="Calibri" w:hAnsi="Calibri"/>
      <w:sz w:val="16"/>
      <w:lang w:val="en-AU"/>
    </w:rPr>
  </w:style>
  <w:style w:type="paragraph" w:styleId="Footer">
    <w:name w:val="footer"/>
    <w:basedOn w:val="Normal"/>
    <w:link w:val="FooterChar"/>
    <w:uiPriority w:val="24"/>
    <w:rsid w:val="003E2E19"/>
    <w:pPr>
      <w:tabs>
        <w:tab w:val="right" w:pos="14629"/>
      </w:tabs>
      <w:spacing w:before="0" w:after="0"/>
    </w:pPr>
    <w:rPr>
      <w:sz w:val="16"/>
    </w:rPr>
  </w:style>
  <w:style w:type="character" w:customStyle="1" w:styleId="FooterChar">
    <w:name w:val="Footer Char"/>
    <w:basedOn w:val="DefaultParagraphFont"/>
    <w:link w:val="Footer"/>
    <w:uiPriority w:val="24"/>
    <w:rsid w:val="003E2E19"/>
    <w:rPr>
      <w:rFonts w:ascii="Calibri" w:hAnsi="Calibri"/>
      <w:sz w:val="16"/>
      <w:lang w:val="en-AU"/>
    </w:rPr>
  </w:style>
  <w:style w:type="character" w:styleId="PageNumber">
    <w:name w:val="page number"/>
    <w:basedOn w:val="DefaultParagraphFont"/>
    <w:uiPriority w:val="24"/>
    <w:rsid w:val="003E2E19"/>
    <w:rPr>
      <w:lang w:val="en-AU"/>
    </w:rPr>
  </w:style>
  <w:style w:type="table" w:styleId="LightShading">
    <w:name w:val="Light Shading"/>
    <w:basedOn w:val="TableNormal"/>
    <w:uiPriority w:val="60"/>
    <w:locked/>
    <w:rsid w:val="003E2E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3E2E1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BodyText"/>
    <w:link w:val="TitleChar"/>
    <w:uiPriority w:val="24"/>
    <w:rsid w:val="003E2E19"/>
    <w:pPr>
      <w:spacing w:before="0" w:after="0"/>
    </w:pPr>
    <w:rPr>
      <w:rFonts w:eastAsiaTheme="majorEastAsia" w:cs="Arial"/>
      <w:b/>
      <w:color w:val="7F7F7F"/>
      <w:kern w:val="28"/>
      <w:szCs w:val="52"/>
    </w:rPr>
  </w:style>
  <w:style w:type="character" w:customStyle="1" w:styleId="TitleChar">
    <w:name w:val="Title Char"/>
    <w:basedOn w:val="DefaultParagraphFont"/>
    <w:link w:val="Title"/>
    <w:uiPriority w:val="24"/>
    <w:rsid w:val="003E2E19"/>
    <w:rPr>
      <w:rFonts w:ascii="Calibri" w:eastAsiaTheme="majorEastAsia" w:hAnsi="Calibri" w:cs="Arial"/>
      <w:b/>
      <w:color w:val="7F7F7F"/>
      <w:kern w:val="28"/>
      <w:sz w:val="22"/>
      <w:szCs w:val="52"/>
      <w:lang w:val="en-AU"/>
    </w:rPr>
  </w:style>
  <w:style w:type="paragraph" w:styleId="Subtitle">
    <w:name w:val="Subtitle"/>
    <w:basedOn w:val="Normal"/>
    <w:next w:val="BodyText"/>
    <w:link w:val="SubtitleChar"/>
    <w:uiPriority w:val="24"/>
    <w:rsid w:val="003E2E19"/>
    <w:pPr>
      <w:numPr>
        <w:ilvl w:val="1"/>
      </w:numPr>
      <w:pBdr>
        <w:bottom w:val="single" w:sz="4" w:space="1" w:color="auto"/>
      </w:pBdr>
      <w:spacing w:before="80" w:after="80"/>
    </w:pPr>
    <w:rPr>
      <w:rFonts w:eastAsiaTheme="majorEastAsia" w:cstheme="majorBidi"/>
      <w:b/>
      <w:iCs/>
      <w:color w:val="981D97"/>
      <w:sz w:val="36"/>
      <w:szCs w:val="24"/>
    </w:rPr>
  </w:style>
  <w:style w:type="character" w:customStyle="1" w:styleId="SubtitleChar">
    <w:name w:val="Subtitle Char"/>
    <w:basedOn w:val="DefaultParagraphFont"/>
    <w:link w:val="Subtitle"/>
    <w:uiPriority w:val="24"/>
    <w:rsid w:val="003E2E19"/>
    <w:rPr>
      <w:rFonts w:ascii="Calibri" w:eastAsiaTheme="majorEastAsia" w:hAnsi="Calibri" w:cstheme="majorBidi"/>
      <w:b/>
      <w:iCs/>
      <w:color w:val="981D97"/>
      <w:sz w:val="36"/>
      <w:szCs w:val="24"/>
      <w:lang w:val="en-AU"/>
    </w:rPr>
  </w:style>
  <w:style w:type="numbering" w:customStyle="1" w:styleId="ListAlphanumericmaster">
    <w:name w:val="List Alphanumeric (master)"/>
    <w:uiPriority w:val="99"/>
    <w:rsid w:val="003E2E19"/>
    <w:pPr>
      <w:numPr>
        <w:numId w:val="7"/>
      </w:numPr>
    </w:pPr>
  </w:style>
  <w:style w:type="paragraph" w:styleId="TOCHeading">
    <w:name w:val="TOC Heading"/>
    <w:basedOn w:val="Heading1"/>
    <w:next w:val="BodyText"/>
    <w:uiPriority w:val="24"/>
    <w:rsid w:val="003E2E19"/>
    <w:pPr>
      <w:keepLines/>
      <w:pageBreakBefore w:val="0"/>
      <w:numPr>
        <w:numId w:val="0"/>
      </w:numPr>
      <w:spacing w:before="0" w:after="120"/>
      <w:outlineLvl w:val="9"/>
    </w:pPr>
    <w:rPr>
      <w:rFonts w:eastAsiaTheme="majorEastAsia" w:cstheme="majorBidi"/>
      <w:szCs w:val="28"/>
      <w:lang w:eastAsia="en-US"/>
    </w:rPr>
  </w:style>
  <w:style w:type="paragraph" w:styleId="TOC1">
    <w:name w:val="toc 1"/>
    <w:basedOn w:val="Normal"/>
    <w:next w:val="Normal"/>
    <w:autoRedefine/>
    <w:uiPriority w:val="39"/>
    <w:rsid w:val="00146378"/>
    <w:pPr>
      <w:tabs>
        <w:tab w:val="left" w:leader="dot" w:pos="440"/>
        <w:tab w:val="left" w:leader="dot" w:pos="1134"/>
        <w:tab w:val="right" w:pos="9017"/>
      </w:tabs>
      <w:spacing w:after="100"/>
      <w:ind w:left="964" w:right="851" w:hanging="964"/>
    </w:pPr>
    <w:rPr>
      <w:noProof/>
    </w:rPr>
  </w:style>
  <w:style w:type="paragraph" w:styleId="TOC2">
    <w:name w:val="toc 2"/>
    <w:basedOn w:val="Normal"/>
    <w:next w:val="Normal"/>
    <w:autoRedefine/>
    <w:uiPriority w:val="39"/>
    <w:rsid w:val="0059747A"/>
    <w:pPr>
      <w:tabs>
        <w:tab w:val="left" w:pos="1134"/>
        <w:tab w:val="right" w:pos="9017"/>
      </w:tabs>
      <w:spacing w:after="80"/>
      <w:ind w:right="851"/>
    </w:pPr>
  </w:style>
  <w:style w:type="character" w:styleId="Hyperlink">
    <w:name w:val="Hyperlink"/>
    <w:basedOn w:val="DefaultParagraphFont"/>
    <w:uiPriority w:val="99"/>
    <w:semiHidden/>
    <w:qFormat/>
    <w:rsid w:val="003E2E19"/>
    <w:rPr>
      <w:color w:val="0000FF" w:themeColor="hyperlink"/>
      <w:u w:val="single"/>
    </w:rPr>
  </w:style>
  <w:style w:type="paragraph" w:styleId="TOC3">
    <w:name w:val="toc 3"/>
    <w:basedOn w:val="Normal"/>
    <w:next w:val="Normal"/>
    <w:autoRedefine/>
    <w:uiPriority w:val="39"/>
    <w:semiHidden/>
    <w:rsid w:val="00495AC6"/>
    <w:pPr>
      <w:tabs>
        <w:tab w:val="left" w:pos="1928"/>
        <w:tab w:val="right" w:pos="9017"/>
      </w:tabs>
      <w:spacing w:after="100"/>
      <w:ind w:left="1928" w:right="851" w:hanging="794"/>
    </w:pPr>
  </w:style>
  <w:style w:type="paragraph" w:styleId="Caption">
    <w:name w:val="caption"/>
    <w:basedOn w:val="Normal"/>
    <w:next w:val="BodyText"/>
    <w:autoRedefine/>
    <w:uiPriority w:val="22"/>
    <w:qFormat/>
    <w:rsid w:val="005C634F"/>
    <w:pPr>
      <w:keepNext/>
      <w:spacing w:before="120" w:after="120"/>
    </w:pPr>
    <w:rPr>
      <w:b/>
      <w:lang w:eastAsia="en-AU"/>
    </w:rPr>
  </w:style>
  <w:style w:type="paragraph" w:customStyle="1" w:styleId="Footerlandscape">
    <w:name w:val="Footer (landscape)"/>
    <w:basedOn w:val="Footer"/>
    <w:uiPriority w:val="24"/>
    <w:semiHidden/>
    <w:rsid w:val="003E2E19"/>
    <w:pPr>
      <w:tabs>
        <w:tab w:val="right" w:pos="13608"/>
      </w:tabs>
    </w:pPr>
  </w:style>
  <w:style w:type="paragraph" w:customStyle="1" w:styleId="Headerlandscape">
    <w:name w:val="Header (landscape)"/>
    <w:basedOn w:val="Header"/>
    <w:uiPriority w:val="24"/>
    <w:semiHidden/>
    <w:rsid w:val="003E2E19"/>
    <w:pPr>
      <w:tabs>
        <w:tab w:val="clear" w:pos="9360"/>
        <w:tab w:val="right" w:pos="13608"/>
      </w:tabs>
    </w:pPr>
  </w:style>
  <w:style w:type="paragraph" w:customStyle="1" w:styleId="ListLegal">
    <w:name w:val="List Legal"/>
    <w:basedOn w:val="ListNumber"/>
    <w:uiPriority w:val="8"/>
    <w:qFormat/>
    <w:rsid w:val="003E2E19"/>
    <w:pPr>
      <w:numPr>
        <w:numId w:val="19"/>
      </w:numPr>
    </w:pPr>
  </w:style>
  <w:style w:type="numbering" w:customStyle="1" w:styleId="ListLegalmaster">
    <w:name w:val="List Legal (master)"/>
    <w:uiPriority w:val="99"/>
    <w:rsid w:val="003E2E19"/>
    <w:pPr>
      <w:numPr>
        <w:numId w:val="8"/>
      </w:numPr>
    </w:pPr>
  </w:style>
  <w:style w:type="paragraph" w:customStyle="1" w:styleId="ListLegal2">
    <w:name w:val="List Legal 2"/>
    <w:basedOn w:val="ListNumber2"/>
    <w:uiPriority w:val="8"/>
    <w:qFormat/>
    <w:rsid w:val="003E2E19"/>
    <w:pPr>
      <w:numPr>
        <w:numId w:val="19"/>
      </w:numPr>
      <w:tabs>
        <w:tab w:val="left" w:pos="1077"/>
      </w:tabs>
    </w:pPr>
  </w:style>
  <w:style w:type="paragraph" w:customStyle="1" w:styleId="ListLegal3">
    <w:name w:val="List Legal 3"/>
    <w:basedOn w:val="ListLegal2"/>
    <w:uiPriority w:val="8"/>
    <w:qFormat/>
    <w:rsid w:val="003E2E19"/>
    <w:pPr>
      <w:numPr>
        <w:ilvl w:val="2"/>
      </w:numPr>
      <w:tabs>
        <w:tab w:val="clear" w:pos="1077"/>
        <w:tab w:val="left" w:pos="1435"/>
      </w:tabs>
    </w:pPr>
  </w:style>
  <w:style w:type="paragraph" w:customStyle="1" w:styleId="DocumentDetails">
    <w:name w:val="Document Details"/>
    <w:basedOn w:val="Normal"/>
    <w:next w:val="BodyText"/>
    <w:uiPriority w:val="24"/>
    <w:rsid w:val="003E2E19"/>
    <w:pPr>
      <w:spacing w:before="400" w:after="400"/>
    </w:pPr>
    <w:rPr>
      <w:sz w:val="28"/>
    </w:rPr>
  </w:style>
  <w:style w:type="paragraph" w:customStyle="1" w:styleId="SingleSpace">
    <w:name w:val="Single Space"/>
    <w:basedOn w:val="BodyText"/>
    <w:uiPriority w:val="21"/>
    <w:semiHidden/>
    <w:rsid w:val="003E2E19"/>
    <w:pPr>
      <w:spacing w:before="0" w:after="0" w:line="240" w:lineRule="auto"/>
    </w:pPr>
    <w:rPr>
      <w:sz w:val="2"/>
    </w:rPr>
  </w:style>
  <w:style w:type="character" w:customStyle="1" w:styleId="Characteryellowhighlight">
    <w:name w:val="Character (yellow highlight)"/>
    <w:basedOn w:val="DefaultParagraphFont"/>
    <w:uiPriority w:val="2"/>
    <w:qFormat/>
    <w:rsid w:val="003E2E19"/>
    <w:rPr>
      <w:bdr w:val="none" w:sz="0" w:space="0" w:color="auto"/>
      <w:shd w:val="clear" w:color="auto" w:fill="FFFF00"/>
      <w:lang w:val="en-AU"/>
    </w:rPr>
  </w:style>
  <w:style w:type="paragraph" w:styleId="TableofFigures">
    <w:name w:val="table of figures"/>
    <w:basedOn w:val="Normal"/>
    <w:next w:val="Normal"/>
    <w:uiPriority w:val="39"/>
    <w:semiHidden/>
    <w:rsid w:val="003E2E19"/>
    <w:pPr>
      <w:spacing w:after="100"/>
      <w:ind w:right="851"/>
    </w:pPr>
  </w:style>
  <w:style w:type="paragraph" w:customStyle="1" w:styleId="BodyTextindent">
    <w:name w:val="Body Text (indent)"/>
    <w:basedOn w:val="BodyText"/>
    <w:qFormat/>
    <w:rsid w:val="003E2E19"/>
    <w:pPr>
      <w:ind w:left="357"/>
    </w:pPr>
  </w:style>
  <w:style w:type="paragraph" w:customStyle="1" w:styleId="BodyTextindent2">
    <w:name w:val="Body Text (indent 2)"/>
    <w:basedOn w:val="BodyText"/>
    <w:uiPriority w:val="1"/>
    <w:qFormat/>
    <w:rsid w:val="003E2E19"/>
    <w:pPr>
      <w:ind w:left="714"/>
    </w:pPr>
  </w:style>
  <w:style w:type="paragraph" w:customStyle="1" w:styleId="BodyTextindent3">
    <w:name w:val="Body Text (indent 3)"/>
    <w:basedOn w:val="BodyText"/>
    <w:uiPriority w:val="1"/>
    <w:qFormat/>
    <w:rsid w:val="003E2E19"/>
    <w:pPr>
      <w:ind w:left="1077"/>
    </w:pPr>
  </w:style>
  <w:style w:type="character" w:customStyle="1" w:styleId="Charactersourcecode">
    <w:name w:val="Character (source code)"/>
    <w:basedOn w:val="DefaultParagraphFont"/>
    <w:uiPriority w:val="3"/>
    <w:semiHidden/>
    <w:qFormat/>
    <w:rsid w:val="003E2E19"/>
    <w:rPr>
      <w:rFonts w:ascii="Courier New" w:hAnsi="Courier New"/>
    </w:rPr>
  </w:style>
  <w:style w:type="paragraph" w:customStyle="1" w:styleId="EndNoteBibliography">
    <w:name w:val="EndNote Bibliography"/>
    <w:basedOn w:val="BodyText"/>
    <w:link w:val="EndNoteBibliographyChar"/>
    <w:uiPriority w:val="23"/>
    <w:semiHidden/>
    <w:rsid w:val="003E2E19"/>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3E2E19"/>
    <w:rPr>
      <w:rFonts w:ascii="Calibri" w:hAnsi="Calibri"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3E2E19"/>
    <w:pPr>
      <w:pageBreakBefore w:val="0"/>
      <w:numPr>
        <w:numId w:val="0"/>
      </w:numPr>
      <w:spacing w:before="120" w:after="120"/>
    </w:pPr>
    <w:rPr>
      <w:rFonts w:cs="Calibri"/>
      <w:i/>
      <w:noProof/>
      <w:sz w:val="22"/>
    </w:rPr>
  </w:style>
  <w:style w:type="character" w:customStyle="1" w:styleId="EndNoteBibliographyTitleChar4">
    <w:name w:val="EndNote Bibliography Title Char4"/>
    <w:basedOn w:val="BodyTextChar"/>
    <w:link w:val="EndNoteBibliographyTitle"/>
    <w:uiPriority w:val="23"/>
    <w:semiHidden/>
    <w:rsid w:val="003E2E19"/>
    <w:rPr>
      <w:rFonts w:ascii="Calibri" w:eastAsia="Times New Roman" w:hAnsi="Calibri" w:cs="Calibri"/>
      <w:b/>
      <w:bCs/>
      <w:i/>
      <w:noProof/>
      <w:color w:val="981D97"/>
      <w:sz w:val="22"/>
      <w:szCs w:val="32"/>
      <w:lang w:val="en-AU" w:eastAsia="en-AU"/>
    </w:rPr>
  </w:style>
  <w:style w:type="character" w:styleId="PlaceholderText">
    <w:name w:val="Placeholder Text"/>
    <w:basedOn w:val="DefaultParagraphFont"/>
    <w:uiPriority w:val="99"/>
    <w:semiHidden/>
    <w:rsid w:val="003E2E19"/>
    <w:rPr>
      <w:color w:val="C00000"/>
      <w:bdr w:val="none" w:sz="0" w:space="0" w:color="auto"/>
      <w:shd w:val="clear" w:color="auto" w:fill="auto"/>
    </w:rPr>
  </w:style>
  <w:style w:type="paragraph" w:styleId="TOC4">
    <w:name w:val="toc 4"/>
    <w:basedOn w:val="TOC1"/>
    <w:next w:val="Normal"/>
    <w:autoRedefine/>
    <w:uiPriority w:val="39"/>
    <w:semiHidden/>
    <w:rsid w:val="008C7E50"/>
    <w:pPr>
      <w:tabs>
        <w:tab w:val="left" w:pos="1540"/>
      </w:tabs>
      <w:ind w:left="1191" w:hanging="1191"/>
    </w:pPr>
  </w:style>
  <w:style w:type="paragraph" w:customStyle="1" w:styleId="BodyTextindent4">
    <w:name w:val="Body Text (indent 4)"/>
    <w:basedOn w:val="BodyText"/>
    <w:uiPriority w:val="1"/>
    <w:qFormat/>
    <w:rsid w:val="003E2E19"/>
    <w:pPr>
      <w:ind w:left="1435"/>
    </w:pPr>
  </w:style>
  <w:style w:type="paragraph" w:styleId="FootnoteText">
    <w:name w:val="footnote text"/>
    <w:basedOn w:val="Normal"/>
    <w:link w:val="FootnoteTextChar"/>
    <w:uiPriority w:val="99"/>
    <w:semiHidden/>
    <w:rsid w:val="003E2E19"/>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5C634F"/>
    <w:rPr>
      <w:rFonts w:ascii="Calibri" w:hAnsi="Calibri"/>
      <w:sz w:val="18"/>
      <w:lang w:val="en-AU"/>
    </w:rPr>
  </w:style>
  <w:style w:type="character" w:styleId="FootnoteReference">
    <w:name w:val="footnote reference"/>
    <w:basedOn w:val="DefaultParagraphFont"/>
    <w:uiPriority w:val="99"/>
    <w:semiHidden/>
    <w:rsid w:val="003E2E19"/>
    <w:rPr>
      <w:vertAlign w:val="superscript"/>
    </w:rPr>
  </w:style>
  <w:style w:type="table" w:customStyle="1" w:styleId="CustomTabledetailed">
    <w:name w:val="Custom Table (detailed)"/>
    <w:basedOn w:val="CustomTablestandard"/>
    <w:uiPriority w:val="99"/>
    <w:rsid w:val="003E2E19"/>
    <w:tblPr>
      <w:tblStyleRowBandSize w:val="1"/>
      <w:tblBorders>
        <w:top w:val="none" w:sz="0" w:space="0" w:color="auto"/>
        <w:bottom w:val="dotted" w:sz="4" w:space="0" w:color="auto"/>
        <w:insideH w:val="dotted" w:sz="4" w:space="0" w:color="auto"/>
      </w:tblBorders>
    </w:tblPr>
    <w:tblStylePr w:type="firstRow">
      <w:pPr>
        <w:jc w:val="left"/>
      </w:pPr>
      <w:rPr>
        <w:rFonts w:ascii="Arial" w:hAnsi="Arial"/>
        <w:b w:val="0"/>
        <w:color w:val="981D97"/>
      </w:rPr>
      <w:tblPr/>
      <w:tcPr>
        <w:tcBorders>
          <w:top w:val="single" w:sz="4" w:space="0" w:color="FFFFFF" w:themeColor="background1"/>
          <w:bottom w:val="single" w:sz="4" w:space="0" w:color="FFFFFF" w:themeColor="background1"/>
          <w:insideV w:val="nil"/>
        </w:tcBorders>
        <w:shd w:val="clear" w:color="auto" w:fill="E5DFEC" w:themeFill="accent4" w:themeFillTint="33"/>
        <w:vAlign w:val="bottom"/>
      </w:tcPr>
    </w:tblStylePr>
    <w:tblStylePr w:type="lastRow">
      <w:rPr>
        <w:b/>
      </w:rPr>
      <w:tblPr/>
      <w:tcPr>
        <w:tcBorders>
          <w:bottom w:val="single" w:sz="4" w:space="0" w:color="auto"/>
        </w:tcBorders>
      </w:tcPr>
    </w:tblStylePr>
    <w:tblStylePr w:type="firstCol">
      <w:tblPr/>
      <w:tcPr>
        <w:shd w:val="clear" w:color="auto" w:fill="D9D9D9" w:themeFill="background1" w:themeFillShade="D9"/>
      </w:tcPr>
    </w:tblStylePr>
    <w:tblStylePr w:type="band2Horz">
      <w:tblPr/>
      <w:tcPr>
        <w:shd w:val="clear" w:color="auto" w:fill="F2F2F2" w:themeFill="background1" w:themeFillShade="F2"/>
      </w:tcPr>
    </w:tblStylePr>
  </w:style>
  <w:style w:type="table" w:customStyle="1" w:styleId="CustomTablealternative">
    <w:name w:val="Custom Table (alternative)"/>
    <w:basedOn w:val="TableNormal"/>
    <w:uiPriority w:val="99"/>
    <w:rsid w:val="003E2E19"/>
    <w:pPr>
      <w:spacing w:after="0" w:line="240" w:lineRule="auto"/>
    </w:pPr>
    <w:rPr>
      <w:rFonts w:ascii="Arial" w:hAnsi="Arial"/>
      <w:sz w:val="18"/>
    </w:rPr>
    <w:tblPr>
      <w:tblStyleRowBandSize w:val="1"/>
      <w:tblStyleColBandSize w:val="1"/>
      <w:tblBorders>
        <w:top w:val="single" w:sz="4" w:space="0" w:color="808080"/>
        <w:bottom w:val="single" w:sz="4" w:space="0" w:color="808080"/>
        <w:insideH w:val="single" w:sz="4" w:space="0" w:color="808080"/>
      </w:tblBorders>
    </w:tblPr>
    <w:trPr>
      <w:cantSplit/>
    </w:trPr>
    <w:tblStylePr w:type="firstRow">
      <w:rPr>
        <w:b w:val="0"/>
        <w:color w:val="000000" w:themeColor="text1"/>
      </w:rPr>
      <w:tblPr/>
      <w:tcPr>
        <w:tcBorders>
          <w:top w:val="nil"/>
          <w:left w:val="nil"/>
          <w:bottom w:val="single" w:sz="12" w:space="0" w:color="981D97"/>
          <w:right w:val="nil"/>
          <w:insideH w:val="nil"/>
          <w:insideV w:val="nil"/>
          <w:tl2br w:val="nil"/>
          <w:tr2bl w:val="nil"/>
        </w:tcBorders>
      </w:tcPr>
    </w:tblStylePr>
    <w:tblStylePr w:type="lastRow">
      <w:rPr>
        <w:b/>
      </w:rPr>
      <w:tblPr/>
      <w:tcPr>
        <w:shd w:val="clear" w:color="auto" w:fill="D9D9D9" w:themeFill="background1" w:themeFillShade="D9"/>
      </w:tcPr>
    </w:tblStylePr>
    <w:tblStylePr w:type="firstCol">
      <w:rPr>
        <w:b w:val="0"/>
        <w:color w:val="auto"/>
      </w:rPr>
    </w:tblStylePr>
  </w:style>
  <w:style w:type="table" w:customStyle="1" w:styleId="CustomTablestandard">
    <w:name w:val="Custom Table (standard)"/>
    <w:basedOn w:val="TableNormal"/>
    <w:uiPriority w:val="99"/>
    <w:rsid w:val="003E2E19"/>
    <w:pPr>
      <w:spacing w:after="0" w:line="240" w:lineRule="auto"/>
    </w:pPr>
    <w:rPr>
      <w:rFonts w:ascii="Arial" w:hAnsi="Arial"/>
      <w:sz w:val="18"/>
    </w:rPr>
    <w:tblPr>
      <w:tblBorders>
        <w:top w:val="single" w:sz="4" w:space="0" w:color="auto"/>
        <w:bottom w:val="single" w:sz="4" w:space="0" w:color="auto"/>
        <w:insideH w:val="single" w:sz="4" w:space="0" w:color="auto"/>
      </w:tblBorders>
    </w:tblPr>
    <w:trPr>
      <w:cantSplit/>
    </w:trPr>
    <w:tblStylePr w:type="firstRow">
      <w:pPr>
        <w:jc w:val="left"/>
      </w:pPr>
      <w:rPr>
        <w:rFonts w:ascii="Arial" w:hAnsi="Arial"/>
        <w:b w:val="0"/>
        <w:color w:val="981D97"/>
      </w:rPr>
      <w:tblPr/>
      <w:tcPr>
        <w:tcBorders>
          <w:top w:val="single" w:sz="4" w:space="0" w:color="FFFFFF" w:themeColor="background1"/>
          <w:bottom w:val="single" w:sz="4" w:space="0" w:color="FFFFFF" w:themeColor="background1"/>
          <w:insideV w:val="nil"/>
        </w:tcBorders>
        <w:shd w:val="clear" w:color="auto" w:fill="E5DFEC" w:themeFill="accent4" w:themeFillTint="33"/>
        <w:vAlign w:val="bottom"/>
      </w:tcPr>
    </w:tblStylePr>
  </w:style>
  <w:style w:type="table" w:customStyle="1" w:styleId="CustomTableplaceholder">
    <w:name w:val="Custom Table (placeholder)"/>
    <w:basedOn w:val="TableNormal"/>
    <w:uiPriority w:val="99"/>
    <w:rsid w:val="003E2E19"/>
    <w:pPr>
      <w:spacing w:after="0" w:line="240" w:lineRule="auto"/>
    </w:pPr>
    <w:rPr>
      <w:rFonts w:ascii="Arial" w:hAnsi="Arial"/>
    </w:rPr>
    <w:tblPr/>
    <w:tcPr>
      <w:tcMar>
        <w:left w:w="0" w:type="dxa"/>
        <w:right w:w="0" w:type="dxa"/>
      </w:tcMar>
    </w:tcPr>
  </w:style>
  <w:style w:type="paragraph" w:styleId="Signature">
    <w:name w:val="Signature"/>
    <w:basedOn w:val="Normal"/>
    <w:link w:val="SignatureChar"/>
    <w:uiPriority w:val="23"/>
    <w:semiHidden/>
    <w:rsid w:val="003E2E19"/>
    <w:pPr>
      <w:spacing w:before="360" w:after="360"/>
    </w:pPr>
    <w:rPr>
      <w:rFonts w:ascii="Segoe Script" w:hAnsi="Segoe Script"/>
      <w:color w:val="548DD4" w:themeColor="text2" w:themeTint="99"/>
      <w:sz w:val="24"/>
    </w:rPr>
  </w:style>
  <w:style w:type="character" w:customStyle="1" w:styleId="SignatureChar">
    <w:name w:val="Signature Char"/>
    <w:basedOn w:val="DefaultParagraphFont"/>
    <w:link w:val="Signature"/>
    <w:uiPriority w:val="23"/>
    <w:semiHidden/>
    <w:rsid w:val="003E2E19"/>
    <w:rPr>
      <w:rFonts w:ascii="Segoe Script" w:hAnsi="Segoe Script"/>
      <w:color w:val="548DD4" w:themeColor="text2" w:themeTint="99"/>
      <w:sz w:val="24"/>
      <w:lang w:val="en-AU"/>
    </w:rPr>
  </w:style>
  <w:style w:type="character" w:styleId="CommentReference">
    <w:name w:val="annotation reference"/>
    <w:basedOn w:val="DefaultParagraphFont"/>
    <w:uiPriority w:val="99"/>
    <w:semiHidden/>
    <w:rsid w:val="003E2E19"/>
    <w:rPr>
      <w:sz w:val="16"/>
      <w:szCs w:val="16"/>
    </w:rPr>
  </w:style>
  <w:style w:type="paragraph" w:styleId="CommentText">
    <w:name w:val="annotation text"/>
    <w:basedOn w:val="Normal"/>
    <w:link w:val="CommentTextChar"/>
    <w:uiPriority w:val="99"/>
    <w:semiHidden/>
    <w:rsid w:val="003E2E19"/>
  </w:style>
  <w:style w:type="character" w:customStyle="1" w:styleId="CommentTextChar">
    <w:name w:val="Comment Text Char"/>
    <w:basedOn w:val="DefaultParagraphFont"/>
    <w:link w:val="CommentText"/>
    <w:uiPriority w:val="99"/>
    <w:semiHidden/>
    <w:rsid w:val="005C634F"/>
    <w:rPr>
      <w:rFonts w:ascii="Calibri" w:hAnsi="Calibri"/>
      <w:sz w:val="22"/>
      <w:lang w:val="en-AU"/>
    </w:rPr>
  </w:style>
  <w:style w:type="paragraph" w:styleId="CommentSubject">
    <w:name w:val="annotation subject"/>
    <w:basedOn w:val="CommentText"/>
    <w:next w:val="CommentText"/>
    <w:link w:val="CommentSubjectChar"/>
    <w:uiPriority w:val="99"/>
    <w:semiHidden/>
    <w:rsid w:val="003E2E19"/>
    <w:rPr>
      <w:b/>
      <w:bCs/>
    </w:rPr>
  </w:style>
  <w:style w:type="character" w:customStyle="1" w:styleId="CommentSubjectChar">
    <w:name w:val="Comment Subject Char"/>
    <w:basedOn w:val="CommentTextChar"/>
    <w:link w:val="CommentSubject"/>
    <w:uiPriority w:val="99"/>
    <w:semiHidden/>
    <w:rsid w:val="005C634F"/>
    <w:rPr>
      <w:rFonts w:ascii="Calibri" w:hAnsi="Calibri"/>
      <w:b/>
      <w:bCs/>
      <w:sz w:val="22"/>
      <w:lang w:val="en-AU"/>
    </w:rPr>
  </w:style>
  <w:style w:type="paragraph" w:customStyle="1" w:styleId="NotesHeading1">
    <w:name w:val="Notes Heading 1"/>
    <w:basedOn w:val="AppendixHeading1"/>
    <w:next w:val="BodyText"/>
    <w:uiPriority w:val="10"/>
    <w:qFormat/>
    <w:rsid w:val="006F399C"/>
    <w:pPr>
      <w:pageBreakBefore w:val="0"/>
      <w:numPr>
        <w:numId w:val="112"/>
      </w:numPr>
      <w:spacing w:before="240" w:after="120" w:line="400" w:lineRule="atLeast"/>
    </w:pPr>
    <w:rPr>
      <w:sz w:val="28"/>
    </w:rPr>
  </w:style>
  <w:style w:type="numbering" w:customStyle="1" w:styleId="NoteHeadingmaster">
    <w:name w:val="Note Heading (master)"/>
    <w:uiPriority w:val="99"/>
    <w:rsid w:val="006F399C"/>
    <w:pPr>
      <w:numPr>
        <w:numId w:val="9"/>
      </w:numPr>
    </w:pPr>
  </w:style>
  <w:style w:type="paragraph" w:customStyle="1" w:styleId="NotesHeading2">
    <w:name w:val="Notes Heading 2"/>
    <w:basedOn w:val="NotesHeading1"/>
    <w:next w:val="BodyText"/>
    <w:uiPriority w:val="10"/>
    <w:qFormat/>
    <w:rsid w:val="00C033EE"/>
    <w:pPr>
      <w:keepNext/>
      <w:numPr>
        <w:ilvl w:val="1"/>
      </w:numPr>
      <w:spacing w:after="40" w:line="320" w:lineRule="atLeast"/>
      <w:ind w:left="454"/>
    </w:pPr>
    <w:rPr>
      <w:sz w:val="24"/>
    </w:rPr>
  </w:style>
  <w:style w:type="table" w:styleId="GridTable5Dark-Accent3">
    <w:name w:val="Grid Table 5 Dark Accent 3"/>
    <w:basedOn w:val="TableNormal"/>
    <w:uiPriority w:val="50"/>
    <w:locked/>
    <w:rsid w:val="003E2E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Revision">
    <w:name w:val="Revision"/>
    <w:hidden/>
    <w:uiPriority w:val="99"/>
    <w:semiHidden/>
    <w:rsid w:val="00381F6C"/>
    <w:pPr>
      <w:spacing w:after="0" w:line="240" w:lineRule="auto"/>
    </w:pPr>
    <w:rPr>
      <w:rFonts w:ascii="Arial" w:hAnsi="Arial"/>
      <w:lang w:val="en-AU"/>
    </w:rPr>
  </w:style>
  <w:style w:type="character" w:customStyle="1" w:styleId="ListParagraphChar">
    <w:name w:val="List Paragraph Char"/>
    <w:link w:val="ListParagraph"/>
    <w:uiPriority w:val="34"/>
    <w:semiHidden/>
    <w:locked/>
    <w:rsid w:val="005C634F"/>
    <w:rPr>
      <w:rFonts w:ascii="Calibri" w:hAnsi="Calibri"/>
      <w:sz w:val="22"/>
      <w:lang w:val="en-AU"/>
    </w:rPr>
  </w:style>
  <w:style w:type="table" w:customStyle="1" w:styleId="CustomTablenote">
    <w:name w:val="Custom Table (note)"/>
    <w:basedOn w:val="TableNormal"/>
    <w:uiPriority w:val="99"/>
    <w:rsid w:val="003E2E19"/>
    <w:pPr>
      <w:spacing w:after="0" w:line="240" w:lineRule="auto"/>
    </w:pPr>
    <w:rPr>
      <w:color w:val="4F81BD" w:themeColor="accent1"/>
    </w:rPr>
    <w:tblPr>
      <w:tblBorders>
        <w:bottom w:val="single" w:sz="4" w:space="0" w:color="4F81BD" w:themeColor="accent1"/>
      </w:tblBorders>
    </w:tblPr>
    <w:tcPr>
      <w:shd w:val="clear" w:color="auto" w:fill="auto"/>
    </w:tcPr>
    <w:tblStylePr w:type="firstRow">
      <w:rPr>
        <w:b/>
        <w:color w:val="FFFFFF" w:themeColor="background1"/>
      </w:rPr>
      <w:tblPr/>
      <w:tcPr>
        <w:shd w:val="clear" w:color="auto" w:fill="4F81BD" w:themeFill="accent1"/>
      </w:tcPr>
    </w:tblStylePr>
  </w:style>
  <w:style w:type="paragraph" w:styleId="TOC5">
    <w:name w:val="toc 5"/>
    <w:basedOn w:val="Normal"/>
    <w:next w:val="Normal"/>
    <w:autoRedefine/>
    <w:uiPriority w:val="39"/>
    <w:semiHidden/>
    <w:rsid w:val="003E2E19"/>
    <w:pPr>
      <w:spacing w:before="0" w:after="100" w:line="259" w:lineRule="auto"/>
      <w:ind w:left="880"/>
    </w:pPr>
    <w:rPr>
      <w:rFonts w:asciiTheme="minorHAnsi" w:eastAsiaTheme="minorEastAsia" w:hAnsiTheme="minorHAnsi"/>
      <w:szCs w:val="22"/>
      <w:lang w:val="en-US"/>
    </w:rPr>
  </w:style>
  <w:style w:type="paragraph" w:styleId="TOC6">
    <w:name w:val="toc 6"/>
    <w:basedOn w:val="Normal"/>
    <w:next w:val="Normal"/>
    <w:autoRedefine/>
    <w:uiPriority w:val="39"/>
    <w:semiHidden/>
    <w:rsid w:val="003E2E19"/>
    <w:pPr>
      <w:spacing w:before="0" w:after="100" w:line="259" w:lineRule="auto"/>
      <w:ind w:left="1100"/>
    </w:pPr>
    <w:rPr>
      <w:rFonts w:asciiTheme="minorHAnsi" w:eastAsiaTheme="minorEastAsia" w:hAnsiTheme="minorHAnsi"/>
      <w:szCs w:val="22"/>
      <w:lang w:val="en-US"/>
    </w:rPr>
  </w:style>
  <w:style w:type="paragraph" w:styleId="TOC7">
    <w:name w:val="toc 7"/>
    <w:basedOn w:val="Normal"/>
    <w:next w:val="Normal"/>
    <w:autoRedefine/>
    <w:uiPriority w:val="39"/>
    <w:semiHidden/>
    <w:rsid w:val="003E2E19"/>
    <w:pPr>
      <w:spacing w:before="0" w:after="100" w:line="259" w:lineRule="auto"/>
      <w:ind w:left="1320"/>
    </w:pPr>
    <w:rPr>
      <w:rFonts w:asciiTheme="minorHAnsi" w:eastAsiaTheme="minorEastAsia" w:hAnsiTheme="minorHAnsi"/>
      <w:szCs w:val="22"/>
      <w:lang w:val="en-US"/>
    </w:rPr>
  </w:style>
  <w:style w:type="paragraph" w:styleId="TOC8">
    <w:name w:val="toc 8"/>
    <w:basedOn w:val="Normal"/>
    <w:next w:val="Normal"/>
    <w:autoRedefine/>
    <w:uiPriority w:val="39"/>
    <w:semiHidden/>
    <w:rsid w:val="003E2E19"/>
    <w:pPr>
      <w:spacing w:before="0" w:after="100" w:line="259" w:lineRule="auto"/>
      <w:ind w:left="1540"/>
    </w:pPr>
    <w:rPr>
      <w:rFonts w:asciiTheme="minorHAnsi" w:eastAsiaTheme="minorEastAsia" w:hAnsiTheme="minorHAnsi"/>
      <w:szCs w:val="22"/>
      <w:lang w:val="en-US"/>
    </w:rPr>
  </w:style>
  <w:style w:type="paragraph" w:styleId="TOC9">
    <w:name w:val="toc 9"/>
    <w:basedOn w:val="Normal"/>
    <w:next w:val="Normal"/>
    <w:autoRedefine/>
    <w:uiPriority w:val="39"/>
    <w:semiHidden/>
    <w:rsid w:val="003E2E19"/>
    <w:pPr>
      <w:spacing w:before="0" w:after="100" w:line="259" w:lineRule="auto"/>
      <w:ind w:left="1760"/>
    </w:pPr>
    <w:rPr>
      <w:rFonts w:asciiTheme="minorHAnsi" w:eastAsiaTheme="minorEastAsia" w:hAnsiTheme="minorHAnsi"/>
      <w:szCs w:val="22"/>
      <w:lang w:val="en-US"/>
    </w:rPr>
  </w:style>
  <w:style w:type="paragraph" w:customStyle="1" w:styleId="ImprintText">
    <w:name w:val="Imprint Text"/>
    <w:basedOn w:val="BodyText"/>
    <w:uiPriority w:val="23"/>
    <w:qFormat/>
    <w:rsid w:val="00E15D5C"/>
    <w:pPr>
      <w:ind w:right="3402"/>
      <w:contextualSpacing/>
    </w:pPr>
  </w:style>
  <w:style w:type="table" w:customStyle="1" w:styleId="CustomTablebasic">
    <w:name w:val="Custom Table (basic)"/>
    <w:basedOn w:val="CustomTablestandard"/>
    <w:uiPriority w:val="99"/>
    <w:rsid w:val="003E2E19"/>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left"/>
      </w:pPr>
      <w:rPr>
        <w:rFonts w:ascii="Arial" w:hAnsi="Arial"/>
        <w:b w:val="0"/>
        <w:color w:val="981D97"/>
      </w:rPr>
      <w:tblPr/>
      <w:tcPr>
        <w:tcBorders>
          <w:top w:val="single" w:sz="4" w:space="0" w:color="FFFFFF" w:themeColor="background1"/>
          <w:bottom w:val="single" w:sz="4" w:space="0" w:color="FFFFFF" w:themeColor="background1"/>
          <w:insideV w:val="nil"/>
        </w:tcBorders>
        <w:shd w:val="clear" w:color="auto" w:fill="E5DFEC" w:themeFill="accent4" w:themeFillTint="33"/>
        <w:vAlign w:val="bottom"/>
      </w:tcPr>
    </w:tblStylePr>
    <w:tblStylePr w:type="lastRow">
      <w:tblPr/>
      <w:tcPr>
        <w:tcBorders>
          <w:bottom w:val="single" w:sz="4" w:space="0" w:color="auto"/>
        </w:tcBorders>
      </w:tcPr>
    </w:tblStylePr>
  </w:style>
  <w:style w:type="table" w:customStyle="1" w:styleId="CustomTablecasestudy">
    <w:name w:val="Custom Table (case study)"/>
    <w:basedOn w:val="TableNormal"/>
    <w:uiPriority w:val="99"/>
    <w:rsid w:val="003E2E19"/>
    <w:pPr>
      <w:spacing w:after="0" w:line="240" w:lineRule="auto"/>
    </w:pPr>
    <w:tblPr/>
    <w:tcPr>
      <w:shd w:val="clear" w:color="auto" w:fill="F2F2F2" w:themeFill="background1" w:themeFillShade="F2"/>
    </w:tcPr>
    <w:tblStylePr w:type="firstRow">
      <w:rPr>
        <w:b w:val="0"/>
      </w:rPr>
    </w:tblStylePr>
  </w:style>
  <w:style w:type="character" w:styleId="FollowedHyperlink">
    <w:name w:val="FollowedHyperlink"/>
    <w:basedOn w:val="DefaultParagraphFont"/>
    <w:uiPriority w:val="99"/>
    <w:semiHidden/>
    <w:rsid w:val="003E2E19"/>
    <w:rPr>
      <w:color w:val="800080" w:themeColor="followedHyperlink"/>
      <w:u w:val="single"/>
    </w:rPr>
  </w:style>
  <w:style w:type="table" w:styleId="TableGridLight">
    <w:name w:val="Grid Table Light"/>
    <w:basedOn w:val="TableNormal"/>
    <w:uiPriority w:val="40"/>
    <w:locked/>
    <w:rsid w:val="003E2E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3rightalign">
    <w:name w:val="Table Heading 3 (right align)"/>
    <w:basedOn w:val="TableHeading1"/>
    <w:uiPriority w:val="13"/>
    <w:qFormat/>
    <w:rsid w:val="003E2E19"/>
    <w:pPr>
      <w:jc w:val="right"/>
    </w:pPr>
  </w:style>
  <w:style w:type="paragraph" w:customStyle="1" w:styleId="NotesHeading3">
    <w:name w:val="Notes Heading 3"/>
    <w:basedOn w:val="NotesHeading2"/>
    <w:uiPriority w:val="10"/>
    <w:qFormat/>
    <w:rsid w:val="006F399C"/>
    <w:pPr>
      <w:numPr>
        <w:ilvl w:val="2"/>
      </w:numPr>
      <w:spacing w:before="160" w:line="220" w:lineRule="atLeast"/>
      <w:contextualSpacing w:val="0"/>
    </w:pPr>
    <w:rPr>
      <w:sz w:val="17"/>
    </w:rPr>
  </w:style>
  <w:style w:type="table" w:styleId="GridTable2">
    <w:name w:val="Grid Table 2"/>
    <w:basedOn w:val="TableNormal"/>
    <w:uiPriority w:val="47"/>
    <w:locked/>
    <w:rsid w:val="003E2E19"/>
    <w:pPr>
      <w:spacing w:after="0" w:line="240" w:lineRule="auto"/>
    </w:pPr>
    <w:rPr>
      <w:sz w:val="22"/>
      <w:szCs w:val="22"/>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3numbered">
    <w:name w:val="Heading 3 numbered"/>
    <w:basedOn w:val="Heading3"/>
    <w:next w:val="NormalIndent"/>
    <w:uiPriority w:val="4"/>
    <w:semiHidden/>
    <w:qFormat/>
    <w:rsid w:val="003E2E19"/>
    <w:pPr>
      <w:keepLines/>
      <w:numPr>
        <w:ilvl w:val="4"/>
        <w:numId w:val="20"/>
      </w:numPr>
      <w:tabs>
        <w:tab w:val="clear" w:pos="714"/>
      </w:tabs>
      <w:spacing w:line="276" w:lineRule="auto"/>
      <w:contextualSpacing w:val="0"/>
    </w:pPr>
    <w:rPr>
      <w:rFonts w:asciiTheme="majorHAnsi" w:eastAsiaTheme="majorEastAsia" w:hAnsiTheme="majorHAnsi" w:cstheme="majorBidi"/>
      <w:bCs/>
      <w:color w:val="4F81BD" w:themeColor="accent1"/>
      <w:spacing w:val="2"/>
      <w:sz w:val="22"/>
      <w:szCs w:val="22"/>
    </w:rPr>
  </w:style>
  <w:style w:type="paragraph" w:customStyle="1" w:styleId="Heading4numbered">
    <w:name w:val="Heading 4 numbered"/>
    <w:basedOn w:val="Heading4"/>
    <w:next w:val="NormalIndent"/>
    <w:uiPriority w:val="4"/>
    <w:semiHidden/>
    <w:qFormat/>
    <w:rsid w:val="003E2E19"/>
    <w:pPr>
      <w:keepLines/>
      <w:numPr>
        <w:ilvl w:val="5"/>
        <w:numId w:val="20"/>
      </w:numPr>
      <w:spacing w:before="200" w:after="0" w:line="276" w:lineRule="auto"/>
    </w:pPr>
    <w:rPr>
      <w:rFonts w:asciiTheme="majorHAnsi" w:eastAsiaTheme="majorEastAsia" w:hAnsiTheme="majorHAnsi" w:cstheme="majorBidi"/>
      <w:bCs/>
      <w:iCs/>
      <w:color w:val="53565A"/>
      <w:spacing w:val="2"/>
      <w:sz w:val="18"/>
      <w:szCs w:val="20"/>
    </w:rPr>
  </w:style>
  <w:style w:type="paragraph" w:customStyle="1" w:styleId="Listnumindent2">
    <w:name w:val="List num indent 2"/>
    <w:basedOn w:val="Normal"/>
    <w:uiPriority w:val="7"/>
    <w:semiHidden/>
    <w:qFormat/>
    <w:rsid w:val="003E2E19"/>
    <w:pPr>
      <w:numPr>
        <w:ilvl w:val="7"/>
        <w:numId w:val="20"/>
      </w:numPr>
      <w:spacing w:before="100" w:after="100" w:line="276" w:lineRule="auto"/>
      <w:contextualSpacing/>
    </w:pPr>
    <w:rPr>
      <w:rFonts w:asciiTheme="minorHAnsi" w:eastAsiaTheme="minorEastAsia" w:hAnsiTheme="minorHAnsi"/>
      <w:spacing w:val="2"/>
      <w:sz w:val="18"/>
      <w:lang w:eastAsia="en-AU"/>
    </w:rPr>
  </w:style>
  <w:style w:type="paragraph" w:customStyle="1" w:styleId="Listnumindent">
    <w:name w:val="List num indent"/>
    <w:basedOn w:val="Normal"/>
    <w:uiPriority w:val="7"/>
    <w:semiHidden/>
    <w:qFormat/>
    <w:rsid w:val="003E2E19"/>
    <w:pPr>
      <w:numPr>
        <w:ilvl w:val="6"/>
        <w:numId w:val="20"/>
      </w:numPr>
      <w:spacing w:before="100" w:after="100" w:line="276" w:lineRule="auto"/>
    </w:pPr>
    <w:rPr>
      <w:rFonts w:asciiTheme="minorHAnsi" w:eastAsiaTheme="minorEastAsia" w:hAnsiTheme="minorHAnsi"/>
      <w:spacing w:val="2"/>
      <w:sz w:val="18"/>
      <w:lang w:eastAsia="en-AU"/>
    </w:rPr>
  </w:style>
  <w:style w:type="paragraph" w:customStyle="1" w:styleId="Listnum">
    <w:name w:val="List num"/>
    <w:basedOn w:val="Normal"/>
    <w:uiPriority w:val="1"/>
    <w:semiHidden/>
    <w:qFormat/>
    <w:rsid w:val="003E2E19"/>
    <w:pPr>
      <w:numPr>
        <w:numId w:val="20"/>
      </w:numPr>
      <w:spacing w:before="160" w:after="100" w:line="276" w:lineRule="auto"/>
      <w:contextualSpacing/>
    </w:pPr>
    <w:rPr>
      <w:rFonts w:asciiTheme="minorHAnsi" w:eastAsiaTheme="minorEastAsia" w:hAnsiTheme="minorHAnsi"/>
      <w:spacing w:val="2"/>
      <w:sz w:val="18"/>
      <w:lang w:eastAsia="en-AU"/>
    </w:rPr>
  </w:style>
  <w:style w:type="paragraph" w:customStyle="1" w:styleId="Listnum2">
    <w:name w:val="List num 2"/>
    <w:basedOn w:val="Normal"/>
    <w:uiPriority w:val="1"/>
    <w:semiHidden/>
    <w:qFormat/>
    <w:rsid w:val="003E2E19"/>
    <w:pPr>
      <w:numPr>
        <w:ilvl w:val="1"/>
        <w:numId w:val="20"/>
      </w:numPr>
      <w:spacing w:before="160" w:after="100" w:line="276" w:lineRule="auto"/>
      <w:contextualSpacing/>
    </w:pPr>
    <w:rPr>
      <w:rFonts w:asciiTheme="minorHAnsi" w:eastAsiaTheme="minorEastAsia" w:hAnsiTheme="minorHAnsi"/>
      <w:spacing w:val="2"/>
      <w:sz w:val="18"/>
      <w:lang w:eastAsia="en-AU"/>
    </w:rPr>
  </w:style>
  <w:style w:type="paragraph" w:customStyle="1" w:styleId="Normalgrey">
    <w:name w:val="Normal grey"/>
    <w:basedOn w:val="Normal"/>
    <w:semiHidden/>
    <w:qFormat/>
    <w:rsid w:val="003E2E19"/>
    <w:pPr>
      <w:spacing w:before="160" w:after="100" w:line="264" w:lineRule="auto"/>
    </w:pPr>
    <w:rPr>
      <w:rFonts w:asciiTheme="minorHAnsi" w:hAnsiTheme="minorHAnsi"/>
      <w:color w:val="4D4D4D"/>
      <w:spacing w:val="2"/>
      <w:sz w:val="18"/>
      <w:szCs w:val="18"/>
    </w:rPr>
  </w:style>
  <w:style w:type="paragraph" w:customStyle="1" w:styleId="Listnumgrey">
    <w:name w:val="List num grey"/>
    <w:uiPriority w:val="3"/>
    <w:semiHidden/>
    <w:qFormat/>
    <w:rsid w:val="003E2E19"/>
    <w:pPr>
      <w:numPr>
        <w:ilvl w:val="2"/>
        <w:numId w:val="20"/>
      </w:numPr>
      <w:spacing w:line="264" w:lineRule="auto"/>
    </w:pPr>
    <w:rPr>
      <w:color w:val="4D4D4D"/>
      <w:spacing w:val="2"/>
      <w:sz w:val="18"/>
      <w:szCs w:val="21"/>
      <w:lang w:val="en-AU"/>
    </w:rPr>
  </w:style>
  <w:style w:type="paragraph" w:customStyle="1" w:styleId="Listnum2grey">
    <w:name w:val="List num 2 grey"/>
    <w:uiPriority w:val="4"/>
    <w:semiHidden/>
    <w:qFormat/>
    <w:rsid w:val="003E2E19"/>
    <w:pPr>
      <w:numPr>
        <w:ilvl w:val="3"/>
        <w:numId w:val="20"/>
      </w:numPr>
      <w:spacing w:line="264" w:lineRule="auto"/>
    </w:pPr>
    <w:rPr>
      <w:color w:val="4D4D4D"/>
      <w:spacing w:val="2"/>
      <w:sz w:val="18"/>
      <w:szCs w:val="21"/>
      <w:lang w:val="en-AU"/>
    </w:rPr>
  </w:style>
  <w:style w:type="paragraph" w:styleId="NormalIndent">
    <w:name w:val="Normal Indent"/>
    <w:basedOn w:val="Normal"/>
    <w:uiPriority w:val="99"/>
    <w:semiHidden/>
    <w:rsid w:val="003E2E19"/>
    <w:pPr>
      <w:ind w:left="720"/>
    </w:pPr>
  </w:style>
  <w:style w:type="paragraph" w:customStyle="1" w:styleId="TableHeading2centrealign">
    <w:name w:val="Table Heading 2 (centre align)"/>
    <w:basedOn w:val="TableHeading1"/>
    <w:uiPriority w:val="13"/>
    <w:qFormat/>
    <w:rsid w:val="003E2E19"/>
    <w:pPr>
      <w:jc w:val="center"/>
    </w:pPr>
  </w:style>
  <w:style w:type="character" w:customStyle="1" w:styleId="Characterpurple">
    <w:name w:val="Character (purple)"/>
    <w:basedOn w:val="DefaultParagraphFont"/>
    <w:uiPriority w:val="1"/>
    <w:qFormat/>
    <w:rsid w:val="003E2E19"/>
    <w:rPr>
      <w:color w:val="981D97"/>
    </w:rPr>
  </w:style>
  <w:style w:type="numbering" w:customStyle="1" w:styleId="Headingsmaster">
    <w:name w:val="Headings (master)"/>
    <w:uiPriority w:val="99"/>
    <w:rsid w:val="003E2E19"/>
    <w:pPr>
      <w:numPr>
        <w:numId w:val="2"/>
      </w:numPr>
    </w:pPr>
  </w:style>
  <w:style w:type="paragraph" w:customStyle="1" w:styleId="TableBodyTextcentrealign">
    <w:name w:val="Table Body Text (centre align)"/>
    <w:basedOn w:val="TableBodyText"/>
    <w:uiPriority w:val="17"/>
    <w:qFormat/>
    <w:rsid w:val="003E2E19"/>
    <w:pPr>
      <w:jc w:val="center"/>
    </w:pPr>
  </w:style>
  <w:style w:type="character" w:styleId="Emphasis">
    <w:name w:val="Emphasis"/>
    <w:basedOn w:val="DefaultParagraphFont"/>
    <w:uiPriority w:val="20"/>
    <w:semiHidden/>
    <w:qFormat/>
    <w:rsid w:val="003E2E19"/>
    <w:rPr>
      <w:i/>
      <w:iCs/>
    </w:rPr>
  </w:style>
  <w:style w:type="character" w:customStyle="1" w:styleId="Heading6Char">
    <w:name w:val="Heading 6 Char"/>
    <w:basedOn w:val="DefaultParagraphFont"/>
    <w:link w:val="Heading6"/>
    <w:uiPriority w:val="9"/>
    <w:rsid w:val="00FF19C1"/>
    <w:rPr>
      <w:rFonts w:ascii="Calibri" w:hAnsi="Calibri" w:cstheme="minorHAnsi"/>
      <w:b/>
      <w:color w:val="7F7F7F"/>
      <w:lang w:val="en-AU"/>
    </w:rPr>
  </w:style>
  <w:style w:type="paragraph" w:customStyle="1" w:styleId="Heading1ToCincluded">
    <w:name w:val="Heading 1 (ToC included)"/>
    <w:basedOn w:val="Heading1unnumbered"/>
    <w:uiPriority w:val="10"/>
    <w:qFormat/>
    <w:rsid w:val="003E2E19"/>
  </w:style>
  <w:style w:type="character" w:styleId="UnresolvedMention">
    <w:name w:val="Unresolved Mention"/>
    <w:basedOn w:val="DefaultParagraphFont"/>
    <w:uiPriority w:val="99"/>
    <w:semiHidden/>
    <w:rsid w:val="0038021D"/>
    <w:rPr>
      <w:color w:val="605E5C"/>
      <w:shd w:val="clear" w:color="auto" w:fill="E1DFDD"/>
    </w:rPr>
  </w:style>
  <w:style w:type="table" w:styleId="GridTable1Light-Accent4">
    <w:name w:val="Grid Table 1 Light Accent 4"/>
    <w:basedOn w:val="TableNormal"/>
    <w:uiPriority w:val="46"/>
    <w:locked/>
    <w:rsid w:val="008D4220"/>
    <w:pPr>
      <w:widowControl w:val="0"/>
      <w:autoSpaceDE w:val="0"/>
      <w:autoSpaceDN w:val="0"/>
      <w:spacing w:after="0" w:line="240" w:lineRule="auto"/>
    </w:pPr>
    <w:rPr>
      <w:sz w:val="22"/>
      <w:szCs w:val="22"/>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numbering" w:customStyle="1" w:styleId="TableListNumbermaster1">
    <w:name w:val="Table List Number (master)1"/>
    <w:rsid w:val="00F67CAE"/>
  </w:style>
  <w:style w:type="paragraph" w:customStyle="1" w:styleId="Heading2unnumbered">
    <w:name w:val="Heading 2 (unnumbered)"/>
    <w:basedOn w:val="Heading2"/>
    <w:next w:val="BodyText"/>
    <w:uiPriority w:val="10"/>
    <w:qFormat/>
    <w:rsid w:val="004E6C3D"/>
  </w:style>
  <w:style w:type="paragraph" w:styleId="EndnoteText">
    <w:name w:val="endnote text"/>
    <w:basedOn w:val="Normal"/>
    <w:link w:val="EndnoteTextChar"/>
    <w:uiPriority w:val="99"/>
    <w:semiHidden/>
    <w:rsid w:val="00D403F6"/>
    <w:pPr>
      <w:spacing w:before="0" w:after="0"/>
    </w:pPr>
    <w:rPr>
      <w:sz w:val="20"/>
    </w:rPr>
  </w:style>
  <w:style w:type="character" w:customStyle="1" w:styleId="EndnoteTextChar">
    <w:name w:val="Endnote Text Char"/>
    <w:basedOn w:val="DefaultParagraphFont"/>
    <w:link w:val="EndnoteText"/>
    <w:uiPriority w:val="99"/>
    <w:semiHidden/>
    <w:rsid w:val="005C634F"/>
    <w:rPr>
      <w:rFonts w:ascii="Calibri" w:hAnsi="Calibri"/>
      <w:lang w:val="en-AU"/>
    </w:rPr>
  </w:style>
  <w:style w:type="paragraph" w:customStyle="1" w:styleId="Headingcasestudy">
    <w:name w:val="Heading (case study)"/>
    <w:basedOn w:val="BodyText"/>
    <w:uiPriority w:val="12"/>
    <w:qFormat/>
    <w:rsid w:val="00114F9C"/>
    <w:pPr>
      <w:numPr>
        <w:numId w:val="106"/>
      </w:numPr>
      <w:tabs>
        <w:tab w:val="left" w:pos="1429"/>
      </w:tabs>
      <w:ind w:left="1429" w:hanging="1429"/>
      <w:outlineLvl w:val="6"/>
    </w:pPr>
    <w:rPr>
      <w:b/>
      <w:color w:val="981D97"/>
    </w:rPr>
  </w:style>
  <w:style w:type="character" w:customStyle="1" w:styleId="Heading7Char">
    <w:name w:val="Heading 7 Char"/>
    <w:basedOn w:val="DefaultParagraphFont"/>
    <w:link w:val="Heading7"/>
    <w:uiPriority w:val="9"/>
    <w:semiHidden/>
    <w:rsid w:val="00B87EDE"/>
    <w:rPr>
      <w:rFonts w:asciiTheme="majorHAnsi" w:eastAsiaTheme="majorEastAsia" w:hAnsiTheme="majorHAnsi" w:cstheme="majorBidi"/>
      <w:i/>
      <w:iCs/>
      <w:color w:val="243F60" w:themeColor="accent1" w:themeShade="7F"/>
      <w:sz w:val="22"/>
      <w:lang w:val="en-AU"/>
    </w:rPr>
  </w:style>
  <w:style w:type="character" w:customStyle="1" w:styleId="Heading8Char">
    <w:name w:val="Heading 8 Char"/>
    <w:basedOn w:val="DefaultParagraphFont"/>
    <w:link w:val="Heading8"/>
    <w:uiPriority w:val="9"/>
    <w:semiHidden/>
    <w:rsid w:val="00B87ED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B87EDE"/>
    <w:rPr>
      <w:rFonts w:asciiTheme="majorHAnsi" w:eastAsiaTheme="majorEastAsia" w:hAnsiTheme="majorHAnsi" w:cstheme="majorBidi"/>
      <w:i/>
      <w:iCs/>
      <w:color w:val="272727" w:themeColor="text1" w:themeTint="D8"/>
      <w:sz w:val="21"/>
      <w:szCs w:val="21"/>
      <w:lang w:val="en-AU"/>
    </w:rPr>
  </w:style>
  <w:style w:type="table" w:customStyle="1" w:styleId="CustomTabledetailed1">
    <w:name w:val="Custom Table (detailed)1"/>
    <w:basedOn w:val="TableNormal"/>
    <w:uiPriority w:val="99"/>
    <w:rsid w:val="0058789F"/>
    <w:pPr>
      <w:spacing w:after="0" w:line="240" w:lineRule="auto"/>
    </w:pPr>
    <w:rPr>
      <w:rFonts w:ascii="Arial" w:hAnsi="Arial"/>
      <w:sz w:val="18"/>
    </w:rPr>
    <w:tblPr>
      <w:tblStyleRowBandSize w:val="1"/>
      <w:tblInd w:w="0" w:type="nil"/>
      <w:tblBorders>
        <w:bottom w:val="dotted" w:sz="4" w:space="0" w:color="auto"/>
        <w:insideH w:val="dotted" w:sz="4" w:space="0" w:color="auto"/>
      </w:tblBorders>
    </w:tblPr>
    <w:tblStylePr w:type="firstRow">
      <w:pPr>
        <w:jc w:val="left"/>
      </w:pPr>
      <w:rPr>
        <w:rFonts w:ascii="Arial" w:hAnsi="Arial" w:cs="Arial" w:hint="default"/>
        <w:b w:val="0"/>
        <w:color w:val="981D97"/>
      </w:rPr>
      <w:tblPr/>
      <w:tcPr>
        <w:tcBorders>
          <w:top w:val="single" w:sz="4" w:space="0" w:color="FFFFFF" w:themeColor="background1"/>
          <w:bottom w:val="single" w:sz="4" w:space="0" w:color="FFFFFF" w:themeColor="background1"/>
          <w:insideV w:val="nil"/>
        </w:tcBorders>
        <w:shd w:val="clear" w:color="auto" w:fill="E5DFEC" w:themeFill="accent4" w:themeFillTint="33"/>
        <w:vAlign w:val="bottom"/>
      </w:tcPr>
    </w:tblStylePr>
    <w:tblStylePr w:type="lastRow">
      <w:rPr>
        <w:b/>
      </w:rPr>
      <w:tblPr/>
      <w:tcPr>
        <w:tcBorders>
          <w:bottom w:val="single" w:sz="4" w:space="0" w:color="auto"/>
        </w:tcBorders>
      </w:tcPr>
    </w:tblStylePr>
    <w:tblStylePr w:type="firstCol">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NormalWeb">
    <w:name w:val="Normal (Web)"/>
    <w:basedOn w:val="Normal"/>
    <w:uiPriority w:val="99"/>
    <w:semiHidden/>
    <w:rsid w:val="0058789F"/>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057">
      <w:bodyDiv w:val="1"/>
      <w:marLeft w:val="0"/>
      <w:marRight w:val="0"/>
      <w:marTop w:val="0"/>
      <w:marBottom w:val="0"/>
      <w:divBdr>
        <w:top w:val="none" w:sz="0" w:space="0" w:color="auto"/>
        <w:left w:val="none" w:sz="0" w:space="0" w:color="auto"/>
        <w:bottom w:val="none" w:sz="0" w:space="0" w:color="auto"/>
        <w:right w:val="none" w:sz="0" w:space="0" w:color="auto"/>
      </w:divBdr>
    </w:div>
    <w:div w:id="6294449">
      <w:bodyDiv w:val="1"/>
      <w:marLeft w:val="0"/>
      <w:marRight w:val="0"/>
      <w:marTop w:val="0"/>
      <w:marBottom w:val="0"/>
      <w:divBdr>
        <w:top w:val="none" w:sz="0" w:space="0" w:color="auto"/>
        <w:left w:val="none" w:sz="0" w:space="0" w:color="auto"/>
        <w:bottom w:val="none" w:sz="0" w:space="0" w:color="auto"/>
        <w:right w:val="none" w:sz="0" w:space="0" w:color="auto"/>
      </w:divBdr>
      <w:divsChild>
        <w:div w:id="766006001">
          <w:marLeft w:val="0"/>
          <w:marRight w:val="0"/>
          <w:marTop w:val="0"/>
          <w:marBottom w:val="0"/>
          <w:divBdr>
            <w:top w:val="none" w:sz="0" w:space="0" w:color="auto"/>
            <w:left w:val="none" w:sz="0" w:space="0" w:color="auto"/>
            <w:bottom w:val="none" w:sz="0" w:space="0" w:color="auto"/>
            <w:right w:val="none" w:sz="0" w:space="0" w:color="auto"/>
          </w:divBdr>
          <w:divsChild>
            <w:div w:id="1652826385">
              <w:marLeft w:val="0"/>
              <w:marRight w:val="0"/>
              <w:marTop w:val="0"/>
              <w:marBottom w:val="0"/>
              <w:divBdr>
                <w:top w:val="none" w:sz="0" w:space="0" w:color="auto"/>
                <w:left w:val="none" w:sz="0" w:space="0" w:color="auto"/>
                <w:bottom w:val="none" w:sz="0" w:space="0" w:color="auto"/>
                <w:right w:val="none" w:sz="0" w:space="0" w:color="auto"/>
              </w:divBdr>
              <w:divsChild>
                <w:div w:id="11398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174">
      <w:bodyDiv w:val="1"/>
      <w:marLeft w:val="0"/>
      <w:marRight w:val="0"/>
      <w:marTop w:val="0"/>
      <w:marBottom w:val="0"/>
      <w:divBdr>
        <w:top w:val="none" w:sz="0" w:space="0" w:color="auto"/>
        <w:left w:val="none" w:sz="0" w:space="0" w:color="auto"/>
        <w:bottom w:val="none" w:sz="0" w:space="0" w:color="auto"/>
        <w:right w:val="none" w:sz="0" w:space="0" w:color="auto"/>
      </w:divBdr>
    </w:div>
    <w:div w:id="7946894">
      <w:bodyDiv w:val="1"/>
      <w:marLeft w:val="0"/>
      <w:marRight w:val="0"/>
      <w:marTop w:val="0"/>
      <w:marBottom w:val="0"/>
      <w:divBdr>
        <w:top w:val="none" w:sz="0" w:space="0" w:color="auto"/>
        <w:left w:val="none" w:sz="0" w:space="0" w:color="auto"/>
        <w:bottom w:val="none" w:sz="0" w:space="0" w:color="auto"/>
        <w:right w:val="none" w:sz="0" w:space="0" w:color="auto"/>
      </w:divBdr>
      <w:divsChild>
        <w:div w:id="1004086213">
          <w:marLeft w:val="0"/>
          <w:marRight w:val="0"/>
          <w:marTop w:val="0"/>
          <w:marBottom w:val="0"/>
          <w:divBdr>
            <w:top w:val="none" w:sz="0" w:space="0" w:color="auto"/>
            <w:left w:val="none" w:sz="0" w:space="0" w:color="auto"/>
            <w:bottom w:val="none" w:sz="0" w:space="0" w:color="auto"/>
            <w:right w:val="none" w:sz="0" w:space="0" w:color="auto"/>
          </w:divBdr>
          <w:divsChild>
            <w:div w:id="1176576441">
              <w:marLeft w:val="-75"/>
              <w:marRight w:val="0"/>
              <w:marTop w:val="30"/>
              <w:marBottom w:val="30"/>
              <w:divBdr>
                <w:top w:val="none" w:sz="0" w:space="0" w:color="auto"/>
                <w:left w:val="none" w:sz="0" w:space="0" w:color="auto"/>
                <w:bottom w:val="none" w:sz="0" w:space="0" w:color="auto"/>
                <w:right w:val="none" w:sz="0" w:space="0" w:color="auto"/>
              </w:divBdr>
              <w:divsChild>
                <w:div w:id="77798681">
                  <w:marLeft w:val="0"/>
                  <w:marRight w:val="0"/>
                  <w:marTop w:val="0"/>
                  <w:marBottom w:val="0"/>
                  <w:divBdr>
                    <w:top w:val="none" w:sz="0" w:space="0" w:color="auto"/>
                    <w:left w:val="none" w:sz="0" w:space="0" w:color="auto"/>
                    <w:bottom w:val="none" w:sz="0" w:space="0" w:color="auto"/>
                    <w:right w:val="none" w:sz="0" w:space="0" w:color="auto"/>
                  </w:divBdr>
                  <w:divsChild>
                    <w:div w:id="812254542">
                      <w:marLeft w:val="0"/>
                      <w:marRight w:val="0"/>
                      <w:marTop w:val="0"/>
                      <w:marBottom w:val="0"/>
                      <w:divBdr>
                        <w:top w:val="none" w:sz="0" w:space="0" w:color="auto"/>
                        <w:left w:val="none" w:sz="0" w:space="0" w:color="auto"/>
                        <w:bottom w:val="none" w:sz="0" w:space="0" w:color="auto"/>
                        <w:right w:val="none" w:sz="0" w:space="0" w:color="auto"/>
                      </w:divBdr>
                    </w:div>
                  </w:divsChild>
                </w:div>
                <w:div w:id="617689405">
                  <w:marLeft w:val="0"/>
                  <w:marRight w:val="0"/>
                  <w:marTop w:val="0"/>
                  <w:marBottom w:val="0"/>
                  <w:divBdr>
                    <w:top w:val="none" w:sz="0" w:space="0" w:color="auto"/>
                    <w:left w:val="none" w:sz="0" w:space="0" w:color="auto"/>
                    <w:bottom w:val="none" w:sz="0" w:space="0" w:color="auto"/>
                    <w:right w:val="none" w:sz="0" w:space="0" w:color="auto"/>
                  </w:divBdr>
                  <w:divsChild>
                    <w:div w:id="861167353">
                      <w:marLeft w:val="0"/>
                      <w:marRight w:val="0"/>
                      <w:marTop w:val="0"/>
                      <w:marBottom w:val="0"/>
                      <w:divBdr>
                        <w:top w:val="none" w:sz="0" w:space="0" w:color="auto"/>
                        <w:left w:val="none" w:sz="0" w:space="0" w:color="auto"/>
                        <w:bottom w:val="none" w:sz="0" w:space="0" w:color="auto"/>
                        <w:right w:val="none" w:sz="0" w:space="0" w:color="auto"/>
                      </w:divBdr>
                    </w:div>
                  </w:divsChild>
                </w:div>
                <w:div w:id="1264147043">
                  <w:marLeft w:val="0"/>
                  <w:marRight w:val="0"/>
                  <w:marTop w:val="0"/>
                  <w:marBottom w:val="0"/>
                  <w:divBdr>
                    <w:top w:val="none" w:sz="0" w:space="0" w:color="auto"/>
                    <w:left w:val="none" w:sz="0" w:space="0" w:color="auto"/>
                    <w:bottom w:val="none" w:sz="0" w:space="0" w:color="auto"/>
                    <w:right w:val="none" w:sz="0" w:space="0" w:color="auto"/>
                  </w:divBdr>
                  <w:divsChild>
                    <w:div w:id="1707288751">
                      <w:marLeft w:val="0"/>
                      <w:marRight w:val="0"/>
                      <w:marTop w:val="0"/>
                      <w:marBottom w:val="0"/>
                      <w:divBdr>
                        <w:top w:val="none" w:sz="0" w:space="0" w:color="auto"/>
                        <w:left w:val="none" w:sz="0" w:space="0" w:color="auto"/>
                        <w:bottom w:val="none" w:sz="0" w:space="0" w:color="auto"/>
                        <w:right w:val="none" w:sz="0" w:space="0" w:color="auto"/>
                      </w:divBdr>
                    </w:div>
                  </w:divsChild>
                </w:div>
                <w:div w:id="1374042570">
                  <w:marLeft w:val="0"/>
                  <w:marRight w:val="0"/>
                  <w:marTop w:val="0"/>
                  <w:marBottom w:val="0"/>
                  <w:divBdr>
                    <w:top w:val="none" w:sz="0" w:space="0" w:color="auto"/>
                    <w:left w:val="none" w:sz="0" w:space="0" w:color="auto"/>
                    <w:bottom w:val="none" w:sz="0" w:space="0" w:color="auto"/>
                    <w:right w:val="none" w:sz="0" w:space="0" w:color="auto"/>
                  </w:divBdr>
                  <w:divsChild>
                    <w:div w:id="186674910">
                      <w:marLeft w:val="0"/>
                      <w:marRight w:val="0"/>
                      <w:marTop w:val="0"/>
                      <w:marBottom w:val="0"/>
                      <w:divBdr>
                        <w:top w:val="none" w:sz="0" w:space="0" w:color="auto"/>
                        <w:left w:val="none" w:sz="0" w:space="0" w:color="auto"/>
                        <w:bottom w:val="none" w:sz="0" w:space="0" w:color="auto"/>
                        <w:right w:val="none" w:sz="0" w:space="0" w:color="auto"/>
                      </w:divBdr>
                    </w:div>
                  </w:divsChild>
                </w:div>
                <w:div w:id="1409380972">
                  <w:marLeft w:val="0"/>
                  <w:marRight w:val="0"/>
                  <w:marTop w:val="0"/>
                  <w:marBottom w:val="0"/>
                  <w:divBdr>
                    <w:top w:val="none" w:sz="0" w:space="0" w:color="auto"/>
                    <w:left w:val="none" w:sz="0" w:space="0" w:color="auto"/>
                    <w:bottom w:val="none" w:sz="0" w:space="0" w:color="auto"/>
                    <w:right w:val="none" w:sz="0" w:space="0" w:color="auto"/>
                  </w:divBdr>
                  <w:divsChild>
                    <w:div w:id="1022173979">
                      <w:marLeft w:val="0"/>
                      <w:marRight w:val="0"/>
                      <w:marTop w:val="0"/>
                      <w:marBottom w:val="0"/>
                      <w:divBdr>
                        <w:top w:val="none" w:sz="0" w:space="0" w:color="auto"/>
                        <w:left w:val="none" w:sz="0" w:space="0" w:color="auto"/>
                        <w:bottom w:val="none" w:sz="0" w:space="0" w:color="auto"/>
                        <w:right w:val="none" w:sz="0" w:space="0" w:color="auto"/>
                      </w:divBdr>
                    </w:div>
                  </w:divsChild>
                </w:div>
                <w:div w:id="1993438528">
                  <w:marLeft w:val="0"/>
                  <w:marRight w:val="0"/>
                  <w:marTop w:val="0"/>
                  <w:marBottom w:val="0"/>
                  <w:divBdr>
                    <w:top w:val="none" w:sz="0" w:space="0" w:color="auto"/>
                    <w:left w:val="none" w:sz="0" w:space="0" w:color="auto"/>
                    <w:bottom w:val="none" w:sz="0" w:space="0" w:color="auto"/>
                    <w:right w:val="none" w:sz="0" w:space="0" w:color="auto"/>
                  </w:divBdr>
                  <w:divsChild>
                    <w:div w:id="3687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31065">
          <w:marLeft w:val="0"/>
          <w:marRight w:val="0"/>
          <w:marTop w:val="0"/>
          <w:marBottom w:val="0"/>
          <w:divBdr>
            <w:top w:val="none" w:sz="0" w:space="0" w:color="auto"/>
            <w:left w:val="none" w:sz="0" w:space="0" w:color="auto"/>
            <w:bottom w:val="none" w:sz="0" w:space="0" w:color="auto"/>
            <w:right w:val="none" w:sz="0" w:space="0" w:color="auto"/>
          </w:divBdr>
        </w:div>
        <w:div w:id="1456096490">
          <w:marLeft w:val="0"/>
          <w:marRight w:val="0"/>
          <w:marTop w:val="0"/>
          <w:marBottom w:val="0"/>
          <w:divBdr>
            <w:top w:val="none" w:sz="0" w:space="0" w:color="auto"/>
            <w:left w:val="none" w:sz="0" w:space="0" w:color="auto"/>
            <w:bottom w:val="none" w:sz="0" w:space="0" w:color="auto"/>
            <w:right w:val="none" w:sz="0" w:space="0" w:color="auto"/>
          </w:divBdr>
        </w:div>
        <w:div w:id="1550337712">
          <w:marLeft w:val="0"/>
          <w:marRight w:val="0"/>
          <w:marTop w:val="0"/>
          <w:marBottom w:val="0"/>
          <w:divBdr>
            <w:top w:val="none" w:sz="0" w:space="0" w:color="auto"/>
            <w:left w:val="none" w:sz="0" w:space="0" w:color="auto"/>
            <w:bottom w:val="none" w:sz="0" w:space="0" w:color="auto"/>
            <w:right w:val="none" w:sz="0" w:space="0" w:color="auto"/>
          </w:divBdr>
        </w:div>
      </w:divsChild>
    </w:div>
    <w:div w:id="46465263">
      <w:bodyDiv w:val="1"/>
      <w:marLeft w:val="0"/>
      <w:marRight w:val="0"/>
      <w:marTop w:val="0"/>
      <w:marBottom w:val="0"/>
      <w:divBdr>
        <w:top w:val="none" w:sz="0" w:space="0" w:color="auto"/>
        <w:left w:val="none" w:sz="0" w:space="0" w:color="auto"/>
        <w:bottom w:val="none" w:sz="0" w:space="0" w:color="auto"/>
        <w:right w:val="none" w:sz="0" w:space="0" w:color="auto"/>
      </w:divBdr>
    </w:div>
    <w:div w:id="52047347">
      <w:bodyDiv w:val="1"/>
      <w:marLeft w:val="0"/>
      <w:marRight w:val="0"/>
      <w:marTop w:val="0"/>
      <w:marBottom w:val="0"/>
      <w:divBdr>
        <w:top w:val="none" w:sz="0" w:space="0" w:color="auto"/>
        <w:left w:val="none" w:sz="0" w:space="0" w:color="auto"/>
        <w:bottom w:val="none" w:sz="0" w:space="0" w:color="auto"/>
        <w:right w:val="none" w:sz="0" w:space="0" w:color="auto"/>
      </w:divBdr>
    </w:div>
    <w:div w:id="71632794">
      <w:bodyDiv w:val="1"/>
      <w:marLeft w:val="0"/>
      <w:marRight w:val="0"/>
      <w:marTop w:val="0"/>
      <w:marBottom w:val="0"/>
      <w:divBdr>
        <w:top w:val="none" w:sz="0" w:space="0" w:color="auto"/>
        <w:left w:val="none" w:sz="0" w:space="0" w:color="auto"/>
        <w:bottom w:val="none" w:sz="0" w:space="0" w:color="auto"/>
        <w:right w:val="none" w:sz="0" w:space="0" w:color="auto"/>
      </w:divBdr>
    </w:div>
    <w:div w:id="73431617">
      <w:bodyDiv w:val="1"/>
      <w:marLeft w:val="0"/>
      <w:marRight w:val="0"/>
      <w:marTop w:val="0"/>
      <w:marBottom w:val="0"/>
      <w:divBdr>
        <w:top w:val="none" w:sz="0" w:space="0" w:color="auto"/>
        <w:left w:val="none" w:sz="0" w:space="0" w:color="auto"/>
        <w:bottom w:val="none" w:sz="0" w:space="0" w:color="auto"/>
        <w:right w:val="none" w:sz="0" w:space="0" w:color="auto"/>
      </w:divBdr>
      <w:divsChild>
        <w:div w:id="1158309341">
          <w:marLeft w:val="0"/>
          <w:marRight w:val="0"/>
          <w:marTop w:val="0"/>
          <w:marBottom w:val="0"/>
          <w:divBdr>
            <w:top w:val="none" w:sz="0" w:space="0" w:color="auto"/>
            <w:left w:val="none" w:sz="0" w:space="0" w:color="auto"/>
            <w:bottom w:val="none" w:sz="0" w:space="0" w:color="auto"/>
            <w:right w:val="none" w:sz="0" w:space="0" w:color="auto"/>
          </w:divBdr>
          <w:divsChild>
            <w:div w:id="709038310">
              <w:marLeft w:val="0"/>
              <w:marRight w:val="0"/>
              <w:marTop w:val="0"/>
              <w:marBottom w:val="0"/>
              <w:divBdr>
                <w:top w:val="none" w:sz="0" w:space="0" w:color="auto"/>
                <w:left w:val="none" w:sz="0" w:space="0" w:color="auto"/>
                <w:bottom w:val="none" w:sz="0" w:space="0" w:color="auto"/>
                <w:right w:val="none" w:sz="0" w:space="0" w:color="auto"/>
              </w:divBdr>
              <w:divsChild>
                <w:div w:id="61566618">
                  <w:marLeft w:val="0"/>
                  <w:marRight w:val="0"/>
                  <w:marTop w:val="0"/>
                  <w:marBottom w:val="0"/>
                  <w:divBdr>
                    <w:top w:val="none" w:sz="0" w:space="0" w:color="auto"/>
                    <w:left w:val="none" w:sz="0" w:space="0" w:color="auto"/>
                    <w:bottom w:val="none" w:sz="0" w:space="0" w:color="auto"/>
                    <w:right w:val="none" w:sz="0" w:space="0" w:color="auto"/>
                  </w:divBdr>
                  <w:divsChild>
                    <w:div w:id="14083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72105">
      <w:bodyDiv w:val="1"/>
      <w:marLeft w:val="0"/>
      <w:marRight w:val="0"/>
      <w:marTop w:val="0"/>
      <w:marBottom w:val="0"/>
      <w:divBdr>
        <w:top w:val="none" w:sz="0" w:space="0" w:color="auto"/>
        <w:left w:val="none" w:sz="0" w:space="0" w:color="auto"/>
        <w:bottom w:val="none" w:sz="0" w:space="0" w:color="auto"/>
        <w:right w:val="none" w:sz="0" w:space="0" w:color="auto"/>
      </w:divBdr>
    </w:div>
    <w:div w:id="89006520">
      <w:bodyDiv w:val="1"/>
      <w:marLeft w:val="0"/>
      <w:marRight w:val="0"/>
      <w:marTop w:val="0"/>
      <w:marBottom w:val="0"/>
      <w:divBdr>
        <w:top w:val="none" w:sz="0" w:space="0" w:color="auto"/>
        <w:left w:val="none" w:sz="0" w:space="0" w:color="auto"/>
        <w:bottom w:val="none" w:sz="0" w:space="0" w:color="auto"/>
        <w:right w:val="none" w:sz="0" w:space="0" w:color="auto"/>
      </w:divBdr>
      <w:divsChild>
        <w:div w:id="2024622762">
          <w:marLeft w:val="0"/>
          <w:marRight w:val="0"/>
          <w:marTop w:val="0"/>
          <w:marBottom w:val="0"/>
          <w:divBdr>
            <w:top w:val="none" w:sz="0" w:space="0" w:color="auto"/>
            <w:left w:val="none" w:sz="0" w:space="0" w:color="auto"/>
            <w:bottom w:val="none" w:sz="0" w:space="0" w:color="auto"/>
            <w:right w:val="none" w:sz="0" w:space="0" w:color="auto"/>
          </w:divBdr>
          <w:divsChild>
            <w:div w:id="1958560736">
              <w:marLeft w:val="0"/>
              <w:marRight w:val="0"/>
              <w:marTop w:val="0"/>
              <w:marBottom w:val="0"/>
              <w:divBdr>
                <w:top w:val="none" w:sz="0" w:space="0" w:color="auto"/>
                <w:left w:val="none" w:sz="0" w:space="0" w:color="auto"/>
                <w:bottom w:val="none" w:sz="0" w:space="0" w:color="auto"/>
                <w:right w:val="none" w:sz="0" w:space="0" w:color="auto"/>
              </w:divBdr>
              <w:divsChild>
                <w:div w:id="46220823">
                  <w:marLeft w:val="0"/>
                  <w:marRight w:val="0"/>
                  <w:marTop w:val="0"/>
                  <w:marBottom w:val="0"/>
                  <w:divBdr>
                    <w:top w:val="none" w:sz="0" w:space="0" w:color="auto"/>
                    <w:left w:val="none" w:sz="0" w:space="0" w:color="auto"/>
                    <w:bottom w:val="none" w:sz="0" w:space="0" w:color="auto"/>
                    <w:right w:val="none" w:sz="0" w:space="0" w:color="auto"/>
                  </w:divBdr>
                  <w:divsChild>
                    <w:div w:id="14695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32794">
      <w:bodyDiv w:val="1"/>
      <w:marLeft w:val="0"/>
      <w:marRight w:val="0"/>
      <w:marTop w:val="0"/>
      <w:marBottom w:val="0"/>
      <w:divBdr>
        <w:top w:val="none" w:sz="0" w:space="0" w:color="auto"/>
        <w:left w:val="none" w:sz="0" w:space="0" w:color="auto"/>
        <w:bottom w:val="none" w:sz="0" w:space="0" w:color="auto"/>
        <w:right w:val="none" w:sz="0" w:space="0" w:color="auto"/>
      </w:divBdr>
    </w:div>
    <w:div w:id="113794033">
      <w:bodyDiv w:val="1"/>
      <w:marLeft w:val="0"/>
      <w:marRight w:val="0"/>
      <w:marTop w:val="0"/>
      <w:marBottom w:val="0"/>
      <w:divBdr>
        <w:top w:val="none" w:sz="0" w:space="0" w:color="auto"/>
        <w:left w:val="none" w:sz="0" w:space="0" w:color="auto"/>
        <w:bottom w:val="none" w:sz="0" w:space="0" w:color="auto"/>
        <w:right w:val="none" w:sz="0" w:space="0" w:color="auto"/>
      </w:divBdr>
      <w:divsChild>
        <w:div w:id="1818305285">
          <w:marLeft w:val="0"/>
          <w:marRight w:val="0"/>
          <w:marTop w:val="0"/>
          <w:marBottom w:val="0"/>
          <w:divBdr>
            <w:top w:val="none" w:sz="0" w:space="0" w:color="auto"/>
            <w:left w:val="none" w:sz="0" w:space="0" w:color="auto"/>
            <w:bottom w:val="none" w:sz="0" w:space="0" w:color="auto"/>
            <w:right w:val="none" w:sz="0" w:space="0" w:color="auto"/>
          </w:divBdr>
          <w:divsChild>
            <w:div w:id="1440682602">
              <w:marLeft w:val="0"/>
              <w:marRight w:val="0"/>
              <w:marTop w:val="0"/>
              <w:marBottom w:val="0"/>
              <w:divBdr>
                <w:top w:val="none" w:sz="0" w:space="0" w:color="auto"/>
                <w:left w:val="none" w:sz="0" w:space="0" w:color="auto"/>
                <w:bottom w:val="none" w:sz="0" w:space="0" w:color="auto"/>
                <w:right w:val="none" w:sz="0" w:space="0" w:color="auto"/>
              </w:divBdr>
              <w:divsChild>
                <w:div w:id="555899472">
                  <w:marLeft w:val="0"/>
                  <w:marRight w:val="0"/>
                  <w:marTop w:val="0"/>
                  <w:marBottom w:val="0"/>
                  <w:divBdr>
                    <w:top w:val="none" w:sz="0" w:space="0" w:color="auto"/>
                    <w:left w:val="none" w:sz="0" w:space="0" w:color="auto"/>
                    <w:bottom w:val="none" w:sz="0" w:space="0" w:color="auto"/>
                    <w:right w:val="none" w:sz="0" w:space="0" w:color="auto"/>
                  </w:divBdr>
                  <w:divsChild>
                    <w:div w:id="817454741">
                      <w:marLeft w:val="0"/>
                      <w:marRight w:val="0"/>
                      <w:marTop w:val="0"/>
                      <w:marBottom w:val="0"/>
                      <w:divBdr>
                        <w:top w:val="none" w:sz="0" w:space="0" w:color="auto"/>
                        <w:left w:val="none" w:sz="0" w:space="0" w:color="auto"/>
                        <w:bottom w:val="none" w:sz="0" w:space="0" w:color="auto"/>
                        <w:right w:val="none" w:sz="0" w:space="0" w:color="auto"/>
                      </w:divBdr>
                      <w:divsChild>
                        <w:div w:id="11936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77068">
      <w:bodyDiv w:val="1"/>
      <w:marLeft w:val="0"/>
      <w:marRight w:val="0"/>
      <w:marTop w:val="0"/>
      <w:marBottom w:val="0"/>
      <w:divBdr>
        <w:top w:val="none" w:sz="0" w:space="0" w:color="auto"/>
        <w:left w:val="none" w:sz="0" w:space="0" w:color="auto"/>
        <w:bottom w:val="none" w:sz="0" w:space="0" w:color="auto"/>
        <w:right w:val="none" w:sz="0" w:space="0" w:color="auto"/>
      </w:divBdr>
    </w:div>
    <w:div w:id="125128310">
      <w:bodyDiv w:val="1"/>
      <w:marLeft w:val="0"/>
      <w:marRight w:val="0"/>
      <w:marTop w:val="0"/>
      <w:marBottom w:val="0"/>
      <w:divBdr>
        <w:top w:val="none" w:sz="0" w:space="0" w:color="auto"/>
        <w:left w:val="none" w:sz="0" w:space="0" w:color="auto"/>
        <w:bottom w:val="none" w:sz="0" w:space="0" w:color="auto"/>
        <w:right w:val="none" w:sz="0" w:space="0" w:color="auto"/>
      </w:divBdr>
      <w:divsChild>
        <w:div w:id="2117405874">
          <w:marLeft w:val="0"/>
          <w:marRight w:val="0"/>
          <w:marTop w:val="0"/>
          <w:marBottom w:val="0"/>
          <w:divBdr>
            <w:top w:val="none" w:sz="0" w:space="0" w:color="auto"/>
            <w:left w:val="none" w:sz="0" w:space="0" w:color="auto"/>
            <w:bottom w:val="none" w:sz="0" w:space="0" w:color="auto"/>
            <w:right w:val="none" w:sz="0" w:space="0" w:color="auto"/>
          </w:divBdr>
          <w:divsChild>
            <w:div w:id="1974167392">
              <w:marLeft w:val="0"/>
              <w:marRight w:val="0"/>
              <w:marTop w:val="0"/>
              <w:marBottom w:val="0"/>
              <w:divBdr>
                <w:top w:val="none" w:sz="0" w:space="0" w:color="auto"/>
                <w:left w:val="none" w:sz="0" w:space="0" w:color="auto"/>
                <w:bottom w:val="none" w:sz="0" w:space="0" w:color="auto"/>
                <w:right w:val="none" w:sz="0" w:space="0" w:color="auto"/>
              </w:divBdr>
              <w:divsChild>
                <w:div w:id="1111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218">
      <w:bodyDiv w:val="1"/>
      <w:marLeft w:val="0"/>
      <w:marRight w:val="0"/>
      <w:marTop w:val="0"/>
      <w:marBottom w:val="0"/>
      <w:divBdr>
        <w:top w:val="none" w:sz="0" w:space="0" w:color="auto"/>
        <w:left w:val="none" w:sz="0" w:space="0" w:color="auto"/>
        <w:bottom w:val="none" w:sz="0" w:space="0" w:color="auto"/>
        <w:right w:val="none" w:sz="0" w:space="0" w:color="auto"/>
      </w:divBdr>
    </w:div>
    <w:div w:id="132530354">
      <w:bodyDiv w:val="1"/>
      <w:marLeft w:val="0"/>
      <w:marRight w:val="0"/>
      <w:marTop w:val="0"/>
      <w:marBottom w:val="0"/>
      <w:divBdr>
        <w:top w:val="none" w:sz="0" w:space="0" w:color="auto"/>
        <w:left w:val="none" w:sz="0" w:space="0" w:color="auto"/>
        <w:bottom w:val="none" w:sz="0" w:space="0" w:color="auto"/>
        <w:right w:val="none" w:sz="0" w:space="0" w:color="auto"/>
      </w:divBdr>
    </w:div>
    <w:div w:id="133835648">
      <w:bodyDiv w:val="1"/>
      <w:marLeft w:val="0"/>
      <w:marRight w:val="0"/>
      <w:marTop w:val="0"/>
      <w:marBottom w:val="0"/>
      <w:divBdr>
        <w:top w:val="none" w:sz="0" w:space="0" w:color="auto"/>
        <w:left w:val="none" w:sz="0" w:space="0" w:color="auto"/>
        <w:bottom w:val="none" w:sz="0" w:space="0" w:color="auto"/>
        <w:right w:val="none" w:sz="0" w:space="0" w:color="auto"/>
      </w:divBdr>
      <w:divsChild>
        <w:div w:id="1833831718">
          <w:marLeft w:val="0"/>
          <w:marRight w:val="0"/>
          <w:marTop w:val="0"/>
          <w:marBottom w:val="0"/>
          <w:divBdr>
            <w:top w:val="none" w:sz="0" w:space="0" w:color="auto"/>
            <w:left w:val="none" w:sz="0" w:space="0" w:color="auto"/>
            <w:bottom w:val="none" w:sz="0" w:space="0" w:color="auto"/>
            <w:right w:val="none" w:sz="0" w:space="0" w:color="auto"/>
          </w:divBdr>
          <w:divsChild>
            <w:div w:id="1826237539">
              <w:marLeft w:val="0"/>
              <w:marRight w:val="0"/>
              <w:marTop w:val="0"/>
              <w:marBottom w:val="0"/>
              <w:divBdr>
                <w:top w:val="none" w:sz="0" w:space="0" w:color="auto"/>
                <w:left w:val="none" w:sz="0" w:space="0" w:color="auto"/>
                <w:bottom w:val="none" w:sz="0" w:space="0" w:color="auto"/>
                <w:right w:val="none" w:sz="0" w:space="0" w:color="auto"/>
              </w:divBdr>
              <w:divsChild>
                <w:div w:id="3211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0585">
      <w:bodyDiv w:val="1"/>
      <w:marLeft w:val="0"/>
      <w:marRight w:val="0"/>
      <w:marTop w:val="0"/>
      <w:marBottom w:val="0"/>
      <w:divBdr>
        <w:top w:val="none" w:sz="0" w:space="0" w:color="auto"/>
        <w:left w:val="none" w:sz="0" w:space="0" w:color="auto"/>
        <w:bottom w:val="none" w:sz="0" w:space="0" w:color="auto"/>
        <w:right w:val="none" w:sz="0" w:space="0" w:color="auto"/>
      </w:divBdr>
    </w:div>
    <w:div w:id="139075623">
      <w:bodyDiv w:val="1"/>
      <w:marLeft w:val="0"/>
      <w:marRight w:val="0"/>
      <w:marTop w:val="0"/>
      <w:marBottom w:val="0"/>
      <w:divBdr>
        <w:top w:val="none" w:sz="0" w:space="0" w:color="auto"/>
        <w:left w:val="none" w:sz="0" w:space="0" w:color="auto"/>
        <w:bottom w:val="none" w:sz="0" w:space="0" w:color="auto"/>
        <w:right w:val="none" w:sz="0" w:space="0" w:color="auto"/>
      </w:divBdr>
      <w:divsChild>
        <w:div w:id="373627515">
          <w:marLeft w:val="0"/>
          <w:marRight w:val="0"/>
          <w:marTop w:val="0"/>
          <w:marBottom w:val="0"/>
          <w:divBdr>
            <w:top w:val="none" w:sz="0" w:space="0" w:color="auto"/>
            <w:left w:val="none" w:sz="0" w:space="0" w:color="auto"/>
            <w:bottom w:val="none" w:sz="0" w:space="0" w:color="auto"/>
            <w:right w:val="none" w:sz="0" w:space="0" w:color="auto"/>
          </w:divBdr>
        </w:div>
        <w:div w:id="1298339574">
          <w:marLeft w:val="0"/>
          <w:marRight w:val="0"/>
          <w:marTop w:val="0"/>
          <w:marBottom w:val="0"/>
          <w:divBdr>
            <w:top w:val="none" w:sz="0" w:space="0" w:color="auto"/>
            <w:left w:val="none" w:sz="0" w:space="0" w:color="auto"/>
            <w:bottom w:val="none" w:sz="0" w:space="0" w:color="auto"/>
            <w:right w:val="none" w:sz="0" w:space="0" w:color="auto"/>
          </w:divBdr>
        </w:div>
        <w:div w:id="1786994749">
          <w:marLeft w:val="0"/>
          <w:marRight w:val="0"/>
          <w:marTop w:val="0"/>
          <w:marBottom w:val="0"/>
          <w:divBdr>
            <w:top w:val="none" w:sz="0" w:space="0" w:color="auto"/>
            <w:left w:val="none" w:sz="0" w:space="0" w:color="auto"/>
            <w:bottom w:val="none" w:sz="0" w:space="0" w:color="auto"/>
            <w:right w:val="none" w:sz="0" w:space="0" w:color="auto"/>
          </w:divBdr>
        </w:div>
        <w:div w:id="1967589189">
          <w:marLeft w:val="0"/>
          <w:marRight w:val="0"/>
          <w:marTop w:val="0"/>
          <w:marBottom w:val="0"/>
          <w:divBdr>
            <w:top w:val="none" w:sz="0" w:space="0" w:color="auto"/>
            <w:left w:val="none" w:sz="0" w:space="0" w:color="auto"/>
            <w:bottom w:val="none" w:sz="0" w:space="0" w:color="auto"/>
            <w:right w:val="none" w:sz="0" w:space="0" w:color="auto"/>
          </w:divBdr>
        </w:div>
        <w:div w:id="2082438713">
          <w:marLeft w:val="0"/>
          <w:marRight w:val="0"/>
          <w:marTop w:val="0"/>
          <w:marBottom w:val="0"/>
          <w:divBdr>
            <w:top w:val="none" w:sz="0" w:space="0" w:color="auto"/>
            <w:left w:val="none" w:sz="0" w:space="0" w:color="auto"/>
            <w:bottom w:val="none" w:sz="0" w:space="0" w:color="auto"/>
            <w:right w:val="none" w:sz="0" w:space="0" w:color="auto"/>
          </w:divBdr>
        </w:div>
      </w:divsChild>
    </w:div>
    <w:div w:id="140732482">
      <w:bodyDiv w:val="1"/>
      <w:marLeft w:val="0"/>
      <w:marRight w:val="0"/>
      <w:marTop w:val="0"/>
      <w:marBottom w:val="0"/>
      <w:divBdr>
        <w:top w:val="none" w:sz="0" w:space="0" w:color="auto"/>
        <w:left w:val="none" w:sz="0" w:space="0" w:color="auto"/>
        <w:bottom w:val="none" w:sz="0" w:space="0" w:color="auto"/>
        <w:right w:val="none" w:sz="0" w:space="0" w:color="auto"/>
      </w:divBdr>
    </w:div>
    <w:div w:id="161818266">
      <w:bodyDiv w:val="1"/>
      <w:marLeft w:val="0"/>
      <w:marRight w:val="0"/>
      <w:marTop w:val="0"/>
      <w:marBottom w:val="0"/>
      <w:divBdr>
        <w:top w:val="none" w:sz="0" w:space="0" w:color="auto"/>
        <w:left w:val="none" w:sz="0" w:space="0" w:color="auto"/>
        <w:bottom w:val="none" w:sz="0" w:space="0" w:color="auto"/>
        <w:right w:val="none" w:sz="0" w:space="0" w:color="auto"/>
      </w:divBdr>
    </w:div>
    <w:div w:id="163009321">
      <w:bodyDiv w:val="1"/>
      <w:marLeft w:val="0"/>
      <w:marRight w:val="0"/>
      <w:marTop w:val="0"/>
      <w:marBottom w:val="0"/>
      <w:divBdr>
        <w:top w:val="none" w:sz="0" w:space="0" w:color="auto"/>
        <w:left w:val="none" w:sz="0" w:space="0" w:color="auto"/>
        <w:bottom w:val="none" w:sz="0" w:space="0" w:color="auto"/>
        <w:right w:val="none" w:sz="0" w:space="0" w:color="auto"/>
      </w:divBdr>
    </w:div>
    <w:div w:id="174881176">
      <w:bodyDiv w:val="1"/>
      <w:marLeft w:val="0"/>
      <w:marRight w:val="0"/>
      <w:marTop w:val="0"/>
      <w:marBottom w:val="0"/>
      <w:divBdr>
        <w:top w:val="none" w:sz="0" w:space="0" w:color="auto"/>
        <w:left w:val="none" w:sz="0" w:space="0" w:color="auto"/>
        <w:bottom w:val="none" w:sz="0" w:space="0" w:color="auto"/>
        <w:right w:val="none" w:sz="0" w:space="0" w:color="auto"/>
      </w:divBdr>
      <w:divsChild>
        <w:div w:id="1484741405">
          <w:marLeft w:val="0"/>
          <w:marRight w:val="0"/>
          <w:marTop w:val="0"/>
          <w:marBottom w:val="0"/>
          <w:divBdr>
            <w:top w:val="none" w:sz="0" w:space="0" w:color="auto"/>
            <w:left w:val="none" w:sz="0" w:space="0" w:color="auto"/>
            <w:bottom w:val="none" w:sz="0" w:space="0" w:color="auto"/>
            <w:right w:val="none" w:sz="0" w:space="0" w:color="auto"/>
          </w:divBdr>
          <w:divsChild>
            <w:div w:id="1292638799">
              <w:marLeft w:val="0"/>
              <w:marRight w:val="0"/>
              <w:marTop w:val="0"/>
              <w:marBottom w:val="0"/>
              <w:divBdr>
                <w:top w:val="none" w:sz="0" w:space="0" w:color="auto"/>
                <w:left w:val="none" w:sz="0" w:space="0" w:color="auto"/>
                <w:bottom w:val="none" w:sz="0" w:space="0" w:color="auto"/>
                <w:right w:val="none" w:sz="0" w:space="0" w:color="auto"/>
              </w:divBdr>
              <w:divsChild>
                <w:div w:id="8368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1344">
      <w:bodyDiv w:val="1"/>
      <w:marLeft w:val="0"/>
      <w:marRight w:val="0"/>
      <w:marTop w:val="0"/>
      <w:marBottom w:val="0"/>
      <w:divBdr>
        <w:top w:val="none" w:sz="0" w:space="0" w:color="auto"/>
        <w:left w:val="none" w:sz="0" w:space="0" w:color="auto"/>
        <w:bottom w:val="none" w:sz="0" w:space="0" w:color="auto"/>
        <w:right w:val="none" w:sz="0" w:space="0" w:color="auto"/>
      </w:divBdr>
    </w:div>
    <w:div w:id="205338887">
      <w:bodyDiv w:val="1"/>
      <w:marLeft w:val="0"/>
      <w:marRight w:val="0"/>
      <w:marTop w:val="0"/>
      <w:marBottom w:val="0"/>
      <w:divBdr>
        <w:top w:val="none" w:sz="0" w:space="0" w:color="auto"/>
        <w:left w:val="none" w:sz="0" w:space="0" w:color="auto"/>
        <w:bottom w:val="none" w:sz="0" w:space="0" w:color="auto"/>
        <w:right w:val="none" w:sz="0" w:space="0" w:color="auto"/>
      </w:divBdr>
    </w:div>
    <w:div w:id="220480048">
      <w:bodyDiv w:val="1"/>
      <w:marLeft w:val="0"/>
      <w:marRight w:val="0"/>
      <w:marTop w:val="0"/>
      <w:marBottom w:val="0"/>
      <w:divBdr>
        <w:top w:val="none" w:sz="0" w:space="0" w:color="auto"/>
        <w:left w:val="none" w:sz="0" w:space="0" w:color="auto"/>
        <w:bottom w:val="none" w:sz="0" w:space="0" w:color="auto"/>
        <w:right w:val="none" w:sz="0" w:space="0" w:color="auto"/>
      </w:divBdr>
    </w:div>
    <w:div w:id="238251676">
      <w:bodyDiv w:val="1"/>
      <w:marLeft w:val="0"/>
      <w:marRight w:val="0"/>
      <w:marTop w:val="0"/>
      <w:marBottom w:val="0"/>
      <w:divBdr>
        <w:top w:val="none" w:sz="0" w:space="0" w:color="auto"/>
        <w:left w:val="none" w:sz="0" w:space="0" w:color="auto"/>
        <w:bottom w:val="none" w:sz="0" w:space="0" w:color="auto"/>
        <w:right w:val="none" w:sz="0" w:space="0" w:color="auto"/>
      </w:divBdr>
      <w:divsChild>
        <w:div w:id="1740514674">
          <w:marLeft w:val="0"/>
          <w:marRight w:val="0"/>
          <w:marTop w:val="0"/>
          <w:marBottom w:val="0"/>
          <w:divBdr>
            <w:top w:val="none" w:sz="0" w:space="0" w:color="auto"/>
            <w:left w:val="none" w:sz="0" w:space="0" w:color="auto"/>
            <w:bottom w:val="none" w:sz="0" w:space="0" w:color="auto"/>
            <w:right w:val="none" w:sz="0" w:space="0" w:color="auto"/>
          </w:divBdr>
          <w:divsChild>
            <w:div w:id="61762103">
              <w:marLeft w:val="0"/>
              <w:marRight w:val="0"/>
              <w:marTop w:val="0"/>
              <w:marBottom w:val="0"/>
              <w:divBdr>
                <w:top w:val="none" w:sz="0" w:space="0" w:color="auto"/>
                <w:left w:val="none" w:sz="0" w:space="0" w:color="auto"/>
                <w:bottom w:val="none" w:sz="0" w:space="0" w:color="auto"/>
                <w:right w:val="none" w:sz="0" w:space="0" w:color="auto"/>
              </w:divBdr>
              <w:divsChild>
                <w:div w:id="602615307">
                  <w:marLeft w:val="0"/>
                  <w:marRight w:val="0"/>
                  <w:marTop w:val="0"/>
                  <w:marBottom w:val="0"/>
                  <w:divBdr>
                    <w:top w:val="none" w:sz="0" w:space="0" w:color="auto"/>
                    <w:left w:val="none" w:sz="0" w:space="0" w:color="auto"/>
                    <w:bottom w:val="none" w:sz="0" w:space="0" w:color="auto"/>
                    <w:right w:val="none" w:sz="0" w:space="0" w:color="auto"/>
                  </w:divBdr>
                  <w:divsChild>
                    <w:div w:id="19683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9696">
      <w:bodyDiv w:val="1"/>
      <w:marLeft w:val="0"/>
      <w:marRight w:val="0"/>
      <w:marTop w:val="0"/>
      <w:marBottom w:val="0"/>
      <w:divBdr>
        <w:top w:val="none" w:sz="0" w:space="0" w:color="auto"/>
        <w:left w:val="none" w:sz="0" w:space="0" w:color="auto"/>
        <w:bottom w:val="none" w:sz="0" w:space="0" w:color="auto"/>
        <w:right w:val="none" w:sz="0" w:space="0" w:color="auto"/>
      </w:divBdr>
    </w:div>
    <w:div w:id="249121190">
      <w:bodyDiv w:val="1"/>
      <w:marLeft w:val="0"/>
      <w:marRight w:val="0"/>
      <w:marTop w:val="0"/>
      <w:marBottom w:val="0"/>
      <w:divBdr>
        <w:top w:val="none" w:sz="0" w:space="0" w:color="auto"/>
        <w:left w:val="none" w:sz="0" w:space="0" w:color="auto"/>
        <w:bottom w:val="none" w:sz="0" w:space="0" w:color="auto"/>
        <w:right w:val="none" w:sz="0" w:space="0" w:color="auto"/>
      </w:divBdr>
    </w:div>
    <w:div w:id="249847942">
      <w:bodyDiv w:val="1"/>
      <w:marLeft w:val="0"/>
      <w:marRight w:val="0"/>
      <w:marTop w:val="0"/>
      <w:marBottom w:val="0"/>
      <w:divBdr>
        <w:top w:val="none" w:sz="0" w:space="0" w:color="auto"/>
        <w:left w:val="none" w:sz="0" w:space="0" w:color="auto"/>
        <w:bottom w:val="none" w:sz="0" w:space="0" w:color="auto"/>
        <w:right w:val="none" w:sz="0" w:space="0" w:color="auto"/>
      </w:divBdr>
    </w:div>
    <w:div w:id="257298885">
      <w:bodyDiv w:val="1"/>
      <w:marLeft w:val="0"/>
      <w:marRight w:val="0"/>
      <w:marTop w:val="0"/>
      <w:marBottom w:val="0"/>
      <w:divBdr>
        <w:top w:val="none" w:sz="0" w:space="0" w:color="auto"/>
        <w:left w:val="none" w:sz="0" w:space="0" w:color="auto"/>
        <w:bottom w:val="none" w:sz="0" w:space="0" w:color="auto"/>
        <w:right w:val="none" w:sz="0" w:space="0" w:color="auto"/>
      </w:divBdr>
    </w:div>
    <w:div w:id="258148262">
      <w:bodyDiv w:val="1"/>
      <w:marLeft w:val="0"/>
      <w:marRight w:val="0"/>
      <w:marTop w:val="0"/>
      <w:marBottom w:val="0"/>
      <w:divBdr>
        <w:top w:val="none" w:sz="0" w:space="0" w:color="auto"/>
        <w:left w:val="none" w:sz="0" w:space="0" w:color="auto"/>
        <w:bottom w:val="none" w:sz="0" w:space="0" w:color="auto"/>
        <w:right w:val="none" w:sz="0" w:space="0" w:color="auto"/>
      </w:divBdr>
    </w:div>
    <w:div w:id="261769477">
      <w:bodyDiv w:val="1"/>
      <w:marLeft w:val="0"/>
      <w:marRight w:val="0"/>
      <w:marTop w:val="0"/>
      <w:marBottom w:val="0"/>
      <w:divBdr>
        <w:top w:val="none" w:sz="0" w:space="0" w:color="auto"/>
        <w:left w:val="none" w:sz="0" w:space="0" w:color="auto"/>
        <w:bottom w:val="none" w:sz="0" w:space="0" w:color="auto"/>
        <w:right w:val="none" w:sz="0" w:space="0" w:color="auto"/>
      </w:divBdr>
    </w:div>
    <w:div w:id="292566303">
      <w:bodyDiv w:val="1"/>
      <w:marLeft w:val="0"/>
      <w:marRight w:val="0"/>
      <w:marTop w:val="0"/>
      <w:marBottom w:val="0"/>
      <w:divBdr>
        <w:top w:val="none" w:sz="0" w:space="0" w:color="auto"/>
        <w:left w:val="none" w:sz="0" w:space="0" w:color="auto"/>
        <w:bottom w:val="none" w:sz="0" w:space="0" w:color="auto"/>
        <w:right w:val="none" w:sz="0" w:space="0" w:color="auto"/>
      </w:divBdr>
    </w:div>
    <w:div w:id="297028970">
      <w:bodyDiv w:val="1"/>
      <w:marLeft w:val="0"/>
      <w:marRight w:val="0"/>
      <w:marTop w:val="0"/>
      <w:marBottom w:val="0"/>
      <w:divBdr>
        <w:top w:val="none" w:sz="0" w:space="0" w:color="auto"/>
        <w:left w:val="none" w:sz="0" w:space="0" w:color="auto"/>
        <w:bottom w:val="none" w:sz="0" w:space="0" w:color="auto"/>
        <w:right w:val="none" w:sz="0" w:space="0" w:color="auto"/>
      </w:divBdr>
      <w:divsChild>
        <w:div w:id="407843160">
          <w:marLeft w:val="0"/>
          <w:marRight w:val="0"/>
          <w:marTop w:val="0"/>
          <w:marBottom w:val="0"/>
          <w:divBdr>
            <w:top w:val="none" w:sz="0" w:space="0" w:color="auto"/>
            <w:left w:val="none" w:sz="0" w:space="0" w:color="auto"/>
            <w:bottom w:val="none" w:sz="0" w:space="0" w:color="auto"/>
            <w:right w:val="none" w:sz="0" w:space="0" w:color="auto"/>
          </w:divBdr>
          <w:divsChild>
            <w:div w:id="1471244666">
              <w:marLeft w:val="0"/>
              <w:marRight w:val="0"/>
              <w:marTop w:val="0"/>
              <w:marBottom w:val="0"/>
              <w:divBdr>
                <w:top w:val="none" w:sz="0" w:space="0" w:color="auto"/>
                <w:left w:val="none" w:sz="0" w:space="0" w:color="auto"/>
                <w:bottom w:val="none" w:sz="0" w:space="0" w:color="auto"/>
                <w:right w:val="none" w:sz="0" w:space="0" w:color="auto"/>
              </w:divBdr>
              <w:divsChild>
                <w:div w:id="7422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3641">
      <w:bodyDiv w:val="1"/>
      <w:marLeft w:val="0"/>
      <w:marRight w:val="0"/>
      <w:marTop w:val="0"/>
      <w:marBottom w:val="0"/>
      <w:divBdr>
        <w:top w:val="none" w:sz="0" w:space="0" w:color="auto"/>
        <w:left w:val="none" w:sz="0" w:space="0" w:color="auto"/>
        <w:bottom w:val="none" w:sz="0" w:space="0" w:color="auto"/>
        <w:right w:val="none" w:sz="0" w:space="0" w:color="auto"/>
      </w:divBdr>
    </w:div>
    <w:div w:id="310447021">
      <w:bodyDiv w:val="1"/>
      <w:marLeft w:val="0"/>
      <w:marRight w:val="0"/>
      <w:marTop w:val="0"/>
      <w:marBottom w:val="0"/>
      <w:divBdr>
        <w:top w:val="none" w:sz="0" w:space="0" w:color="auto"/>
        <w:left w:val="none" w:sz="0" w:space="0" w:color="auto"/>
        <w:bottom w:val="none" w:sz="0" w:space="0" w:color="auto"/>
        <w:right w:val="none" w:sz="0" w:space="0" w:color="auto"/>
      </w:divBdr>
    </w:div>
    <w:div w:id="320232652">
      <w:bodyDiv w:val="1"/>
      <w:marLeft w:val="0"/>
      <w:marRight w:val="0"/>
      <w:marTop w:val="0"/>
      <w:marBottom w:val="0"/>
      <w:divBdr>
        <w:top w:val="none" w:sz="0" w:space="0" w:color="auto"/>
        <w:left w:val="none" w:sz="0" w:space="0" w:color="auto"/>
        <w:bottom w:val="none" w:sz="0" w:space="0" w:color="auto"/>
        <w:right w:val="none" w:sz="0" w:space="0" w:color="auto"/>
      </w:divBdr>
    </w:div>
    <w:div w:id="323365368">
      <w:bodyDiv w:val="1"/>
      <w:marLeft w:val="0"/>
      <w:marRight w:val="0"/>
      <w:marTop w:val="0"/>
      <w:marBottom w:val="0"/>
      <w:divBdr>
        <w:top w:val="none" w:sz="0" w:space="0" w:color="auto"/>
        <w:left w:val="none" w:sz="0" w:space="0" w:color="auto"/>
        <w:bottom w:val="none" w:sz="0" w:space="0" w:color="auto"/>
        <w:right w:val="none" w:sz="0" w:space="0" w:color="auto"/>
      </w:divBdr>
      <w:divsChild>
        <w:div w:id="675814592">
          <w:marLeft w:val="0"/>
          <w:marRight w:val="0"/>
          <w:marTop w:val="0"/>
          <w:marBottom w:val="0"/>
          <w:divBdr>
            <w:top w:val="none" w:sz="0" w:space="0" w:color="auto"/>
            <w:left w:val="none" w:sz="0" w:space="0" w:color="auto"/>
            <w:bottom w:val="none" w:sz="0" w:space="0" w:color="auto"/>
            <w:right w:val="none" w:sz="0" w:space="0" w:color="auto"/>
          </w:divBdr>
          <w:divsChild>
            <w:div w:id="1661419545">
              <w:marLeft w:val="0"/>
              <w:marRight w:val="0"/>
              <w:marTop w:val="0"/>
              <w:marBottom w:val="0"/>
              <w:divBdr>
                <w:top w:val="none" w:sz="0" w:space="0" w:color="auto"/>
                <w:left w:val="none" w:sz="0" w:space="0" w:color="auto"/>
                <w:bottom w:val="none" w:sz="0" w:space="0" w:color="auto"/>
                <w:right w:val="none" w:sz="0" w:space="0" w:color="auto"/>
              </w:divBdr>
              <w:divsChild>
                <w:div w:id="2028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24766">
      <w:bodyDiv w:val="1"/>
      <w:marLeft w:val="0"/>
      <w:marRight w:val="0"/>
      <w:marTop w:val="0"/>
      <w:marBottom w:val="0"/>
      <w:divBdr>
        <w:top w:val="none" w:sz="0" w:space="0" w:color="auto"/>
        <w:left w:val="none" w:sz="0" w:space="0" w:color="auto"/>
        <w:bottom w:val="none" w:sz="0" w:space="0" w:color="auto"/>
        <w:right w:val="none" w:sz="0" w:space="0" w:color="auto"/>
      </w:divBdr>
    </w:div>
    <w:div w:id="327947102">
      <w:bodyDiv w:val="1"/>
      <w:marLeft w:val="0"/>
      <w:marRight w:val="0"/>
      <w:marTop w:val="0"/>
      <w:marBottom w:val="0"/>
      <w:divBdr>
        <w:top w:val="none" w:sz="0" w:space="0" w:color="auto"/>
        <w:left w:val="none" w:sz="0" w:space="0" w:color="auto"/>
        <w:bottom w:val="none" w:sz="0" w:space="0" w:color="auto"/>
        <w:right w:val="none" w:sz="0" w:space="0" w:color="auto"/>
      </w:divBdr>
    </w:div>
    <w:div w:id="340352893">
      <w:bodyDiv w:val="1"/>
      <w:marLeft w:val="0"/>
      <w:marRight w:val="0"/>
      <w:marTop w:val="0"/>
      <w:marBottom w:val="0"/>
      <w:divBdr>
        <w:top w:val="none" w:sz="0" w:space="0" w:color="auto"/>
        <w:left w:val="none" w:sz="0" w:space="0" w:color="auto"/>
        <w:bottom w:val="none" w:sz="0" w:space="0" w:color="auto"/>
        <w:right w:val="none" w:sz="0" w:space="0" w:color="auto"/>
      </w:divBdr>
      <w:divsChild>
        <w:div w:id="1758750104">
          <w:marLeft w:val="0"/>
          <w:marRight w:val="0"/>
          <w:marTop w:val="0"/>
          <w:marBottom w:val="0"/>
          <w:divBdr>
            <w:top w:val="none" w:sz="0" w:space="0" w:color="auto"/>
            <w:left w:val="none" w:sz="0" w:space="0" w:color="auto"/>
            <w:bottom w:val="none" w:sz="0" w:space="0" w:color="auto"/>
            <w:right w:val="none" w:sz="0" w:space="0" w:color="auto"/>
          </w:divBdr>
          <w:divsChild>
            <w:div w:id="1293947474">
              <w:marLeft w:val="0"/>
              <w:marRight w:val="0"/>
              <w:marTop w:val="0"/>
              <w:marBottom w:val="0"/>
              <w:divBdr>
                <w:top w:val="none" w:sz="0" w:space="0" w:color="auto"/>
                <w:left w:val="none" w:sz="0" w:space="0" w:color="auto"/>
                <w:bottom w:val="none" w:sz="0" w:space="0" w:color="auto"/>
                <w:right w:val="none" w:sz="0" w:space="0" w:color="auto"/>
              </w:divBdr>
              <w:divsChild>
                <w:div w:id="2618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76041">
      <w:bodyDiv w:val="1"/>
      <w:marLeft w:val="0"/>
      <w:marRight w:val="0"/>
      <w:marTop w:val="0"/>
      <w:marBottom w:val="0"/>
      <w:divBdr>
        <w:top w:val="none" w:sz="0" w:space="0" w:color="auto"/>
        <w:left w:val="none" w:sz="0" w:space="0" w:color="auto"/>
        <w:bottom w:val="none" w:sz="0" w:space="0" w:color="auto"/>
        <w:right w:val="none" w:sz="0" w:space="0" w:color="auto"/>
      </w:divBdr>
      <w:divsChild>
        <w:div w:id="1948000782">
          <w:marLeft w:val="0"/>
          <w:marRight w:val="0"/>
          <w:marTop w:val="0"/>
          <w:marBottom w:val="0"/>
          <w:divBdr>
            <w:top w:val="none" w:sz="0" w:space="0" w:color="auto"/>
            <w:left w:val="none" w:sz="0" w:space="0" w:color="auto"/>
            <w:bottom w:val="none" w:sz="0" w:space="0" w:color="auto"/>
            <w:right w:val="none" w:sz="0" w:space="0" w:color="auto"/>
          </w:divBdr>
          <w:divsChild>
            <w:div w:id="2053966842">
              <w:marLeft w:val="0"/>
              <w:marRight w:val="0"/>
              <w:marTop w:val="0"/>
              <w:marBottom w:val="0"/>
              <w:divBdr>
                <w:top w:val="none" w:sz="0" w:space="0" w:color="auto"/>
                <w:left w:val="none" w:sz="0" w:space="0" w:color="auto"/>
                <w:bottom w:val="none" w:sz="0" w:space="0" w:color="auto"/>
                <w:right w:val="none" w:sz="0" w:space="0" w:color="auto"/>
              </w:divBdr>
              <w:divsChild>
                <w:div w:id="126668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366484">
      <w:bodyDiv w:val="1"/>
      <w:marLeft w:val="0"/>
      <w:marRight w:val="0"/>
      <w:marTop w:val="0"/>
      <w:marBottom w:val="0"/>
      <w:divBdr>
        <w:top w:val="none" w:sz="0" w:space="0" w:color="auto"/>
        <w:left w:val="none" w:sz="0" w:space="0" w:color="auto"/>
        <w:bottom w:val="none" w:sz="0" w:space="0" w:color="auto"/>
        <w:right w:val="none" w:sz="0" w:space="0" w:color="auto"/>
      </w:divBdr>
    </w:div>
    <w:div w:id="378284631">
      <w:bodyDiv w:val="1"/>
      <w:marLeft w:val="0"/>
      <w:marRight w:val="0"/>
      <w:marTop w:val="0"/>
      <w:marBottom w:val="0"/>
      <w:divBdr>
        <w:top w:val="none" w:sz="0" w:space="0" w:color="auto"/>
        <w:left w:val="none" w:sz="0" w:space="0" w:color="auto"/>
        <w:bottom w:val="none" w:sz="0" w:space="0" w:color="auto"/>
        <w:right w:val="none" w:sz="0" w:space="0" w:color="auto"/>
      </w:divBdr>
    </w:div>
    <w:div w:id="392504732">
      <w:bodyDiv w:val="1"/>
      <w:marLeft w:val="0"/>
      <w:marRight w:val="0"/>
      <w:marTop w:val="0"/>
      <w:marBottom w:val="0"/>
      <w:divBdr>
        <w:top w:val="none" w:sz="0" w:space="0" w:color="auto"/>
        <w:left w:val="none" w:sz="0" w:space="0" w:color="auto"/>
        <w:bottom w:val="none" w:sz="0" w:space="0" w:color="auto"/>
        <w:right w:val="none" w:sz="0" w:space="0" w:color="auto"/>
      </w:divBdr>
    </w:div>
    <w:div w:id="397676410">
      <w:bodyDiv w:val="1"/>
      <w:marLeft w:val="0"/>
      <w:marRight w:val="0"/>
      <w:marTop w:val="0"/>
      <w:marBottom w:val="0"/>
      <w:divBdr>
        <w:top w:val="none" w:sz="0" w:space="0" w:color="auto"/>
        <w:left w:val="none" w:sz="0" w:space="0" w:color="auto"/>
        <w:bottom w:val="none" w:sz="0" w:space="0" w:color="auto"/>
        <w:right w:val="none" w:sz="0" w:space="0" w:color="auto"/>
      </w:divBdr>
    </w:div>
    <w:div w:id="398138618">
      <w:bodyDiv w:val="1"/>
      <w:marLeft w:val="0"/>
      <w:marRight w:val="0"/>
      <w:marTop w:val="0"/>
      <w:marBottom w:val="0"/>
      <w:divBdr>
        <w:top w:val="none" w:sz="0" w:space="0" w:color="auto"/>
        <w:left w:val="none" w:sz="0" w:space="0" w:color="auto"/>
        <w:bottom w:val="none" w:sz="0" w:space="0" w:color="auto"/>
        <w:right w:val="none" w:sz="0" w:space="0" w:color="auto"/>
      </w:divBdr>
    </w:div>
    <w:div w:id="411464859">
      <w:bodyDiv w:val="1"/>
      <w:marLeft w:val="0"/>
      <w:marRight w:val="0"/>
      <w:marTop w:val="0"/>
      <w:marBottom w:val="0"/>
      <w:divBdr>
        <w:top w:val="none" w:sz="0" w:space="0" w:color="auto"/>
        <w:left w:val="none" w:sz="0" w:space="0" w:color="auto"/>
        <w:bottom w:val="none" w:sz="0" w:space="0" w:color="auto"/>
        <w:right w:val="none" w:sz="0" w:space="0" w:color="auto"/>
      </w:divBdr>
    </w:div>
    <w:div w:id="418672712">
      <w:bodyDiv w:val="1"/>
      <w:marLeft w:val="0"/>
      <w:marRight w:val="0"/>
      <w:marTop w:val="0"/>
      <w:marBottom w:val="0"/>
      <w:divBdr>
        <w:top w:val="none" w:sz="0" w:space="0" w:color="auto"/>
        <w:left w:val="none" w:sz="0" w:space="0" w:color="auto"/>
        <w:bottom w:val="none" w:sz="0" w:space="0" w:color="auto"/>
        <w:right w:val="none" w:sz="0" w:space="0" w:color="auto"/>
      </w:divBdr>
    </w:div>
    <w:div w:id="428695935">
      <w:bodyDiv w:val="1"/>
      <w:marLeft w:val="0"/>
      <w:marRight w:val="0"/>
      <w:marTop w:val="0"/>
      <w:marBottom w:val="0"/>
      <w:divBdr>
        <w:top w:val="none" w:sz="0" w:space="0" w:color="auto"/>
        <w:left w:val="none" w:sz="0" w:space="0" w:color="auto"/>
        <w:bottom w:val="none" w:sz="0" w:space="0" w:color="auto"/>
        <w:right w:val="none" w:sz="0" w:space="0" w:color="auto"/>
      </w:divBdr>
    </w:div>
    <w:div w:id="446316845">
      <w:bodyDiv w:val="1"/>
      <w:marLeft w:val="0"/>
      <w:marRight w:val="0"/>
      <w:marTop w:val="0"/>
      <w:marBottom w:val="0"/>
      <w:divBdr>
        <w:top w:val="none" w:sz="0" w:space="0" w:color="auto"/>
        <w:left w:val="none" w:sz="0" w:space="0" w:color="auto"/>
        <w:bottom w:val="none" w:sz="0" w:space="0" w:color="auto"/>
        <w:right w:val="none" w:sz="0" w:space="0" w:color="auto"/>
      </w:divBdr>
    </w:div>
    <w:div w:id="447822834">
      <w:bodyDiv w:val="1"/>
      <w:marLeft w:val="0"/>
      <w:marRight w:val="0"/>
      <w:marTop w:val="0"/>
      <w:marBottom w:val="0"/>
      <w:divBdr>
        <w:top w:val="none" w:sz="0" w:space="0" w:color="auto"/>
        <w:left w:val="none" w:sz="0" w:space="0" w:color="auto"/>
        <w:bottom w:val="none" w:sz="0" w:space="0" w:color="auto"/>
        <w:right w:val="none" w:sz="0" w:space="0" w:color="auto"/>
      </w:divBdr>
      <w:divsChild>
        <w:div w:id="525100597">
          <w:marLeft w:val="0"/>
          <w:marRight w:val="0"/>
          <w:marTop w:val="0"/>
          <w:marBottom w:val="0"/>
          <w:divBdr>
            <w:top w:val="none" w:sz="0" w:space="0" w:color="auto"/>
            <w:left w:val="none" w:sz="0" w:space="0" w:color="auto"/>
            <w:bottom w:val="none" w:sz="0" w:space="0" w:color="auto"/>
            <w:right w:val="none" w:sz="0" w:space="0" w:color="auto"/>
          </w:divBdr>
          <w:divsChild>
            <w:div w:id="744886370">
              <w:marLeft w:val="0"/>
              <w:marRight w:val="0"/>
              <w:marTop w:val="0"/>
              <w:marBottom w:val="0"/>
              <w:divBdr>
                <w:top w:val="none" w:sz="0" w:space="0" w:color="auto"/>
                <w:left w:val="none" w:sz="0" w:space="0" w:color="auto"/>
                <w:bottom w:val="none" w:sz="0" w:space="0" w:color="auto"/>
                <w:right w:val="none" w:sz="0" w:space="0" w:color="auto"/>
              </w:divBdr>
              <w:divsChild>
                <w:div w:id="21397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5068">
      <w:bodyDiv w:val="1"/>
      <w:marLeft w:val="0"/>
      <w:marRight w:val="0"/>
      <w:marTop w:val="0"/>
      <w:marBottom w:val="0"/>
      <w:divBdr>
        <w:top w:val="none" w:sz="0" w:space="0" w:color="auto"/>
        <w:left w:val="none" w:sz="0" w:space="0" w:color="auto"/>
        <w:bottom w:val="none" w:sz="0" w:space="0" w:color="auto"/>
        <w:right w:val="none" w:sz="0" w:space="0" w:color="auto"/>
      </w:divBdr>
    </w:div>
    <w:div w:id="479083234">
      <w:bodyDiv w:val="1"/>
      <w:marLeft w:val="0"/>
      <w:marRight w:val="0"/>
      <w:marTop w:val="0"/>
      <w:marBottom w:val="0"/>
      <w:divBdr>
        <w:top w:val="none" w:sz="0" w:space="0" w:color="auto"/>
        <w:left w:val="none" w:sz="0" w:space="0" w:color="auto"/>
        <w:bottom w:val="none" w:sz="0" w:space="0" w:color="auto"/>
        <w:right w:val="none" w:sz="0" w:space="0" w:color="auto"/>
      </w:divBdr>
    </w:div>
    <w:div w:id="480073505">
      <w:bodyDiv w:val="1"/>
      <w:marLeft w:val="0"/>
      <w:marRight w:val="0"/>
      <w:marTop w:val="0"/>
      <w:marBottom w:val="0"/>
      <w:divBdr>
        <w:top w:val="none" w:sz="0" w:space="0" w:color="auto"/>
        <w:left w:val="none" w:sz="0" w:space="0" w:color="auto"/>
        <w:bottom w:val="none" w:sz="0" w:space="0" w:color="auto"/>
        <w:right w:val="none" w:sz="0" w:space="0" w:color="auto"/>
      </w:divBdr>
    </w:div>
    <w:div w:id="535582277">
      <w:bodyDiv w:val="1"/>
      <w:marLeft w:val="0"/>
      <w:marRight w:val="0"/>
      <w:marTop w:val="0"/>
      <w:marBottom w:val="0"/>
      <w:divBdr>
        <w:top w:val="none" w:sz="0" w:space="0" w:color="auto"/>
        <w:left w:val="none" w:sz="0" w:space="0" w:color="auto"/>
        <w:bottom w:val="none" w:sz="0" w:space="0" w:color="auto"/>
        <w:right w:val="none" w:sz="0" w:space="0" w:color="auto"/>
      </w:divBdr>
    </w:div>
    <w:div w:id="547571026">
      <w:bodyDiv w:val="1"/>
      <w:marLeft w:val="0"/>
      <w:marRight w:val="0"/>
      <w:marTop w:val="0"/>
      <w:marBottom w:val="0"/>
      <w:divBdr>
        <w:top w:val="none" w:sz="0" w:space="0" w:color="auto"/>
        <w:left w:val="none" w:sz="0" w:space="0" w:color="auto"/>
        <w:bottom w:val="none" w:sz="0" w:space="0" w:color="auto"/>
        <w:right w:val="none" w:sz="0" w:space="0" w:color="auto"/>
      </w:divBdr>
      <w:divsChild>
        <w:div w:id="1376391503">
          <w:marLeft w:val="0"/>
          <w:marRight w:val="0"/>
          <w:marTop w:val="0"/>
          <w:marBottom w:val="0"/>
          <w:divBdr>
            <w:top w:val="none" w:sz="0" w:space="0" w:color="auto"/>
            <w:left w:val="none" w:sz="0" w:space="0" w:color="auto"/>
            <w:bottom w:val="none" w:sz="0" w:space="0" w:color="auto"/>
            <w:right w:val="none" w:sz="0" w:space="0" w:color="auto"/>
          </w:divBdr>
          <w:divsChild>
            <w:div w:id="1410274608">
              <w:marLeft w:val="0"/>
              <w:marRight w:val="0"/>
              <w:marTop w:val="0"/>
              <w:marBottom w:val="0"/>
              <w:divBdr>
                <w:top w:val="none" w:sz="0" w:space="0" w:color="auto"/>
                <w:left w:val="none" w:sz="0" w:space="0" w:color="auto"/>
                <w:bottom w:val="none" w:sz="0" w:space="0" w:color="auto"/>
                <w:right w:val="none" w:sz="0" w:space="0" w:color="auto"/>
              </w:divBdr>
              <w:divsChild>
                <w:div w:id="17561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09245">
      <w:bodyDiv w:val="1"/>
      <w:marLeft w:val="0"/>
      <w:marRight w:val="0"/>
      <w:marTop w:val="0"/>
      <w:marBottom w:val="0"/>
      <w:divBdr>
        <w:top w:val="none" w:sz="0" w:space="0" w:color="auto"/>
        <w:left w:val="none" w:sz="0" w:space="0" w:color="auto"/>
        <w:bottom w:val="none" w:sz="0" w:space="0" w:color="auto"/>
        <w:right w:val="none" w:sz="0" w:space="0" w:color="auto"/>
      </w:divBdr>
    </w:div>
    <w:div w:id="552229050">
      <w:bodyDiv w:val="1"/>
      <w:marLeft w:val="0"/>
      <w:marRight w:val="0"/>
      <w:marTop w:val="0"/>
      <w:marBottom w:val="0"/>
      <w:divBdr>
        <w:top w:val="none" w:sz="0" w:space="0" w:color="auto"/>
        <w:left w:val="none" w:sz="0" w:space="0" w:color="auto"/>
        <w:bottom w:val="none" w:sz="0" w:space="0" w:color="auto"/>
        <w:right w:val="none" w:sz="0" w:space="0" w:color="auto"/>
      </w:divBdr>
      <w:divsChild>
        <w:div w:id="1136920337">
          <w:marLeft w:val="0"/>
          <w:marRight w:val="0"/>
          <w:marTop w:val="0"/>
          <w:marBottom w:val="0"/>
          <w:divBdr>
            <w:top w:val="none" w:sz="0" w:space="0" w:color="auto"/>
            <w:left w:val="none" w:sz="0" w:space="0" w:color="auto"/>
            <w:bottom w:val="none" w:sz="0" w:space="0" w:color="auto"/>
            <w:right w:val="none" w:sz="0" w:space="0" w:color="auto"/>
          </w:divBdr>
          <w:divsChild>
            <w:div w:id="1630821704">
              <w:marLeft w:val="0"/>
              <w:marRight w:val="0"/>
              <w:marTop w:val="0"/>
              <w:marBottom w:val="0"/>
              <w:divBdr>
                <w:top w:val="none" w:sz="0" w:space="0" w:color="auto"/>
                <w:left w:val="none" w:sz="0" w:space="0" w:color="auto"/>
                <w:bottom w:val="none" w:sz="0" w:space="0" w:color="auto"/>
                <w:right w:val="none" w:sz="0" w:space="0" w:color="auto"/>
              </w:divBdr>
              <w:divsChild>
                <w:div w:id="2898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4957">
      <w:bodyDiv w:val="1"/>
      <w:marLeft w:val="0"/>
      <w:marRight w:val="0"/>
      <w:marTop w:val="0"/>
      <w:marBottom w:val="0"/>
      <w:divBdr>
        <w:top w:val="none" w:sz="0" w:space="0" w:color="auto"/>
        <w:left w:val="none" w:sz="0" w:space="0" w:color="auto"/>
        <w:bottom w:val="none" w:sz="0" w:space="0" w:color="auto"/>
        <w:right w:val="none" w:sz="0" w:space="0" w:color="auto"/>
      </w:divBdr>
    </w:div>
    <w:div w:id="557593555">
      <w:bodyDiv w:val="1"/>
      <w:marLeft w:val="0"/>
      <w:marRight w:val="0"/>
      <w:marTop w:val="0"/>
      <w:marBottom w:val="0"/>
      <w:divBdr>
        <w:top w:val="none" w:sz="0" w:space="0" w:color="auto"/>
        <w:left w:val="none" w:sz="0" w:space="0" w:color="auto"/>
        <w:bottom w:val="none" w:sz="0" w:space="0" w:color="auto"/>
        <w:right w:val="none" w:sz="0" w:space="0" w:color="auto"/>
      </w:divBdr>
    </w:div>
    <w:div w:id="558595664">
      <w:bodyDiv w:val="1"/>
      <w:marLeft w:val="0"/>
      <w:marRight w:val="0"/>
      <w:marTop w:val="0"/>
      <w:marBottom w:val="0"/>
      <w:divBdr>
        <w:top w:val="none" w:sz="0" w:space="0" w:color="auto"/>
        <w:left w:val="none" w:sz="0" w:space="0" w:color="auto"/>
        <w:bottom w:val="none" w:sz="0" w:space="0" w:color="auto"/>
        <w:right w:val="none" w:sz="0" w:space="0" w:color="auto"/>
      </w:divBdr>
    </w:div>
    <w:div w:id="562061516">
      <w:bodyDiv w:val="1"/>
      <w:marLeft w:val="0"/>
      <w:marRight w:val="0"/>
      <w:marTop w:val="0"/>
      <w:marBottom w:val="0"/>
      <w:divBdr>
        <w:top w:val="none" w:sz="0" w:space="0" w:color="auto"/>
        <w:left w:val="none" w:sz="0" w:space="0" w:color="auto"/>
        <w:bottom w:val="none" w:sz="0" w:space="0" w:color="auto"/>
        <w:right w:val="none" w:sz="0" w:space="0" w:color="auto"/>
      </w:divBdr>
    </w:div>
    <w:div w:id="573466565">
      <w:bodyDiv w:val="1"/>
      <w:marLeft w:val="0"/>
      <w:marRight w:val="0"/>
      <w:marTop w:val="0"/>
      <w:marBottom w:val="0"/>
      <w:divBdr>
        <w:top w:val="none" w:sz="0" w:space="0" w:color="auto"/>
        <w:left w:val="none" w:sz="0" w:space="0" w:color="auto"/>
        <w:bottom w:val="none" w:sz="0" w:space="0" w:color="auto"/>
        <w:right w:val="none" w:sz="0" w:space="0" w:color="auto"/>
      </w:divBdr>
    </w:div>
    <w:div w:id="588464932">
      <w:bodyDiv w:val="1"/>
      <w:marLeft w:val="0"/>
      <w:marRight w:val="0"/>
      <w:marTop w:val="0"/>
      <w:marBottom w:val="0"/>
      <w:divBdr>
        <w:top w:val="none" w:sz="0" w:space="0" w:color="auto"/>
        <w:left w:val="none" w:sz="0" w:space="0" w:color="auto"/>
        <w:bottom w:val="none" w:sz="0" w:space="0" w:color="auto"/>
        <w:right w:val="none" w:sz="0" w:space="0" w:color="auto"/>
      </w:divBdr>
      <w:divsChild>
        <w:div w:id="625279681">
          <w:marLeft w:val="0"/>
          <w:marRight w:val="0"/>
          <w:marTop w:val="0"/>
          <w:marBottom w:val="0"/>
          <w:divBdr>
            <w:top w:val="none" w:sz="0" w:space="0" w:color="auto"/>
            <w:left w:val="none" w:sz="0" w:space="0" w:color="auto"/>
            <w:bottom w:val="none" w:sz="0" w:space="0" w:color="auto"/>
            <w:right w:val="none" w:sz="0" w:space="0" w:color="auto"/>
          </w:divBdr>
          <w:divsChild>
            <w:div w:id="557546128">
              <w:marLeft w:val="0"/>
              <w:marRight w:val="0"/>
              <w:marTop w:val="0"/>
              <w:marBottom w:val="0"/>
              <w:divBdr>
                <w:top w:val="none" w:sz="0" w:space="0" w:color="auto"/>
                <w:left w:val="none" w:sz="0" w:space="0" w:color="auto"/>
                <w:bottom w:val="none" w:sz="0" w:space="0" w:color="auto"/>
                <w:right w:val="none" w:sz="0" w:space="0" w:color="auto"/>
              </w:divBdr>
              <w:divsChild>
                <w:div w:id="25081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84432">
      <w:bodyDiv w:val="1"/>
      <w:marLeft w:val="0"/>
      <w:marRight w:val="0"/>
      <w:marTop w:val="0"/>
      <w:marBottom w:val="0"/>
      <w:divBdr>
        <w:top w:val="none" w:sz="0" w:space="0" w:color="auto"/>
        <w:left w:val="none" w:sz="0" w:space="0" w:color="auto"/>
        <w:bottom w:val="none" w:sz="0" w:space="0" w:color="auto"/>
        <w:right w:val="none" w:sz="0" w:space="0" w:color="auto"/>
      </w:divBdr>
      <w:divsChild>
        <w:div w:id="66416631">
          <w:marLeft w:val="0"/>
          <w:marRight w:val="0"/>
          <w:marTop w:val="0"/>
          <w:marBottom w:val="0"/>
          <w:divBdr>
            <w:top w:val="none" w:sz="0" w:space="0" w:color="auto"/>
            <w:left w:val="none" w:sz="0" w:space="0" w:color="auto"/>
            <w:bottom w:val="none" w:sz="0" w:space="0" w:color="auto"/>
            <w:right w:val="none" w:sz="0" w:space="0" w:color="auto"/>
          </w:divBdr>
        </w:div>
        <w:div w:id="99688067">
          <w:marLeft w:val="0"/>
          <w:marRight w:val="0"/>
          <w:marTop w:val="0"/>
          <w:marBottom w:val="0"/>
          <w:divBdr>
            <w:top w:val="none" w:sz="0" w:space="0" w:color="auto"/>
            <w:left w:val="none" w:sz="0" w:space="0" w:color="auto"/>
            <w:bottom w:val="none" w:sz="0" w:space="0" w:color="auto"/>
            <w:right w:val="none" w:sz="0" w:space="0" w:color="auto"/>
          </w:divBdr>
        </w:div>
        <w:div w:id="160397027">
          <w:marLeft w:val="0"/>
          <w:marRight w:val="0"/>
          <w:marTop w:val="0"/>
          <w:marBottom w:val="0"/>
          <w:divBdr>
            <w:top w:val="none" w:sz="0" w:space="0" w:color="auto"/>
            <w:left w:val="none" w:sz="0" w:space="0" w:color="auto"/>
            <w:bottom w:val="none" w:sz="0" w:space="0" w:color="auto"/>
            <w:right w:val="none" w:sz="0" w:space="0" w:color="auto"/>
          </w:divBdr>
        </w:div>
        <w:div w:id="340859204">
          <w:marLeft w:val="0"/>
          <w:marRight w:val="0"/>
          <w:marTop w:val="0"/>
          <w:marBottom w:val="0"/>
          <w:divBdr>
            <w:top w:val="none" w:sz="0" w:space="0" w:color="auto"/>
            <w:left w:val="none" w:sz="0" w:space="0" w:color="auto"/>
            <w:bottom w:val="none" w:sz="0" w:space="0" w:color="auto"/>
            <w:right w:val="none" w:sz="0" w:space="0" w:color="auto"/>
          </w:divBdr>
        </w:div>
        <w:div w:id="504058075">
          <w:marLeft w:val="0"/>
          <w:marRight w:val="0"/>
          <w:marTop w:val="0"/>
          <w:marBottom w:val="0"/>
          <w:divBdr>
            <w:top w:val="none" w:sz="0" w:space="0" w:color="auto"/>
            <w:left w:val="none" w:sz="0" w:space="0" w:color="auto"/>
            <w:bottom w:val="none" w:sz="0" w:space="0" w:color="auto"/>
            <w:right w:val="none" w:sz="0" w:space="0" w:color="auto"/>
          </w:divBdr>
        </w:div>
        <w:div w:id="620114685">
          <w:marLeft w:val="0"/>
          <w:marRight w:val="0"/>
          <w:marTop w:val="0"/>
          <w:marBottom w:val="0"/>
          <w:divBdr>
            <w:top w:val="none" w:sz="0" w:space="0" w:color="auto"/>
            <w:left w:val="none" w:sz="0" w:space="0" w:color="auto"/>
            <w:bottom w:val="none" w:sz="0" w:space="0" w:color="auto"/>
            <w:right w:val="none" w:sz="0" w:space="0" w:color="auto"/>
          </w:divBdr>
        </w:div>
        <w:div w:id="795175003">
          <w:marLeft w:val="0"/>
          <w:marRight w:val="0"/>
          <w:marTop w:val="0"/>
          <w:marBottom w:val="0"/>
          <w:divBdr>
            <w:top w:val="none" w:sz="0" w:space="0" w:color="auto"/>
            <w:left w:val="none" w:sz="0" w:space="0" w:color="auto"/>
            <w:bottom w:val="none" w:sz="0" w:space="0" w:color="auto"/>
            <w:right w:val="none" w:sz="0" w:space="0" w:color="auto"/>
          </w:divBdr>
        </w:div>
        <w:div w:id="1130365277">
          <w:marLeft w:val="0"/>
          <w:marRight w:val="0"/>
          <w:marTop w:val="0"/>
          <w:marBottom w:val="0"/>
          <w:divBdr>
            <w:top w:val="none" w:sz="0" w:space="0" w:color="auto"/>
            <w:left w:val="none" w:sz="0" w:space="0" w:color="auto"/>
            <w:bottom w:val="none" w:sz="0" w:space="0" w:color="auto"/>
            <w:right w:val="none" w:sz="0" w:space="0" w:color="auto"/>
          </w:divBdr>
          <w:divsChild>
            <w:div w:id="219218449">
              <w:marLeft w:val="-75"/>
              <w:marRight w:val="0"/>
              <w:marTop w:val="30"/>
              <w:marBottom w:val="30"/>
              <w:divBdr>
                <w:top w:val="none" w:sz="0" w:space="0" w:color="auto"/>
                <w:left w:val="none" w:sz="0" w:space="0" w:color="auto"/>
                <w:bottom w:val="none" w:sz="0" w:space="0" w:color="auto"/>
                <w:right w:val="none" w:sz="0" w:space="0" w:color="auto"/>
              </w:divBdr>
              <w:divsChild>
                <w:div w:id="27874680">
                  <w:marLeft w:val="0"/>
                  <w:marRight w:val="0"/>
                  <w:marTop w:val="0"/>
                  <w:marBottom w:val="0"/>
                  <w:divBdr>
                    <w:top w:val="none" w:sz="0" w:space="0" w:color="auto"/>
                    <w:left w:val="none" w:sz="0" w:space="0" w:color="auto"/>
                    <w:bottom w:val="none" w:sz="0" w:space="0" w:color="auto"/>
                    <w:right w:val="none" w:sz="0" w:space="0" w:color="auto"/>
                  </w:divBdr>
                  <w:divsChild>
                    <w:div w:id="722362832">
                      <w:marLeft w:val="0"/>
                      <w:marRight w:val="0"/>
                      <w:marTop w:val="0"/>
                      <w:marBottom w:val="0"/>
                      <w:divBdr>
                        <w:top w:val="none" w:sz="0" w:space="0" w:color="auto"/>
                        <w:left w:val="none" w:sz="0" w:space="0" w:color="auto"/>
                        <w:bottom w:val="none" w:sz="0" w:space="0" w:color="auto"/>
                        <w:right w:val="none" w:sz="0" w:space="0" w:color="auto"/>
                      </w:divBdr>
                    </w:div>
                  </w:divsChild>
                </w:div>
                <w:div w:id="101263665">
                  <w:marLeft w:val="0"/>
                  <w:marRight w:val="0"/>
                  <w:marTop w:val="0"/>
                  <w:marBottom w:val="0"/>
                  <w:divBdr>
                    <w:top w:val="none" w:sz="0" w:space="0" w:color="auto"/>
                    <w:left w:val="none" w:sz="0" w:space="0" w:color="auto"/>
                    <w:bottom w:val="none" w:sz="0" w:space="0" w:color="auto"/>
                    <w:right w:val="none" w:sz="0" w:space="0" w:color="auto"/>
                  </w:divBdr>
                  <w:divsChild>
                    <w:div w:id="1880580153">
                      <w:marLeft w:val="0"/>
                      <w:marRight w:val="0"/>
                      <w:marTop w:val="0"/>
                      <w:marBottom w:val="0"/>
                      <w:divBdr>
                        <w:top w:val="none" w:sz="0" w:space="0" w:color="auto"/>
                        <w:left w:val="none" w:sz="0" w:space="0" w:color="auto"/>
                        <w:bottom w:val="none" w:sz="0" w:space="0" w:color="auto"/>
                        <w:right w:val="none" w:sz="0" w:space="0" w:color="auto"/>
                      </w:divBdr>
                    </w:div>
                  </w:divsChild>
                </w:div>
                <w:div w:id="128936623">
                  <w:marLeft w:val="0"/>
                  <w:marRight w:val="0"/>
                  <w:marTop w:val="0"/>
                  <w:marBottom w:val="0"/>
                  <w:divBdr>
                    <w:top w:val="none" w:sz="0" w:space="0" w:color="auto"/>
                    <w:left w:val="none" w:sz="0" w:space="0" w:color="auto"/>
                    <w:bottom w:val="none" w:sz="0" w:space="0" w:color="auto"/>
                    <w:right w:val="none" w:sz="0" w:space="0" w:color="auto"/>
                  </w:divBdr>
                  <w:divsChild>
                    <w:div w:id="216357968">
                      <w:marLeft w:val="0"/>
                      <w:marRight w:val="0"/>
                      <w:marTop w:val="0"/>
                      <w:marBottom w:val="0"/>
                      <w:divBdr>
                        <w:top w:val="none" w:sz="0" w:space="0" w:color="auto"/>
                        <w:left w:val="none" w:sz="0" w:space="0" w:color="auto"/>
                        <w:bottom w:val="none" w:sz="0" w:space="0" w:color="auto"/>
                        <w:right w:val="none" w:sz="0" w:space="0" w:color="auto"/>
                      </w:divBdr>
                    </w:div>
                  </w:divsChild>
                </w:div>
                <w:div w:id="205799333">
                  <w:marLeft w:val="0"/>
                  <w:marRight w:val="0"/>
                  <w:marTop w:val="0"/>
                  <w:marBottom w:val="0"/>
                  <w:divBdr>
                    <w:top w:val="none" w:sz="0" w:space="0" w:color="auto"/>
                    <w:left w:val="none" w:sz="0" w:space="0" w:color="auto"/>
                    <w:bottom w:val="none" w:sz="0" w:space="0" w:color="auto"/>
                    <w:right w:val="none" w:sz="0" w:space="0" w:color="auto"/>
                  </w:divBdr>
                  <w:divsChild>
                    <w:div w:id="1276208015">
                      <w:marLeft w:val="0"/>
                      <w:marRight w:val="0"/>
                      <w:marTop w:val="0"/>
                      <w:marBottom w:val="0"/>
                      <w:divBdr>
                        <w:top w:val="none" w:sz="0" w:space="0" w:color="auto"/>
                        <w:left w:val="none" w:sz="0" w:space="0" w:color="auto"/>
                        <w:bottom w:val="none" w:sz="0" w:space="0" w:color="auto"/>
                        <w:right w:val="none" w:sz="0" w:space="0" w:color="auto"/>
                      </w:divBdr>
                    </w:div>
                  </w:divsChild>
                </w:div>
                <w:div w:id="243688870">
                  <w:marLeft w:val="0"/>
                  <w:marRight w:val="0"/>
                  <w:marTop w:val="0"/>
                  <w:marBottom w:val="0"/>
                  <w:divBdr>
                    <w:top w:val="none" w:sz="0" w:space="0" w:color="auto"/>
                    <w:left w:val="none" w:sz="0" w:space="0" w:color="auto"/>
                    <w:bottom w:val="none" w:sz="0" w:space="0" w:color="auto"/>
                    <w:right w:val="none" w:sz="0" w:space="0" w:color="auto"/>
                  </w:divBdr>
                  <w:divsChild>
                    <w:div w:id="1688024181">
                      <w:marLeft w:val="0"/>
                      <w:marRight w:val="0"/>
                      <w:marTop w:val="0"/>
                      <w:marBottom w:val="0"/>
                      <w:divBdr>
                        <w:top w:val="none" w:sz="0" w:space="0" w:color="auto"/>
                        <w:left w:val="none" w:sz="0" w:space="0" w:color="auto"/>
                        <w:bottom w:val="none" w:sz="0" w:space="0" w:color="auto"/>
                        <w:right w:val="none" w:sz="0" w:space="0" w:color="auto"/>
                      </w:divBdr>
                    </w:div>
                  </w:divsChild>
                </w:div>
                <w:div w:id="272788554">
                  <w:marLeft w:val="0"/>
                  <w:marRight w:val="0"/>
                  <w:marTop w:val="0"/>
                  <w:marBottom w:val="0"/>
                  <w:divBdr>
                    <w:top w:val="none" w:sz="0" w:space="0" w:color="auto"/>
                    <w:left w:val="none" w:sz="0" w:space="0" w:color="auto"/>
                    <w:bottom w:val="none" w:sz="0" w:space="0" w:color="auto"/>
                    <w:right w:val="none" w:sz="0" w:space="0" w:color="auto"/>
                  </w:divBdr>
                  <w:divsChild>
                    <w:div w:id="588006889">
                      <w:marLeft w:val="0"/>
                      <w:marRight w:val="0"/>
                      <w:marTop w:val="0"/>
                      <w:marBottom w:val="0"/>
                      <w:divBdr>
                        <w:top w:val="none" w:sz="0" w:space="0" w:color="auto"/>
                        <w:left w:val="none" w:sz="0" w:space="0" w:color="auto"/>
                        <w:bottom w:val="none" w:sz="0" w:space="0" w:color="auto"/>
                        <w:right w:val="none" w:sz="0" w:space="0" w:color="auto"/>
                      </w:divBdr>
                    </w:div>
                  </w:divsChild>
                </w:div>
                <w:div w:id="304510918">
                  <w:marLeft w:val="0"/>
                  <w:marRight w:val="0"/>
                  <w:marTop w:val="0"/>
                  <w:marBottom w:val="0"/>
                  <w:divBdr>
                    <w:top w:val="none" w:sz="0" w:space="0" w:color="auto"/>
                    <w:left w:val="none" w:sz="0" w:space="0" w:color="auto"/>
                    <w:bottom w:val="none" w:sz="0" w:space="0" w:color="auto"/>
                    <w:right w:val="none" w:sz="0" w:space="0" w:color="auto"/>
                  </w:divBdr>
                  <w:divsChild>
                    <w:div w:id="53819500">
                      <w:marLeft w:val="0"/>
                      <w:marRight w:val="0"/>
                      <w:marTop w:val="0"/>
                      <w:marBottom w:val="0"/>
                      <w:divBdr>
                        <w:top w:val="none" w:sz="0" w:space="0" w:color="auto"/>
                        <w:left w:val="none" w:sz="0" w:space="0" w:color="auto"/>
                        <w:bottom w:val="none" w:sz="0" w:space="0" w:color="auto"/>
                        <w:right w:val="none" w:sz="0" w:space="0" w:color="auto"/>
                      </w:divBdr>
                    </w:div>
                  </w:divsChild>
                </w:div>
                <w:div w:id="316346625">
                  <w:marLeft w:val="0"/>
                  <w:marRight w:val="0"/>
                  <w:marTop w:val="0"/>
                  <w:marBottom w:val="0"/>
                  <w:divBdr>
                    <w:top w:val="none" w:sz="0" w:space="0" w:color="auto"/>
                    <w:left w:val="none" w:sz="0" w:space="0" w:color="auto"/>
                    <w:bottom w:val="none" w:sz="0" w:space="0" w:color="auto"/>
                    <w:right w:val="none" w:sz="0" w:space="0" w:color="auto"/>
                  </w:divBdr>
                  <w:divsChild>
                    <w:div w:id="1808624288">
                      <w:marLeft w:val="0"/>
                      <w:marRight w:val="0"/>
                      <w:marTop w:val="0"/>
                      <w:marBottom w:val="0"/>
                      <w:divBdr>
                        <w:top w:val="none" w:sz="0" w:space="0" w:color="auto"/>
                        <w:left w:val="none" w:sz="0" w:space="0" w:color="auto"/>
                        <w:bottom w:val="none" w:sz="0" w:space="0" w:color="auto"/>
                        <w:right w:val="none" w:sz="0" w:space="0" w:color="auto"/>
                      </w:divBdr>
                    </w:div>
                  </w:divsChild>
                </w:div>
                <w:div w:id="337586669">
                  <w:marLeft w:val="0"/>
                  <w:marRight w:val="0"/>
                  <w:marTop w:val="0"/>
                  <w:marBottom w:val="0"/>
                  <w:divBdr>
                    <w:top w:val="none" w:sz="0" w:space="0" w:color="auto"/>
                    <w:left w:val="none" w:sz="0" w:space="0" w:color="auto"/>
                    <w:bottom w:val="none" w:sz="0" w:space="0" w:color="auto"/>
                    <w:right w:val="none" w:sz="0" w:space="0" w:color="auto"/>
                  </w:divBdr>
                  <w:divsChild>
                    <w:div w:id="75440614">
                      <w:marLeft w:val="0"/>
                      <w:marRight w:val="0"/>
                      <w:marTop w:val="0"/>
                      <w:marBottom w:val="0"/>
                      <w:divBdr>
                        <w:top w:val="none" w:sz="0" w:space="0" w:color="auto"/>
                        <w:left w:val="none" w:sz="0" w:space="0" w:color="auto"/>
                        <w:bottom w:val="none" w:sz="0" w:space="0" w:color="auto"/>
                        <w:right w:val="none" w:sz="0" w:space="0" w:color="auto"/>
                      </w:divBdr>
                    </w:div>
                  </w:divsChild>
                </w:div>
                <w:div w:id="453527124">
                  <w:marLeft w:val="0"/>
                  <w:marRight w:val="0"/>
                  <w:marTop w:val="0"/>
                  <w:marBottom w:val="0"/>
                  <w:divBdr>
                    <w:top w:val="none" w:sz="0" w:space="0" w:color="auto"/>
                    <w:left w:val="none" w:sz="0" w:space="0" w:color="auto"/>
                    <w:bottom w:val="none" w:sz="0" w:space="0" w:color="auto"/>
                    <w:right w:val="none" w:sz="0" w:space="0" w:color="auto"/>
                  </w:divBdr>
                  <w:divsChild>
                    <w:div w:id="406070665">
                      <w:marLeft w:val="0"/>
                      <w:marRight w:val="0"/>
                      <w:marTop w:val="0"/>
                      <w:marBottom w:val="0"/>
                      <w:divBdr>
                        <w:top w:val="none" w:sz="0" w:space="0" w:color="auto"/>
                        <w:left w:val="none" w:sz="0" w:space="0" w:color="auto"/>
                        <w:bottom w:val="none" w:sz="0" w:space="0" w:color="auto"/>
                        <w:right w:val="none" w:sz="0" w:space="0" w:color="auto"/>
                      </w:divBdr>
                    </w:div>
                  </w:divsChild>
                </w:div>
                <w:div w:id="459570107">
                  <w:marLeft w:val="0"/>
                  <w:marRight w:val="0"/>
                  <w:marTop w:val="0"/>
                  <w:marBottom w:val="0"/>
                  <w:divBdr>
                    <w:top w:val="none" w:sz="0" w:space="0" w:color="auto"/>
                    <w:left w:val="none" w:sz="0" w:space="0" w:color="auto"/>
                    <w:bottom w:val="none" w:sz="0" w:space="0" w:color="auto"/>
                    <w:right w:val="none" w:sz="0" w:space="0" w:color="auto"/>
                  </w:divBdr>
                  <w:divsChild>
                    <w:div w:id="558710265">
                      <w:marLeft w:val="0"/>
                      <w:marRight w:val="0"/>
                      <w:marTop w:val="0"/>
                      <w:marBottom w:val="0"/>
                      <w:divBdr>
                        <w:top w:val="none" w:sz="0" w:space="0" w:color="auto"/>
                        <w:left w:val="none" w:sz="0" w:space="0" w:color="auto"/>
                        <w:bottom w:val="none" w:sz="0" w:space="0" w:color="auto"/>
                        <w:right w:val="none" w:sz="0" w:space="0" w:color="auto"/>
                      </w:divBdr>
                    </w:div>
                  </w:divsChild>
                </w:div>
                <w:div w:id="502671849">
                  <w:marLeft w:val="0"/>
                  <w:marRight w:val="0"/>
                  <w:marTop w:val="0"/>
                  <w:marBottom w:val="0"/>
                  <w:divBdr>
                    <w:top w:val="none" w:sz="0" w:space="0" w:color="auto"/>
                    <w:left w:val="none" w:sz="0" w:space="0" w:color="auto"/>
                    <w:bottom w:val="none" w:sz="0" w:space="0" w:color="auto"/>
                    <w:right w:val="none" w:sz="0" w:space="0" w:color="auto"/>
                  </w:divBdr>
                  <w:divsChild>
                    <w:div w:id="1569530463">
                      <w:marLeft w:val="0"/>
                      <w:marRight w:val="0"/>
                      <w:marTop w:val="0"/>
                      <w:marBottom w:val="0"/>
                      <w:divBdr>
                        <w:top w:val="none" w:sz="0" w:space="0" w:color="auto"/>
                        <w:left w:val="none" w:sz="0" w:space="0" w:color="auto"/>
                        <w:bottom w:val="none" w:sz="0" w:space="0" w:color="auto"/>
                        <w:right w:val="none" w:sz="0" w:space="0" w:color="auto"/>
                      </w:divBdr>
                    </w:div>
                  </w:divsChild>
                </w:div>
                <w:div w:id="566693737">
                  <w:marLeft w:val="0"/>
                  <w:marRight w:val="0"/>
                  <w:marTop w:val="0"/>
                  <w:marBottom w:val="0"/>
                  <w:divBdr>
                    <w:top w:val="none" w:sz="0" w:space="0" w:color="auto"/>
                    <w:left w:val="none" w:sz="0" w:space="0" w:color="auto"/>
                    <w:bottom w:val="none" w:sz="0" w:space="0" w:color="auto"/>
                    <w:right w:val="none" w:sz="0" w:space="0" w:color="auto"/>
                  </w:divBdr>
                  <w:divsChild>
                    <w:div w:id="1570379551">
                      <w:marLeft w:val="0"/>
                      <w:marRight w:val="0"/>
                      <w:marTop w:val="0"/>
                      <w:marBottom w:val="0"/>
                      <w:divBdr>
                        <w:top w:val="none" w:sz="0" w:space="0" w:color="auto"/>
                        <w:left w:val="none" w:sz="0" w:space="0" w:color="auto"/>
                        <w:bottom w:val="none" w:sz="0" w:space="0" w:color="auto"/>
                        <w:right w:val="none" w:sz="0" w:space="0" w:color="auto"/>
                      </w:divBdr>
                    </w:div>
                  </w:divsChild>
                </w:div>
                <w:div w:id="696196428">
                  <w:marLeft w:val="0"/>
                  <w:marRight w:val="0"/>
                  <w:marTop w:val="0"/>
                  <w:marBottom w:val="0"/>
                  <w:divBdr>
                    <w:top w:val="none" w:sz="0" w:space="0" w:color="auto"/>
                    <w:left w:val="none" w:sz="0" w:space="0" w:color="auto"/>
                    <w:bottom w:val="none" w:sz="0" w:space="0" w:color="auto"/>
                    <w:right w:val="none" w:sz="0" w:space="0" w:color="auto"/>
                  </w:divBdr>
                  <w:divsChild>
                    <w:div w:id="1924222972">
                      <w:marLeft w:val="0"/>
                      <w:marRight w:val="0"/>
                      <w:marTop w:val="0"/>
                      <w:marBottom w:val="0"/>
                      <w:divBdr>
                        <w:top w:val="none" w:sz="0" w:space="0" w:color="auto"/>
                        <w:left w:val="none" w:sz="0" w:space="0" w:color="auto"/>
                        <w:bottom w:val="none" w:sz="0" w:space="0" w:color="auto"/>
                        <w:right w:val="none" w:sz="0" w:space="0" w:color="auto"/>
                      </w:divBdr>
                    </w:div>
                  </w:divsChild>
                </w:div>
                <w:div w:id="787822189">
                  <w:marLeft w:val="0"/>
                  <w:marRight w:val="0"/>
                  <w:marTop w:val="0"/>
                  <w:marBottom w:val="0"/>
                  <w:divBdr>
                    <w:top w:val="none" w:sz="0" w:space="0" w:color="auto"/>
                    <w:left w:val="none" w:sz="0" w:space="0" w:color="auto"/>
                    <w:bottom w:val="none" w:sz="0" w:space="0" w:color="auto"/>
                    <w:right w:val="none" w:sz="0" w:space="0" w:color="auto"/>
                  </w:divBdr>
                  <w:divsChild>
                    <w:div w:id="258874851">
                      <w:marLeft w:val="0"/>
                      <w:marRight w:val="0"/>
                      <w:marTop w:val="0"/>
                      <w:marBottom w:val="0"/>
                      <w:divBdr>
                        <w:top w:val="none" w:sz="0" w:space="0" w:color="auto"/>
                        <w:left w:val="none" w:sz="0" w:space="0" w:color="auto"/>
                        <w:bottom w:val="none" w:sz="0" w:space="0" w:color="auto"/>
                        <w:right w:val="none" w:sz="0" w:space="0" w:color="auto"/>
                      </w:divBdr>
                    </w:div>
                  </w:divsChild>
                </w:div>
                <w:div w:id="833645191">
                  <w:marLeft w:val="0"/>
                  <w:marRight w:val="0"/>
                  <w:marTop w:val="0"/>
                  <w:marBottom w:val="0"/>
                  <w:divBdr>
                    <w:top w:val="none" w:sz="0" w:space="0" w:color="auto"/>
                    <w:left w:val="none" w:sz="0" w:space="0" w:color="auto"/>
                    <w:bottom w:val="none" w:sz="0" w:space="0" w:color="auto"/>
                    <w:right w:val="none" w:sz="0" w:space="0" w:color="auto"/>
                  </w:divBdr>
                  <w:divsChild>
                    <w:div w:id="1195191497">
                      <w:marLeft w:val="0"/>
                      <w:marRight w:val="0"/>
                      <w:marTop w:val="0"/>
                      <w:marBottom w:val="0"/>
                      <w:divBdr>
                        <w:top w:val="none" w:sz="0" w:space="0" w:color="auto"/>
                        <w:left w:val="none" w:sz="0" w:space="0" w:color="auto"/>
                        <w:bottom w:val="none" w:sz="0" w:space="0" w:color="auto"/>
                        <w:right w:val="none" w:sz="0" w:space="0" w:color="auto"/>
                      </w:divBdr>
                    </w:div>
                  </w:divsChild>
                </w:div>
                <w:div w:id="842235635">
                  <w:marLeft w:val="0"/>
                  <w:marRight w:val="0"/>
                  <w:marTop w:val="0"/>
                  <w:marBottom w:val="0"/>
                  <w:divBdr>
                    <w:top w:val="none" w:sz="0" w:space="0" w:color="auto"/>
                    <w:left w:val="none" w:sz="0" w:space="0" w:color="auto"/>
                    <w:bottom w:val="none" w:sz="0" w:space="0" w:color="auto"/>
                    <w:right w:val="none" w:sz="0" w:space="0" w:color="auto"/>
                  </w:divBdr>
                  <w:divsChild>
                    <w:div w:id="221061040">
                      <w:marLeft w:val="0"/>
                      <w:marRight w:val="0"/>
                      <w:marTop w:val="0"/>
                      <w:marBottom w:val="0"/>
                      <w:divBdr>
                        <w:top w:val="none" w:sz="0" w:space="0" w:color="auto"/>
                        <w:left w:val="none" w:sz="0" w:space="0" w:color="auto"/>
                        <w:bottom w:val="none" w:sz="0" w:space="0" w:color="auto"/>
                        <w:right w:val="none" w:sz="0" w:space="0" w:color="auto"/>
                      </w:divBdr>
                    </w:div>
                  </w:divsChild>
                </w:div>
                <w:div w:id="864486671">
                  <w:marLeft w:val="0"/>
                  <w:marRight w:val="0"/>
                  <w:marTop w:val="0"/>
                  <w:marBottom w:val="0"/>
                  <w:divBdr>
                    <w:top w:val="none" w:sz="0" w:space="0" w:color="auto"/>
                    <w:left w:val="none" w:sz="0" w:space="0" w:color="auto"/>
                    <w:bottom w:val="none" w:sz="0" w:space="0" w:color="auto"/>
                    <w:right w:val="none" w:sz="0" w:space="0" w:color="auto"/>
                  </w:divBdr>
                  <w:divsChild>
                    <w:div w:id="1425303120">
                      <w:marLeft w:val="0"/>
                      <w:marRight w:val="0"/>
                      <w:marTop w:val="0"/>
                      <w:marBottom w:val="0"/>
                      <w:divBdr>
                        <w:top w:val="none" w:sz="0" w:space="0" w:color="auto"/>
                        <w:left w:val="none" w:sz="0" w:space="0" w:color="auto"/>
                        <w:bottom w:val="none" w:sz="0" w:space="0" w:color="auto"/>
                        <w:right w:val="none" w:sz="0" w:space="0" w:color="auto"/>
                      </w:divBdr>
                    </w:div>
                  </w:divsChild>
                </w:div>
                <w:div w:id="873611949">
                  <w:marLeft w:val="0"/>
                  <w:marRight w:val="0"/>
                  <w:marTop w:val="0"/>
                  <w:marBottom w:val="0"/>
                  <w:divBdr>
                    <w:top w:val="none" w:sz="0" w:space="0" w:color="auto"/>
                    <w:left w:val="none" w:sz="0" w:space="0" w:color="auto"/>
                    <w:bottom w:val="none" w:sz="0" w:space="0" w:color="auto"/>
                    <w:right w:val="none" w:sz="0" w:space="0" w:color="auto"/>
                  </w:divBdr>
                  <w:divsChild>
                    <w:div w:id="825391828">
                      <w:marLeft w:val="0"/>
                      <w:marRight w:val="0"/>
                      <w:marTop w:val="0"/>
                      <w:marBottom w:val="0"/>
                      <w:divBdr>
                        <w:top w:val="none" w:sz="0" w:space="0" w:color="auto"/>
                        <w:left w:val="none" w:sz="0" w:space="0" w:color="auto"/>
                        <w:bottom w:val="none" w:sz="0" w:space="0" w:color="auto"/>
                        <w:right w:val="none" w:sz="0" w:space="0" w:color="auto"/>
                      </w:divBdr>
                    </w:div>
                  </w:divsChild>
                </w:div>
                <w:div w:id="933439611">
                  <w:marLeft w:val="0"/>
                  <w:marRight w:val="0"/>
                  <w:marTop w:val="0"/>
                  <w:marBottom w:val="0"/>
                  <w:divBdr>
                    <w:top w:val="none" w:sz="0" w:space="0" w:color="auto"/>
                    <w:left w:val="none" w:sz="0" w:space="0" w:color="auto"/>
                    <w:bottom w:val="none" w:sz="0" w:space="0" w:color="auto"/>
                    <w:right w:val="none" w:sz="0" w:space="0" w:color="auto"/>
                  </w:divBdr>
                  <w:divsChild>
                    <w:div w:id="1637107378">
                      <w:marLeft w:val="0"/>
                      <w:marRight w:val="0"/>
                      <w:marTop w:val="0"/>
                      <w:marBottom w:val="0"/>
                      <w:divBdr>
                        <w:top w:val="none" w:sz="0" w:space="0" w:color="auto"/>
                        <w:left w:val="none" w:sz="0" w:space="0" w:color="auto"/>
                        <w:bottom w:val="none" w:sz="0" w:space="0" w:color="auto"/>
                        <w:right w:val="none" w:sz="0" w:space="0" w:color="auto"/>
                      </w:divBdr>
                    </w:div>
                  </w:divsChild>
                </w:div>
                <w:div w:id="960183197">
                  <w:marLeft w:val="0"/>
                  <w:marRight w:val="0"/>
                  <w:marTop w:val="0"/>
                  <w:marBottom w:val="0"/>
                  <w:divBdr>
                    <w:top w:val="none" w:sz="0" w:space="0" w:color="auto"/>
                    <w:left w:val="none" w:sz="0" w:space="0" w:color="auto"/>
                    <w:bottom w:val="none" w:sz="0" w:space="0" w:color="auto"/>
                    <w:right w:val="none" w:sz="0" w:space="0" w:color="auto"/>
                  </w:divBdr>
                  <w:divsChild>
                    <w:div w:id="10768818">
                      <w:marLeft w:val="0"/>
                      <w:marRight w:val="0"/>
                      <w:marTop w:val="0"/>
                      <w:marBottom w:val="0"/>
                      <w:divBdr>
                        <w:top w:val="none" w:sz="0" w:space="0" w:color="auto"/>
                        <w:left w:val="none" w:sz="0" w:space="0" w:color="auto"/>
                        <w:bottom w:val="none" w:sz="0" w:space="0" w:color="auto"/>
                        <w:right w:val="none" w:sz="0" w:space="0" w:color="auto"/>
                      </w:divBdr>
                    </w:div>
                  </w:divsChild>
                </w:div>
                <w:div w:id="1006831710">
                  <w:marLeft w:val="0"/>
                  <w:marRight w:val="0"/>
                  <w:marTop w:val="0"/>
                  <w:marBottom w:val="0"/>
                  <w:divBdr>
                    <w:top w:val="none" w:sz="0" w:space="0" w:color="auto"/>
                    <w:left w:val="none" w:sz="0" w:space="0" w:color="auto"/>
                    <w:bottom w:val="none" w:sz="0" w:space="0" w:color="auto"/>
                    <w:right w:val="none" w:sz="0" w:space="0" w:color="auto"/>
                  </w:divBdr>
                  <w:divsChild>
                    <w:div w:id="1835755098">
                      <w:marLeft w:val="0"/>
                      <w:marRight w:val="0"/>
                      <w:marTop w:val="0"/>
                      <w:marBottom w:val="0"/>
                      <w:divBdr>
                        <w:top w:val="none" w:sz="0" w:space="0" w:color="auto"/>
                        <w:left w:val="none" w:sz="0" w:space="0" w:color="auto"/>
                        <w:bottom w:val="none" w:sz="0" w:space="0" w:color="auto"/>
                        <w:right w:val="none" w:sz="0" w:space="0" w:color="auto"/>
                      </w:divBdr>
                    </w:div>
                  </w:divsChild>
                </w:div>
                <w:div w:id="1009334885">
                  <w:marLeft w:val="0"/>
                  <w:marRight w:val="0"/>
                  <w:marTop w:val="0"/>
                  <w:marBottom w:val="0"/>
                  <w:divBdr>
                    <w:top w:val="none" w:sz="0" w:space="0" w:color="auto"/>
                    <w:left w:val="none" w:sz="0" w:space="0" w:color="auto"/>
                    <w:bottom w:val="none" w:sz="0" w:space="0" w:color="auto"/>
                    <w:right w:val="none" w:sz="0" w:space="0" w:color="auto"/>
                  </w:divBdr>
                  <w:divsChild>
                    <w:div w:id="2130470193">
                      <w:marLeft w:val="0"/>
                      <w:marRight w:val="0"/>
                      <w:marTop w:val="0"/>
                      <w:marBottom w:val="0"/>
                      <w:divBdr>
                        <w:top w:val="none" w:sz="0" w:space="0" w:color="auto"/>
                        <w:left w:val="none" w:sz="0" w:space="0" w:color="auto"/>
                        <w:bottom w:val="none" w:sz="0" w:space="0" w:color="auto"/>
                        <w:right w:val="none" w:sz="0" w:space="0" w:color="auto"/>
                      </w:divBdr>
                    </w:div>
                  </w:divsChild>
                </w:div>
                <w:div w:id="1138109946">
                  <w:marLeft w:val="0"/>
                  <w:marRight w:val="0"/>
                  <w:marTop w:val="0"/>
                  <w:marBottom w:val="0"/>
                  <w:divBdr>
                    <w:top w:val="none" w:sz="0" w:space="0" w:color="auto"/>
                    <w:left w:val="none" w:sz="0" w:space="0" w:color="auto"/>
                    <w:bottom w:val="none" w:sz="0" w:space="0" w:color="auto"/>
                    <w:right w:val="none" w:sz="0" w:space="0" w:color="auto"/>
                  </w:divBdr>
                  <w:divsChild>
                    <w:div w:id="1772702003">
                      <w:marLeft w:val="0"/>
                      <w:marRight w:val="0"/>
                      <w:marTop w:val="0"/>
                      <w:marBottom w:val="0"/>
                      <w:divBdr>
                        <w:top w:val="none" w:sz="0" w:space="0" w:color="auto"/>
                        <w:left w:val="none" w:sz="0" w:space="0" w:color="auto"/>
                        <w:bottom w:val="none" w:sz="0" w:space="0" w:color="auto"/>
                        <w:right w:val="none" w:sz="0" w:space="0" w:color="auto"/>
                      </w:divBdr>
                    </w:div>
                  </w:divsChild>
                </w:div>
                <w:div w:id="1242105603">
                  <w:marLeft w:val="0"/>
                  <w:marRight w:val="0"/>
                  <w:marTop w:val="0"/>
                  <w:marBottom w:val="0"/>
                  <w:divBdr>
                    <w:top w:val="none" w:sz="0" w:space="0" w:color="auto"/>
                    <w:left w:val="none" w:sz="0" w:space="0" w:color="auto"/>
                    <w:bottom w:val="none" w:sz="0" w:space="0" w:color="auto"/>
                    <w:right w:val="none" w:sz="0" w:space="0" w:color="auto"/>
                  </w:divBdr>
                  <w:divsChild>
                    <w:div w:id="1448432204">
                      <w:marLeft w:val="0"/>
                      <w:marRight w:val="0"/>
                      <w:marTop w:val="0"/>
                      <w:marBottom w:val="0"/>
                      <w:divBdr>
                        <w:top w:val="none" w:sz="0" w:space="0" w:color="auto"/>
                        <w:left w:val="none" w:sz="0" w:space="0" w:color="auto"/>
                        <w:bottom w:val="none" w:sz="0" w:space="0" w:color="auto"/>
                        <w:right w:val="none" w:sz="0" w:space="0" w:color="auto"/>
                      </w:divBdr>
                    </w:div>
                  </w:divsChild>
                </w:div>
                <w:div w:id="1396321199">
                  <w:marLeft w:val="0"/>
                  <w:marRight w:val="0"/>
                  <w:marTop w:val="0"/>
                  <w:marBottom w:val="0"/>
                  <w:divBdr>
                    <w:top w:val="none" w:sz="0" w:space="0" w:color="auto"/>
                    <w:left w:val="none" w:sz="0" w:space="0" w:color="auto"/>
                    <w:bottom w:val="none" w:sz="0" w:space="0" w:color="auto"/>
                    <w:right w:val="none" w:sz="0" w:space="0" w:color="auto"/>
                  </w:divBdr>
                  <w:divsChild>
                    <w:div w:id="1764644155">
                      <w:marLeft w:val="0"/>
                      <w:marRight w:val="0"/>
                      <w:marTop w:val="0"/>
                      <w:marBottom w:val="0"/>
                      <w:divBdr>
                        <w:top w:val="none" w:sz="0" w:space="0" w:color="auto"/>
                        <w:left w:val="none" w:sz="0" w:space="0" w:color="auto"/>
                        <w:bottom w:val="none" w:sz="0" w:space="0" w:color="auto"/>
                        <w:right w:val="none" w:sz="0" w:space="0" w:color="auto"/>
                      </w:divBdr>
                    </w:div>
                  </w:divsChild>
                </w:div>
                <w:div w:id="1458720557">
                  <w:marLeft w:val="0"/>
                  <w:marRight w:val="0"/>
                  <w:marTop w:val="0"/>
                  <w:marBottom w:val="0"/>
                  <w:divBdr>
                    <w:top w:val="none" w:sz="0" w:space="0" w:color="auto"/>
                    <w:left w:val="none" w:sz="0" w:space="0" w:color="auto"/>
                    <w:bottom w:val="none" w:sz="0" w:space="0" w:color="auto"/>
                    <w:right w:val="none" w:sz="0" w:space="0" w:color="auto"/>
                  </w:divBdr>
                  <w:divsChild>
                    <w:div w:id="151222252">
                      <w:marLeft w:val="0"/>
                      <w:marRight w:val="0"/>
                      <w:marTop w:val="0"/>
                      <w:marBottom w:val="0"/>
                      <w:divBdr>
                        <w:top w:val="none" w:sz="0" w:space="0" w:color="auto"/>
                        <w:left w:val="none" w:sz="0" w:space="0" w:color="auto"/>
                        <w:bottom w:val="none" w:sz="0" w:space="0" w:color="auto"/>
                        <w:right w:val="none" w:sz="0" w:space="0" w:color="auto"/>
                      </w:divBdr>
                    </w:div>
                  </w:divsChild>
                </w:div>
                <w:div w:id="1639458912">
                  <w:marLeft w:val="0"/>
                  <w:marRight w:val="0"/>
                  <w:marTop w:val="0"/>
                  <w:marBottom w:val="0"/>
                  <w:divBdr>
                    <w:top w:val="none" w:sz="0" w:space="0" w:color="auto"/>
                    <w:left w:val="none" w:sz="0" w:space="0" w:color="auto"/>
                    <w:bottom w:val="none" w:sz="0" w:space="0" w:color="auto"/>
                    <w:right w:val="none" w:sz="0" w:space="0" w:color="auto"/>
                  </w:divBdr>
                  <w:divsChild>
                    <w:div w:id="287588986">
                      <w:marLeft w:val="0"/>
                      <w:marRight w:val="0"/>
                      <w:marTop w:val="0"/>
                      <w:marBottom w:val="0"/>
                      <w:divBdr>
                        <w:top w:val="none" w:sz="0" w:space="0" w:color="auto"/>
                        <w:left w:val="none" w:sz="0" w:space="0" w:color="auto"/>
                        <w:bottom w:val="none" w:sz="0" w:space="0" w:color="auto"/>
                        <w:right w:val="none" w:sz="0" w:space="0" w:color="auto"/>
                      </w:divBdr>
                    </w:div>
                  </w:divsChild>
                </w:div>
                <w:div w:id="1642343597">
                  <w:marLeft w:val="0"/>
                  <w:marRight w:val="0"/>
                  <w:marTop w:val="0"/>
                  <w:marBottom w:val="0"/>
                  <w:divBdr>
                    <w:top w:val="none" w:sz="0" w:space="0" w:color="auto"/>
                    <w:left w:val="none" w:sz="0" w:space="0" w:color="auto"/>
                    <w:bottom w:val="none" w:sz="0" w:space="0" w:color="auto"/>
                    <w:right w:val="none" w:sz="0" w:space="0" w:color="auto"/>
                  </w:divBdr>
                  <w:divsChild>
                    <w:div w:id="1351955522">
                      <w:marLeft w:val="0"/>
                      <w:marRight w:val="0"/>
                      <w:marTop w:val="0"/>
                      <w:marBottom w:val="0"/>
                      <w:divBdr>
                        <w:top w:val="none" w:sz="0" w:space="0" w:color="auto"/>
                        <w:left w:val="none" w:sz="0" w:space="0" w:color="auto"/>
                        <w:bottom w:val="none" w:sz="0" w:space="0" w:color="auto"/>
                        <w:right w:val="none" w:sz="0" w:space="0" w:color="auto"/>
                      </w:divBdr>
                    </w:div>
                  </w:divsChild>
                </w:div>
                <w:div w:id="1854568959">
                  <w:marLeft w:val="0"/>
                  <w:marRight w:val="0"/>
                  <w:marTop w:val="0"/>
                  <w:marBottom w:val="0"/>
                  <w:divBdr>
                    <w:top w:val="none" w:sz="0" w:space="0" w:color="auto"/>
                    <w:left w:val="none" w:sz="0" w:space="0" w:color="auto"/>
                    <w:bottom w:val="none" w:sz="0" w:space="0" w:color="auto"/>
                    <w:right w:val="none" w:sz="0" w:space="0" w:color="auto"/>
                  </w:divBdr>
                  <w:divsChild>
                    <w:div w:id="123356261">
                      <w:marLeft w:val="0"/>
                      <w:marRight w:val="0"/>
                      <w:marTop w:val="0"/>
                      <w:marBottom w:val="0"/>
                      <w:divBdr>
                        <w:top w:val="none" w:sz="0" w:space="0" w:color="auto"/>
                        <w:left w:val="none" w:sz="0" w:space="0" w:color="auto"/>
                        <w:bottom w:val="none" w:sz="0" w:space="0" w:color="auto"/>
                        <w:right w:val="none" w:sz="0" w:space="0" w:color="auto"/>
                      </w:divBdr>
                    </w:div>
                  </w:divsChild>
                </w:div>
                <w:div w:id="1861237746">
                  <w:marLeft w:val="0"/>
                  <w:marRight w:val="0"/>
                  <w:marTop w:val="0"/>
                  <w:marBottom w:val="0"/>
                  <w:divBdr>
                    <w:top w:val="none" w:sz="0" w:space="0" w:color="auto"/>
                    <w:left w:val="none" w:sz="0" w:space="0" w:color="auto"/>
                    <w:bottom w:val="none" w:sz="0" w:space="0" w:color="auto"/>
                    <w:right w:val="none" w:sz="0" w:space="0" w:color="auto"/>
                  </w:divBdr>
                  <w:divsChild>
                    <w:div w:id="1871797884">
                      <w:marLeft w:val="0"/>
                      <w:marRight w:val="0"/>
                      <w:marTop w:val="0"/>
                      <w:marBottom w:val="0"/>
                      <w:divBdr>
                        <w:top w:val="none" w:sz="0" w:space="0" w:color="auto"/>
                        <w:left w:val="none" w:sz="0" w:space="0" w:color="auto"/>
                        <w:bottom w:val="none" w:sz="0" w:space="0" w:color="auto"/>
                        <w:right w:val="none" w:sz="0" w:space="0" w:color="auto"/>
                      </w:divBdr>
                    </w:div>
                  </w:divsChild>
                </w:div>
                <w:div w:id="1912084723">
                  <w:marLeft w:val="0"/>
                  <w:marRight w:val="0"/>
                  <w:marTop w:val="0"/>
                  <w:marBottom w:val="0"/>
                  <w:divBdr>
                    <w:top w:val="none" w:sz="0" w:space="0" w:color="auto"/>
                    <w:left w:val="none" w:sz="0" w:space="0" w:color="auto"/>
                    <w:bottom w:val="none" w:sz="0" w:space="0" w:color="auto"/>
                    <w:right w:val="none" w:sz="0" w:space="0" w:color="auto"/>
                  </w:divBdr>
                  <w:divsChild>
                    <w:div w:id="16399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58838">
          <w:marLeft w:val="0"/>
          <w:marRight w:val="0"/>
          <w:marTop w:val="0"/>
          <w:marBottom w:val="0"/>
          <w:divBdr>
            <w:top w:val="none" w:sz="0" w:space="0" w:color="auto"/>
            <w:left w:val="none" w:sz="0" w:space="0" w:color="auto"/>
            <w:bottom w:val="none" w:sz="0" w:space="0" w:color="auto"/>
            <w:right w:val="none" w:sz="0" w:space="0" w:color="auto"/>
          </w:divBdr>
        </w:div>
        <w:div w:id="1609969796">
          <w:marLeft w:val="0"/>
          <w:marRight w:val="0"/>
          <w:marTop w:val="0"/>
          <w:marBottom w:val="0"/>
          <w:divBdr>
            <w:top w:val="none" w:sz="0" w:space="0" w:color="auto"/>
            <w:left w:val="none" w:sz="0" w:space="0" w:color="auto"/>
            <w:bottom w:val="none" w:sz="0" w:space="0" w:color="auto"/>
            <w:right w:val="none" w:sz="0" w:space="0" w:color="auto"/>
          </w:divBdr>
        </w:div>
        <w:div w:id="1784184425">
          <w:marLeft w:val="0"/>
          <w:marRight w:val="0"/>
          <w:marTop w:val="0"/>
          <w:marBottom w:val="0"/>
          <w:divBdr>
            <w:top w:val="none" w:sz="0" w:space="0" w:color="auto"/>
            <w:left w:val="none" w:sz="0" w:space="0" w:color="auto"/>
            <w:bottom w:val="none" w:sz="0" w:space="0" w:color="auto"/>
            <w:right w:val="none" w:sz="0" w:space="0" w:color="auto"/>
          </w:divBdr>
        </w:div>
        <w:div w:id="1799957077">
          <w:marLeft w:val="0"/>
          <w:marRight w:val="0"/>
          <w:marTop w:val="0"/>
          <w:marBottom w:val="0"/>
          <w:divBdr>
            <w:top w:val="none" w:sz="0" w:space="0" w:color="auto"/>
            <w:left w:val="none" w:sz="0" w:space="0" w:color="auto"/>
            <w:bottom w:val="none" w:sz="0" w:space="0" w:color="auto"/>
            <w:right w:val="none" w:sz="0" w:space="0" w:color="auto"/>
          </w:divBdr>
        </w:div>
        <w:div w:id="1972437246">
          <w:marLeft w:val="0"/>
          <w:marRight w:val="0"/>
          <w:marTop w:val="0"/>
          <w:marBottom w:val="0"/>
          <w:divBdr>
            <w:top w:val="none" w:sz="0" w:space="0" w:color="auto"/>
            <w:left w:val="none" w:sz="0" w:space="0" w:color="auto"/>
            <w:bottom w:val="none" w:sz="0" w:space="0" w:color="auto"/>
            <w:right w:val="none" w:sz="0" w:space="0" w:color="auto"/>
          </w:divBdr>
        </w:div>
      </w:divsChild>
    </w:div>
    <w:div w:id="614288724">
      <w:bodyDiv w:val="1"/>
      <w:marLeft w:val="0"/>
      <w:marRight w:val="0"/>
      <w:marTop w:val="0"/>
      <w:marBottom w:val="0"/>
      <w:divBdr>
        <w:top w:val="none" w:sz="0" w:space="0" w:color="auto"/>
        <w:left w:val="none" w:sz="0" w:space="0" w:color="auto"/>
        <w:bottom w:val="none" w:sz="0" w:space="0" w:color="auto"/>
        <w:right w:val="none" w:sz="0" w:space="0" w:color="auto"/>
      </w:divBdr>
    </w:div>
    <w:div w:id="621034898">
      <w:bodyDiv w:val="1"/>
      <w:marLeft w:val="0"/>
      <w:marRight w:val="0"/>
      <w:marTop w:val="0"/>
      <w:marBottom w:val="0"/>
      <w:divBdr>
        <w:top w:val="none" w:sz="0" w:space="0" w:color="auto"/>
        <w:left w:val="none" w:sz="0" w:space="0" w:color="auto"/>
        <w:bottom w:val="none" w:sz="0" w:space="0" w:color="auto"/>
        <w:right w:val="none" w:sz="0" w:space="0" w:color="auto"/>
      </w:divBdr>
    </w:div>
    <w:div w:id="625355090">
      <w:bodyDiv w:val="1"/>
      <w:marLeft w:val="0"/>
      <w:marRight w:val="0"/>
      <w:marTop w:val="0"/>
      <w:marBottom w:val="0"/>
      <w:divBdr>
        <w:top w:val="none" w:sz="0" w:space="0" w:color="auto"/>
        <w:left w:val="none" w:sz="0" w:space="0" w:color="auto"/>
        <w:bottom w:val="none" w:sz="0" w:space="0" w:color="auto"/>
        <w:right w:val="none" w:sz="0" w:space="0" w:color="auto"/>
      </w:divBdr>
    </w:div>
    <w:div w:id="631131410">
      <w:bodyDiv w:val="1"/>
      <w:marLeft w:val="0"/>
      <w:marRight w:val="0"/>
      <w:marTop w:val="0"/>
      <w:marBottom w:val="0"/>
      <w:divBdr>
        <w:top w:val="none" w:sz="0" w:space="0" w:color="auto"/>
        <w:left w:val="none" w:sz="0" w:space="0" w:color="auto"/>
        <w:bottom w:val="none" w:sz="0" w:space="0" w:color="auto"/>
        <w:right w:val="none" w:sz="0" w:space="0" w:color="auto"/>
      </w:divBdr>
      <w:divsChild>
        <w:div w:id="320432773">
          <w:marLeft w:val="0"/>
          <w:marRight w:val="0"/>
          <w:marTop w:val="0"/>
          <w:marBottom w:val="0"/>
          <w:divBdr>
            <w:top w:val="none" w:sz="0" w:space="0" w:color="auto"/>
            <w:left w:val="none" w:sz="0" w:space="0" w:color="auto"/>
            <w:bottom w:val="none" w:sz="0" w:space="0" w:color="auto"/>
            <w:right w:val="none" w:sz="0" w:space="0" w:color="auto"/>
          </w:divBdr>
          <w:divsChild>
            <w:div w:id="851721681">
              <w:marLeft w:val="0"/>
              <w:marRight w:val="0"/>
              <w:marTop w:val="0"/>
              <w:marBottom w:val="0"/>
              <w:divBdr>
                <w:top w:val="none" w:sz="0" w:space="0" w:color="auto"/>
                <w:left w:val="none" w:sz="0" w:space="0" w:color="auto"/>
                <w:bottom w:val="none" w:sz="0" w:space="0" w:color="auto"/>
                <w:right w:val="none" w:sz="0" w:space="0" w:color="auto"/>
              </w:divBdr>
              <w:divsChild>
                <w:div w:id="11442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7533">
      <w:bodyDiv w:val="1"/>
      <w:marLeft w:val="0"/>
      <w:marRight w:val="0"/>
      <w:marTop w:val="0"/>
      <w:marBottom w:val="0"/>
      <w:divBdr>
        <w:top w:val="none" w:sz="0" w:space="0" w:color="auto"/>
        <w:left w:val="none" w:sz="0" w:space="0" w:color="auto"/>
        <w:bottom w:val="none" w:sz="0" w:space="0" w:color="auto"/>
        <w:right w:val="none" w:sz="0" w:space="0" w:color="auto"/>
      </w:divBdr>
    </w:div>
    <w:div w:id="644433423">
      <w:bodyDiv w:val="1"/>
      <w:marLeft w:val="0"/>
      <w:marRight w:val="0"/>
      <w:marTop w:val="0"/>
      <w:marBottom w:val="0"/>
      <w:divBdr>
        <w:top w:val="none" w:sz="0" w:space="0" w:color="auto"/>
        <w:left w:val="none" w:sz="0" w:space="0" w:color="auto"/>
        <w:bottom w:val="none" w:sz="0" w:space="0" w:color="auto"/>
        <w:right w:val="none" w:sz="0" w:space="0" w:color="auto"/>
      </w:divBdr>
    </w:div>
    <w:div w:id="645427693">
      <w:bodyDiv w:val="1"/>
      <w:marLeft w:val="0"/>
      <w:marRight w:val="0"/>
      <w:marTop w:val="0"/>
      <w:marBottom w:val="0"/>
      <w:divBdr>
        <w:top w:val="none" w:sz="0" w:space="0" w:color="auto"/>
        <w:left w:val="none" w:sz="0" w:space="0" w:color="auto"/>
        <w:bottom w:val="none" w:sz="0" w:space="0" w:color="auto"/>
        <w:right w:val="none" w:sz="0" w:space="0" w:color="auto"/>
      </w:divBdr>
    </w:div>
    <w:div w:id="647905848">
      <w:bodyDiv w:val="1"/>
      <w:marLeft w:val="0"/>
      <w:marRight w:val="0"/>
      <w:marTop w:val="0"/>
      <w:marBottom w:val="0"/>
      <w:divBdr>
        <w:top w:val="none" w:sz="0" w:space="0" w:color="auto"/>
        <w:left w:val="none" w:sz="0" w:space="0" w:color="auto"/>
        <w:bottom w:val="none" w:sz="0" w:space="0" w:color="auto"/>
        <w:right w:val="none" w:sz="0" w:space="0" w:color="auto"/>
      </w:divBdr>
    </w:div>
    <w:div w:id="651714580">
      <w:bodyDiv w:val="1"/>
      <w:marLeft w:val="0"/>
      <w:marRight w:val="0"/>
      <w:marTop w:val="0"/>
      <w:marBottom w:val="0"/>
      <w:divBdr>
        <w:top w:val="none" w:sz="0" w:space="0" w:color="auto"/>
        <w:left w:val="none" w:sz="0" w:space="0" w:color="auto"/>
        <w:bottom w:val="none" w:sz="0" w:space="0" w:color="auto"/>
        <w:right w:val="none" w:sz="0" w:space="0" w:color="auto"/>
      </w:divBdr>
      <w:divsChild>
        <w:div w:id="383332563">
          <w:marLeft w:val="0"/>
          <w:marRight w:val="0"/>
          <w:marTop w:val="0"/>
          <w:marBottom w:val="0"/>
          <w:divBdr>
            <w:top w:val="none" w:sz="0" w:space="0" w:color="auto"/>
            <w:left w:val="none" w:sz="0" w:space="0" w:color="auto"/>
            <w:bottom w:val="none" w:sz="0" w:space="0" w:color="auto"/>
            <w:right w:val="none" w:sz="0" w:space="0" w:color="auto"/>
          </w:divBdr>
          <w:divsChild>
            <w:div w:id="1692337997">
              <w:marLeft w:val="0"/>
              <w:marRight w:val="0"/>
              <w:marTop w:val="0"/>
              <w:marBottom w:val="0"/>
              <w:divBdr>
                <w:top w:val="none" w:sz="0" w:space="0" w:color="auto"/>
                <w:left w:val="none" w:sz="0" w:space="0" w:color="auto"/>
                <w:bottom w:val="none" w:sz="0" w:space="0" w:color="auto"/>
                <w:right w:val="none" w:sz="0" w:space="0" w:color="auto"/>
              </w:divBdr>
              <w:divsChild>
                <w:div w:id="1638366716">
                  <w:marLeft w:val="0"/>
                  <w:marRight w:val="0"/>
                  <w:marTop w:val="0"/>
                  <w:marBottom w:val="0"/>
                  <w:divBdr>
                    <w:top w:val="none" w:sz="0" w:space="0" w:color="auto"/>
                    <w:left w:val="none" w:sz="0" w:space="0" w:color="auto"/>
                    <w:bottom w:val="none" w:sz="0" w:space="0" w:color="auto"/>
                    <w:right w:val="none" w:sz="0" w:space="0" w:color="auto"/>
                  </w:divBdr>
                  <w:divsChild>
                    <w:div w:id="250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12064">
      <w:bodyDiv w:val="1"/>
      <w:marLeft w:val="0"/>
      <w:marRight w:val="0"/>
      <w:marTop w:val="0"/>
      <w:marBottom w:val="0"/>
      <w:divBdr>
        <w:top w:val="none" w:sz="0" w:space="0" w:color="auto"/>
        <w:left w:val="none" w:sz="0" w:space="0" w:color="auto"/>
        <w:bottom w:val="none" w:sz="0" w:space="0" w:color="auto"/>
        <w:right w:val="none" w:sz="0" w:space="0" w:color="auto"/>
      </w:divBdr>
    </w:div>
    <w:div w:id="660499738">
      <w:bodyDiv w:val="1"/>
      <w:marLeft w:val="0"/>
      <w:marRight w:val="0"/>
      <w:marTop w:val="0"/>
      <w:marBottom w:val="0"/>
      <w:divBdr>
        <w:top w:val="none" w:sz="0" w:space="0" w:color="auto"/>
        <w:left w:val="none" w:sz="0" w:space="0" w:color="auto"/>
        <w:bottom w:val="none" w:sz="0" w:space="0" w:color="auto"/>
        <w:right w:val="none" w:sz="0" w:space="0" w:color="auto"/>
      </w:divBdr>
      <w:divsChild>
        <w:div w:id="729887465">
          <w:marLeft w:val="0"/>
          <w:marRight w:val="0"/>
          <w:marTop w:val="0"/>
          <w:marBottom w:val="0"/>
          <w:divBdr>
            <w:top w:val="none" w:sz="0" w:space="0" w:color="auto"/>
            <w:left w:val="none" w:sz="0" w:space="0" w:color="auto"/>
            <w:bottom w:val="none" w:sz="0" w:space="0" w:color="auto"/>
            <w:right w:val="none" w:sz="0" w:space="0" w:color="auto"/>
          </w:divBdr>
          <w:divsChild>
            <w:div w:id="1569461527">
              <w:marLeft w:val="0"/>
              <w:marRight w:val="0"/>
              <w:marTop w:val="0"/>
              <w:marBottom w:val="0"/>
              <w:divBdr>
                <w:top w:val="none" w:sz="0" w:space="0" w:color="auto"/>
                <w:left w:val="none" w:sz="0" w:space="0" w:color="auto"/>
                <w:bottom w:val="none" w:sz="0" w:space="0" w:color="auto"/>
                <w:right w:val="none" w:sz="0" w:space="0" w:color="auto"/>
              </w:divBdr>
              <w:divsChild>
                <w:div w:id="16086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88051">
      <w:bodyDiv w:val="1"/>
      <w:marLeft w:val="0"/>
      <w:marRight w:val="0"/>
      <w:marTop w:val="0"/>
      <w:marBottom w:val="0"/>
      <w:divBdr>
        <w:top w:val="none" w:sz="0" w:space="0" w:color="auto"/>
        <w:left w:val="none" w:sz="0" w:space="0" w:color="auto"/>
        <w:bottom w:val="none" w:sz="0" w:space="0" w:color="auto"/>
        <w:right w:val="none" w:sz="0" w:space="0" w:color="auto"/>
      </w:divBdr>
      <w:divsChild>
        <w:div w:id="98377718">
          <w:marLeft w:val="0"/>
          <w:marRight w:val="0"/>
          <w:marTop w:val="0"/>
          <w:marBottom w:val="0"/>
          <w:divBdr>
            <w:top w:val="none" w:sz="0" w:space="0" w:color="auto"/>
            <w:left w:val="none" w:sz="0" w:space="0" w:color="auto"/>
            <w:bottom w:val="none" w:sz="0" w:space="0" w:color="auto"/>
            <w:right w:val="none" w:sz="0" w:space="0" w:color="auto"/>
          </w:divBdr>
          <w:divsChild>
            <w:div w:id="1345748764">
              <w:marLeft w:val="0"/>
              <w:marRight w:val="0"/>
              <w:marTop w:val="0"/>
              <w:marBottom w:val="0"/>
              <w:divBdr>
                <w:top w:val="none" w:sz="0" w:space="0" w:color="auto"/>
                <w:left w:val="none" w:sz="0" w:space="0" w:color="auto"/>
                <w:bottom w:val="none" w:sz="0" w:space="0" w:color="auto"/>
                <w:right w:val="none" w:sz="0" w:space="0" w:color="auto"/>
              </w:divBdr>
              <w:divsChild>
                <w:div w:id="1901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3517">
      <w:bodyDiv w:val="1"/>
      <w:marLeft w:val="0"/>
      <w:marRight w:val="0"/>
      <w:marTop w:val="0"/>
      <w:marBottom w:val="0"/>
      <w:divBdr>
        <w:top w:val="none" w:sz="0" w:space="0" w:color="auto"/>
        <w:left w:val="none" w:sz="0" w:space="0" w:color="auto"/>
        <w:bottom w:val="none" w:sz="0" w:space="0" w:color="auto"/>
        <w:right w:val="none" w:sz="0" w:space="0" w:color="auto"/>
      </w:divBdr>
      <w:divsChild>
        <w:div w:id="1473028">
          <w:marLeft w:val="0"/>
          <w:marRight w:val="0"/>
          <w:marTop w:val="0"/>
          <w:marBottom w:val="0"/>
          <w:divBdr>
            <w:top w:val="none" w:sz="0" w:space="0" w:color="auto"/>
            <w:left w:val="none" w:sz="0" w:space="0" w:color="auto"/>
            <w:bottom w:val="none" w:sz="0" w:space="0" w:color="auto"/>
            <w:right w:val="none" w:sz="0" w:space="0" w:color="auto"/>
          </w:divBdr>
        </w:div>
        <w:div w:id="46151017">
          <w:marLeft w:val="0"/>
          <w:marRight w:val="0"/>
          <w:marTop w:val="0"/>
          <w:marBottom w:val="0"/>
          <w:divBdr>
            <w:top w:val="none" w:sz="0" w:space="0" w:color="auto"/>
            <w:left w:val="none" w:sz="0" w:space="0" w:color="auto"/>
            <w:bottom w:val="none" w:sz="0" w:space="0" w:color="auto"/>
            <w:right w:val="none" w:sz="0" w:space="0" w:color="auto"/>
          </w:divBdr>
        </w:div>
        <w:div w:id="469981994">
          <w:marLeft w:val="0"/>
          <w:marRight w:val="0"/>
          <w:marTop w:val="0"/>
          <w:marBottom w:val="0"/>
          <w:divBdr>
            <w:top w:val="none" w:sz="0" w:space="0" w:color="auto"/>
            <w:left w:val="none" w:sz="0" w:space="0" w:color="auto"/>
            <w:bottom w:val="none" w:sz="0" w:space="0" w:color="auto"/>
            <w:right w:val="none" w:sz="0" w:space="0" w:color="auto"/>
          </w:divBdr>
        </w:div>
        <w:div w:id="496504168">
          <w:marLeft w:val="0"/>
          <w:marRight w:val="0"/>
          <w:marTop w:val="0"/>
          <w:marBottom w:val="0"/>
          <w:divBdr>
            <w:top w:val="none" w:sz="0" w:space="0" w:color="auto"/>
            <w:left w:val="none" w:sz="0" w:space="0" w:color="auto"/>
            <w:bottom w:val="none" w:sz="0" w:space="0" w:color="auto"/>
            <w:right w:val="none" w:sz="0" w:space="0" w:color="auto"/>
          </w:divBdr>
        </w:div>
        <w:div w:id="807825554">
          <w:marLeft w:val="0"/>
          <w:marRight w:val="0"/>
          <w:marTop w:val="0"/>
          <w:marBottom w:val="0"/>
          <w:divBdr>
            <w:top w:val="none" w:sz="0" w:space="0" w:color="auto"/>
            <w:left w:val="none" w:sz="0" w:space="0" w:color="auto"/>
            <w:bottom w:val="none" w:sz="0" w:space="0" w:color="auto"/>
            <w:right w:val="none" w:sz="0" w:space="0" w:color="auto"/>
          </w:divBdr>
        </w:div>
        <w:div w:id="939873981">
          <w:marLeft w:val="0"/>
          <w:marRight w:val="0"/>
          <w:marTop w:val="0"/>
          <w:marBottom w:val="0"/>
          <w:divBdr>
            <w:top w:val="none" w:sz="0" w:space="0" w:color="auto"/>
            <w:left w:val="none" w:sz="0" w:space="0" w:color="auto"/>
            <w:bottom w:val="none" w:sz="0" w:space="0" w:color="auto"/>
            <w:right w:val="none" w:sz="0" w:space="0" w:color="auto"/>
          </w:divBdr>
        </w:div>
        <w:div w:id="1128551890">
          <w:marLeft w:val="0"/>
          <w:marRight w:val="0"/>
          <w:marTop w:val="0"/>
          <w:marBottom w:val="0"/>
          <w:divBdr>
            <w:top w:val="none" w:sz="0" w:space="0" w:color="auto"/>
            <w:left w:val="none" w:sz="0" w:space="0" w:color="auto"/>
            <w:bottom w:val="none" w:sz="0" w:space="0" w:color="auto"/>
            <w:right w:val="none" w:sz="0" w:space="0" w:color="auto"/>
          </w:divBdr>
        </w:div>
        <w:div w:id="1432124556">
          <w:marLeft w:val="0"/>
          <w:marRight w:val="0"/>
          <w:marTop w:val="0"/>
          <w:marBottom w:val="0"/>
          <w:divBdr>
            <w:top w:val="none" w:sz="0" w:space="0" w:color="auto"/>
            <w:left w:val="none" w:sz="0" w:space="0" w:color="auto"/>
            <w:bottom w:val="none" w:sz="0" w:space="0" w:color="auto"/>
            <w:right w:val="none" w:sz="0" w:space="0" w:color="auto"/>
          </w:divBdr>
        </w:div>
        <w:div w:id="1956013627">
          <w:marLeft w:val="0"/>
          <w:marRight w:val="0"/>
          <w:marTop w:val="0"/>
          <w:marBottom w:val="0"/>
          <w:divBdr>
            <w:top w:val="none" w:sz="0" w:space="0" w:color="auto"/>
            <w:left w:val="none" w:sz="0" w:space="0" w:color="auto"/>
            <w:bottom w:val="none" w:sz="0" w:space="0" w:color="auto"/>
            <w:right w:val="none" w:sz="0" w:space="0" w:color="auto"/>
          </w:divBdr>
        </w:div>
      </w:divsChild>
    </w:div>
    <w:div w:id="697698724">
      <w:bodyDiv w:val="1"/>
      <w:marLeft w:val="0"/>
      <w:marRight w:val="0"/>
      <w:marTop w:val="0"/>
      <w:marBottom w:val="0"/>
      <w:divBdr>
        <w:top w:val="none" w:sz="0" w:space="0" w:color="auto"/>
        <w:left w:val="none" w:sz="0" w:space="0" w:color="auto"/>
        <w:bottom w:val="none" w:sz="0" w:space="0" w:color="auto"/>
        <w:right w:val="none" w:sz="0" w:space="0" w:color="auto"/>
      </w:divBdr>
    </w:div>
    <w:div w:id="698238718">
      <w:bodyDiv w:val="1"/>
      <w:marLeft w:val="0"/>
      <w:marRight w:val="0"/>
      <w:marTop w:val="0"/>
      <w:marBottom w:val="0"/>
      <w:divBdr>
        <w:top w:val="none" w:sz="0" w:space="0" w:color="auto"/>
        <w:left w:val="none" w:sz="0" w:space="0" w:color="auto"/>
        <w:bottom w:val="none" w:sz="0" w:space="0" w:color="auto"/>
        <w:right w:val="none" w:sz="0" w:space="0" w:color="auto"/>
      </w:divBdr>
      <w:divsChild>
        <w:div w:id="1217201614">
          <w:marLeft w:val="0"/>
          <w:marRight w:val="0"/>
          <w:marTop w:val="0"/>
          <w:marBottom w:val="0"/>
          <w:divBdr>
            <w:top w:val="none" w:sz="0" w:space="0" w:color="auto"/>
            <w:left w:val="none" w:sz="0" w:space="0" w:color="auto"/>
            <w:bottom w:val="none" w:sz="0" w:space="0" w:color="auto"/>
            <w:right w:val="none" w:sz="0" w:space="0" w:color="auto"/>
          </w:divBdr>
          <w:divsChild>
            <w:div w:id="1706323734">
              <w:marLeft w:val="0"/>
              <w:marRight w:val="0"/>
              <w:marTop w:val="0"/>
              <w:marBottom w:val="0"/>
              <w:divBdr>
                <w:top w:val="none" w:sz="0" w:space="0" w:color="auto"/>
                <w:left w:val="none" w:sz="0" w:space="0" w:color="auto"/>
                <w:bottom w:val="none" w:sz="0" w:space="0" w:color="auto"/>
                <w:right w:val="none" w:sz="0" w:space="0" w:color="auto"/>
              </w:divBdr>
              <w:divsChild>
                <w:div w:id="11665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6525">
      <w:bodyDiv w:val="1"/>
      <w:marLeft w:val="0"/>
      <w:marRight w:val="0"/>
      <w:marTop w:val="0"/>
      <w:marBottom w:val="0"/>
      <w:divBdr>
        <w:top w:val="none" w:sz="0" w:space="0" w:color="auto"/>
        <w:left w:val="none" w:sz="0" w:space="0" w:color="auto"/>
        <w:bottom w:val="none" w:sz="0" w:space="0" w:color="auto"/>
        <w:right w:val="none" w:sz="0" w:space="0" w:color="auto"/>
      </w:divBdr>
      <w:divsChild>
        <w:div w:id="182595745">
          <w:marLeft w:val="0"/>
          <w:marRight w:val="0"/>
          <w:marTop w:val="0"/>
          <w:marBottom w:val="0"/>
          <w:divBdr>
            <w:top w:val="none" w:sz="0" w:space="0" w:color="auto"/>
            <w:left w:val="none" w:sz="0" w:space="0" w:color="auto"/>
            <w:bottom w:val="none" w:sz="0" w:space="0" w:color="auto"/>
            <w:right w:val="none" w:sz="0" w:space="0" w:color="auto"/>
          </w:divBdr>
        </w:div>
      </w:divsChild>
    </w:div>
    <w:div w:id="701594455">
      <w:bodyDiv w:val="1"/>
      <w:marLeft w:val="0"/>
      <w:marRight w:val="0"/>
      <w:marTop w:val="0"/>
      <w:marBottom w:val="0"/>
      <w:divBdr>
        <w:top w:val="none" w:sz="0" w:space="0" w:color="auto"/>
        <w:left w:val="none" w:sz="0" w:space="0" w:color="auto"/>
        <w:bottom w:val="none" w:sz="0" w:space="0" w:color="auto"/>
        <w:right w:val="none" w:sz="0" w:space="0" w:color="auto"/>
      </w:divBdr>
    </w:div>
    <w:div w:id="702443230">
      <w:bodyDiv w:val="1"/>
      <w:marLeft w:val="0"/>
      <w:marRight w:val="0"/>
      <w:marTop w:val="0"/>
      <w:marBottom w:val="0"/>
      <w:divBdr>
        <w:top w:val="none" w:sz="0" w:space="0" w:color="auto"/>
        <w:left w:val="none" w:sz="0" w:space="0" w:color="auto"/>
        <w:bottom w:val="none" w:sz="0" w:space="0" w:color="auto"/>
        <w:right w:val="none" w:sz="0" w:space="0" w:color="auto"/>
      </w:divBdr>
    </w:div>
    <w:div w:id="725569640">
      <w:bodyDiv w:val="1"/>
      <w:marLeft w:val="0"/>
      <w:marRight w:val="0"/>
      <w:marTop w:val="0"/>
      <w:marBottom w:val="0"/>
      <w:divBdr>
        <w:top w:val="none" w:sz="0" w:space="0" w:color="auto"/>
        <w:left w:val="none" w:sz="0" w:space="0" w:color="auto"/>
        <w:bottom w:val="none" w:sz="0" w:space="0" w:color="auto"/>
        <w:right w:val="none" w:sz="0" w:space="0" w:color="auto"/>
      </w:divBdr>
    </w:div>
    <w:div w:id="785657967">
      <w:bodyDiv w:val="1"/>
      <w:marLeft w:val="0"/>
      <w:marRight w:val="0"/>
      <w:marTop w:val="0"/>
      <w:marBottom w:val="0"/>
      <w:divBdr>
        <w:top w:val="none" w:sz="0" w:space="0" w:color="auto"/>
        <w:left w:val="none" w:sz="0" w:space="0" w:color="auto"/>
        <w:bottom w:val="none" w:sz="0" w:space="0" w:color="auto"/>
        <w:right w:val="none" w:sz="0" w:space="0" w:color="auto"/>
      </w:divBdr>
      <w:divsChild>
        <w:div w:id="1241521182">
          <w:marLeft w:val="0"/>
          <w:marRight w:val="0"/>
          <w:marTop w:val="0"/>
          <w:marBottom w:val="0"/>
          <w:divBdr>
            <w:top w:val="none" w:sz="0" w:space="0" w:color="auto"/>
            <w:left w:val="none" w:sz="0" w:space="0" w:color="auto"/>
            <w:bottom w:val="none" w:sz="0" w:space="0" w:color="auto"/>
            <w:right w:val="none" w:sz="0" w:space="0" w:color="auto"/>
          </w:divBdr>
          <w:divsChild>
            <w:div w:id="231279011">
              <w:marLeft w:val="0"/>
              <w:marRight w:val="0"/>
              <w:marTop w:val="0"/>
              <w:marBottom w:val="0"/>
              <w:divBdr>
                <w:top w:val="none" w:sz="0" w:space="0" w:color="auto"/>
                <w:left w:val="none" w:sz="0" w:space="0" w:color="auto"/>
                <w:bottom w:val="none" w:sz="0" w:space="0" w:color="auto"/>
                <w:right w:val="none" w:sz="0" w:space="0" w:color="auto"/>
              </w:divBdr>
              <w:divsChild>
                <w:div w:id="19894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475619">
      <w:bodyDiv w:val="1"/>
      <w:marLeft w:val="0"/>
      <w:marRight w:val="0"/>
      <w:marTop w:val="0"/>
      <w:marBottom w:val="0"/>
      <w:divBdr>
        <w:top w:val="none" w:sz="0" w:space="0" w:color="auto"/>
        <w:left w:val="none" w:sz="0" w:space="0" w:color="auto"/>
        <w:bottom w:val="none" w:sz="0" w:space="0" w:color="auto"/>
        <w:right w:val="none" w:sz="0" w:space="0" w:color="auto"/>
      </w:divBdr>
      <w:divsChild>
        <w:div w:id="188684368">
          <w:marLeft w:val="0"/>
          <w:marRight w:val="0"/>
          <w:marTop w:val="0"/>
          <w:marBottom w:val="0"/>
          <w:divBdr>
            <w:top w:val="none" w:sz="0" w:space="0" w:color="auto"/>
            <w:left w:val="none" w:sz="0" w:space="0" w:color="auto"/>
            <w:bottom w:val="none" w:sz="0" w:space="0" w:color="auto"/>
            <w:right w:val="none" w:sz="0" w:space="0" w:color="auto"/>
          </w:divBdr>
          <w:divsChild>
            <w:div w:id="2007584577">
              <w:marLeft w:val="0"/>
              <w:marRight w:val="0"/>
              <w:marTop w:val="0"/>
              <w:marBottom w:val="0"/>
              <w:divBdr>
                <w:top w:val="none" w:sz="0" w:space="0" w:color="auto"/>
                <w:left w:val="none" w:sz="0" w:space="0" w:color="auto"/>
                <w:bottom w:val="none" w:sz="0" w:space="0" w:color="auto"/>
                <w:right w:val="none" w:sz="0" w:space="0" w:color="auto"/>
              </w:divBdr>
              <w:divsChild>
                <w:div w:id="2070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1579">
      <w:bodyDiv w:val="1"/>
      <w:marLeft w:val="0"/>
      <w:marRight w:val="0"/>
      <w:marTop w:val="0"/>
      <w:marBottom w:val="0"/>
      <w:divBdr>
        <w:top w:val="none" w:sz="0" w:space="0" w:color="auto"/>
        <w:left w:val="none" w:sz="0" w:space="0" w:color="auto"/>
        <w:bottom w:val="none" w:sz="0" w:space="0" w:color="auto"/>
        <w:right w:val="none" w:sz="0" w:space="0" w:color="auto"/>
      </w:divBdr>
    </w:div>
    <w:div w:id="835419937">
      <w:bodyDiv w:val="1"/>
      <w:marLeft w:val="0"/>
      <w:marRight w:val="0"/>
      <w:marTop w:val="0"/>
      <w:marBottom w:val="0"/>
      <w:divBdr>
        <w:top w:val="none" w:sz="0" w:space="0" w:color="auto"/>
        <w:left w:val="none" w:sz="0" w:space="0" w:color="auto"/>
        <w:bottom w:val="none" w:sz="0" w:space="0" w:color="auto"/>
        <w:right w:val="none" w:sz="0" w:space="0" w:color="auto"/>
      </w:divBdr>
    </w:div>
    <w:div w:id="838615837">
      <w:bodyDiv w:val="1"/>
      <w:marLeft w:val="0"/>
      <w:marRight w:val="0"/>
      <w:marTop w:val="0"/>
      <w:marBottom w:val="0"/>
      <w:divBdr>
        <w:top w:val="none" w:sz="0" w:space="0" w:color="auto"/>
        <w:left w:val="none" w:sz="0" w:space="0" w:color="auto"/>
        <w:bottom w:val="none" w:sz="0" w:space="0" w:color="auto"/>
        <w:right w:val="none" w:sz="0" w:space="0" w:color="auto"/>
      </w:divBdr>
    </w:div>
    <w:div w:id="841968307">
      <w:bodyDiv w:val="1"/>
      <w:marLeft w:val="0"/>
      <w:marRight w:val="0"/>
      <w:marTop w:val="0"/>
      <w:marBottom w:val="0"/>
      <w:divBdr>
        <w:top w:val="none" w:sz="0" w:space="0" w:color="auto"/>
        <w:left w:val="none" w:sz="0" w:space="0" w:color="auto"/>
        <w:bottom w:val="none" w:sz="0" w:space="0" w:color="auto"/>
        <w:right w:val="none" w:sz="0" w:space="0" w:color="auto"/>
      </w:divBdr>
      <w:divsChild>
        <w:div w:id="553002615">
          <w:marLeft w:val="0"/>
          <w:marRight w:val="0"/>
          <w:marTop w:val="0"/>
          <w:marBottom w:val="0"/>
          <w:divBdr>
            <w:top w:val="none" w:sz="0" w:space="0" w:color="auto"/>
            <w:left w:val="none" w:sz="0" w:space="0" w:color="auto"/>
            <w:bottom w:val="none" w:sz="0" w:space="0" w:color="auto"/>
            <w:right w:val="none" w:sz="0" w:space="0" w:color="auto"/>
          </w:divBdr>
        </w:div>
        <w:div w:id="819856088">
          <w:marLeft w:val="0"/>
          <w:marRight w:val="0"/>
          <w:marTop w:val="0"/>
          <w:marBottom w:val="0"/>
          <w:divBdr>
            <w:top w:val="none" w:sz="0" w:space="0" w:color="auto"/>
            <w:left w:val="none" w:sz="0" w:space="0" w:color="auto"/>
            <w:bottom w:val="none" w:sz="0" w:space="0" w:color="auto"/>
            <w:right w:val="none" w:sz="0" w:space="0" w:color="auto"/>
          </w:divBdr>
        </w:div>
        <w:div w:id="1667706464">
          <w:marLeft w:val="0"/>
          <w:marRight w:val="0"/>
          <w:marTop w:val="0"/>
          <w:marBottom w:val="0"/>
          <w:divBdr>
            <w:top w:val="none" w:sz="0" w:space="0" w:color="auto"/>
            <w:left w:val="none" w:sz="0" w:space="0" w:color="auto"/>
            <w:bottom w:val="none" w:sz="0" w:space="0" w:color="auto"/>
            <w:right w:val="none" w:sz="0" w:space="0" w:color="auto"/>
          </w:divBdr>
        </w:div>
        <w:div w:id="1822235419">
          <w:marLeft w:val="0"/>
          <w:marRight w:val="0"/>
          <w:marTop w:val="0"/>
          <w:marBottom w:val="0"/>
          <w:divBdr>
            <w:top w:val="none" w:sz="0" w:space="0" w:color="auto"/>
            <w:left w:val="none" w:sz="0" w:space="0" w:color="auto"/>
            <w:bottom w:val="none" w:sz="0" w:space="0" w:color="auto"/>
            <w:right w:val="none" w:sz="0" w:space="0" w:color="auto"/>
          </w:divBdr>
        </w:div>
      </w:divsChild>
    </w:div>
    <w:div w:id="845752618">
      <w:bodyDiv w:val="1"/>
      <w:marLeft w:val="0"/>
      <w:marRight w:val="0"/>
      <w:marTop w:val="0"/>
      <w:marBottom w:val="0"/>
      <w:divBdr>
        <w:top w:val="none" w:sz="0" w:space="0" w:color="auto"/>
        <w:left w:val="none" w:sz="0" w:space="0" w:color="auto"/>
        <w:bottom w:val="none" w:sz="0" w:space="0" w:color="auto"/>
        <w:right w:val="none" w:sz="0" w:space="0" w:color="auto"/>
      </w:divBdr>
    </w:div>
    <w:div w:id="847333851">
      <w:bodyDiv w:val="1"/>
      <w:marLeft w:val="0"/>
      <w:marRight w:val="0"/>
      <w:marTop w:val="0"/>
      <w:marBottom w:val="0"/>
      <w:divBdr>
        <w:top w:val="none" w:sz="0" w:space="0" w:color="auto"/>
        <w:left w:val="none" w:sz="0" w:space="0" w:color="auto"/>
        <w:bottom w:val="none" w:sz="0" w:space="0" w:color="auto"/>
        <w:right w:val="none" w:sz="0" w:space="0" w:color="auto"/>
      </w:divBdr>
      <w:divsChild>
        <w:div w:id="297880592">
          <w:marLeft w:val="0"/>
          <w:marRight w:val="0"/>
          <w:marTop w:val="0"/>
          <w:marBottom w:val="0"/>
          <w:divBdr>
            <w:top w:val="none" w:sz="0" w:space="0" w:color="auto"/>
            <w:left w:val="none" w:sz="0" w:space="0" w:color="auto"/>
            <w:bottom w:val="none" w:sz="0" w:space="0" w:color="auto"/>
            <w:right w:val="none" w:sz="0" w:space="0" w:color="auto"/>
          </w:divBdr>
        </w:div>
      </w:divsChild>
    </w:div>
    <w:div w:id="856695138">
      <w:bodyDiv w:val="1"/>
      <w:marLeft w:val="0"/>
      <w:marRight w:val="0"/>
      <w:marTop w:val="0"/>
      <w:marBottom w:val="0"/>
      <w:divBdr>
        <w:top w:val="none" w:sz="0" w:space="0" w:color="auto"/>
        <w:left w:val="none" w:sz="0" w:space="0" w:color="auto"/>
        <w:bottom w:val="none" w:sz="0" w:space="0" w:color="auto"/>
        <w:right w:val="none" w:sz="0" w:space="0" w:color="auto"/>
      </w:divBdr>
    </w:div>
    <w:div w:id="866528440">
      <w:bodyDiv w:val="1"/>
      <w:marLeft w:val="0"/>
      <w:marRight w:val="0"/>
      <w:marTop w:val="0"/>
      <w:marBottom w:val="0"/>
      <w:divBdr>
        <w:top w:val="none" w:sz="0" w:space="0" w:color="auto"/>
        <w:left w:val="none" w:sz="0" w:space="0" w:color="auto"/>
        <w:bottom w:val="none" w:sz="0" w:space="0" w:color="auto"/>
        <w:right w:val="none" w:sz="0" w:space="0" w:color="auto"/>
      </w:divBdr>
    </w:div>
    <w:div w:id="885721465">
      <w:bodyDiv w:val="1"/>
      <w:marLeft w:val="0"/>
      <w:marRight w:val="0"/>
      <w:marTop w:val="0"/>
      <w:marBottom w:val="0"/>
      <w:divBdr>
        <w:top w:val="none" w:sz="0" w:space="0" w:color="auto"/>
        <w:left w:val="none" w:sz="0" w:space="0" w:color="auto"/>
        <w:bottom w:val="none" w:sz="0" w:space="0" w:color="auto"/>
        <w:right w:val="none" w:sz="0" w:space="0" w:color="auto"/>
      </w:divBdr>
      <w:divsChild>
        <w:div w:id="1731224467">
          <w:marLeft w:val="0"/>
          <w:marRight w:val="0"/>
          <w:marTop w:val="0"/>
          <w:marBottom w:val="0"/>
          <w:divBdr>
            <w:top w:val="none" w:sz="0" w:space="0" w:color="auto"/>
            <w:left w:val="none" w:sz="0" w:space="0" w:color="auto"/>
            <w:bottom w:val="none" w:sz="0" w:space="0" w:color="auto"/>
            <w:right w:val="none" w:sz="0" w:space="0" w:color="auto"/>
          </w:divBdr>
          <w:divsChild>
            <w:div w:id="1007975218">
              <w:marLeft w:val="0"/>
              <w:marRight w:val="0"/>
              <w:marTop w:val="0"/>
              <w:marBottom w:val="0"/>
              <w:divBdr>
                <w:top w:val="none" w:sz="0" w:space="0" w:color="auto"/>
                <w:left w:val="none" w:sz="0" w:space="0" w:color="auto"/>
                <w:bottom w:val="none" w:sz="0" w:space="0" w:color="auto"/>
                <w:right w:val="none" w:sz="0" w:space="0" w:color="auto"/>
              </w:divBdr>
              <w:divsChild>
                <w:div w:id="438187697">
                  <w:marLeft w:val="0"/>
                  <w:marRight w:val="0"/>
                  <w:marTop w:val="0"/>
                  <w:marBottom w:val="0"/>
                  <w:divBdr>
                    <w:top w:val="none" w:sz="0" w:space="0" w:color="auto"/>
                    <w:left w:val="none" w:sz="0" w:space="0" w:color="auto"/>
                    <w:bottom w:val="none" w:sz="0" w:space="0" w:color="auto"/>
                    <w:right w:val="none" w:sz="0" w:space="0" w:color="auto"/>
                  </w:divBdr>
                  <w:divsChild>
                    <w:div w:id="1124228819">
                      <w:marLeft w:val="0"/>
                      <w:marRight w:val="0"/>
                      <w:marTop w:val="0"/>
                      <w:marBottom w:val="0"/>
                      <w:divBdr>
                        <w:top w:val="none" w:sz="0" w:space="0" w:color="auto"/>
                        <w:left w:val="none" w:sz="0" w:space="0" w:color="auto"/>
                        <w:bottom w:val="none" w:sz="0" w:space="0" w:color="auto"/>
                        <w:right w:val="none" w:sz="0" w:space="0" w:color="auto"/>
                      </w:divBdr>
                    </w:div>
                    <w:div w:id="14617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42049">
      <w:bodyDiv w:val="1"/>
      <w:marLeft w:val="0"/>
      <w:marRight w:val="0"/>
      <w:marTop w:val="0"/>
      <w:marBottom w:val="0"/>
      <w:divBdr>
        <w:top w:val="none" w:sz="0" w:space="0" w:color="auto"/>
        <w:left w:val="none" w:sz="0" w:space="0" w:color="auto"/>
        <w:bottom w:val="none" w:sz="0" w:space="0" w:color="auto"/>
        <w:right w:val="none" w:sz="0" w:space="0" w:color="auto"/>
      </w:divBdr>
    </w:div>
    <w:div w:id="894395348">
      <w:bodyDiv w:val="1"/>
      <w:marLeft w:val="0"/>
      <w:marRight w:val="0"/>
      <w:marTop w:val="0"/>
      <w:marBottom w:val="0"/>
      <w:divBdr>
        <w:top w:val="none" w:sz="0" w:space="0" w:color="auto"/>
        <w:left w:val="none" w:sz="0" w:space="0" w:color="auto"/>
        <w:bottom w:val="none" w:sz="0" w:space="0" w:color="auto"/>
        <w:right w:val="none" w:sz="0" w:space="0" w:color="auto"/>
      </w:divBdr>
      <w:divsChild>
        <w:div w:id="1921254717">
          <w:marLeft w:val="0"/>
          <w:marRight w:val="0"/>
          <w:marTop w:val="0"/>
          <w:marBottom w:val="0"/>
          <w:divBdr>
            <w:top w:val="none" w:sz="0" w:space="0" w:color="auto"/>
            <w:left w:val="none" w:sz="0" w:space="0" w:color="auto"/>
            <w:bottom w:val="none" w:sz="0" w:space="0" w:color="auto"/>
            <w:right w:val="none" w:sz="0" w:space="0" w:color="auto"/>
          </w:divBdr>
        </w:div>
        <w:div w:id="1923565007">
          <w:marLeft w:val="0"/>
          <w:marRight w:val="0"/>
          <w:marTop w:val="0"/>
          <w:marBottom w:val="0"/>
          <w:divBdr>
            <w:top w:val="none" w:sz="0" w:space="0" w:color="auto"/>
            <w:left w:val="none" w:sz="0" w:space="0" w:color="auto"/>
            <w:bottom w:val="none" w:sz="0" w:space="0" w:color="auto"/>
            <w:right w:val="none" w:sz="0" w:space="0" w:color="auto"/>
          </w:divBdr>
        </w:div>
      </w:divsChild>
    </w:div>
    <w:div w:id="894857092">
      <w:bodyDiv w:val="1"/>
      <w:marLeft w:val="0"/>
      <w:marRight w:val="0"/>
      <w:marTop w:val="0"/>
      <w:marBottom w:val="0"/>
      <w:divBdr>
        <w:top w:val="none" w:sz="0" w:space="0" w:color="auto"/>
        <w:left w:val="none" w:sz="0" w:space="0" w:color="auto"/>
        <w:bottom w:val="none" w:sz="0" w:space="0" w:color="auto"/>
        <w:right w:val="none" w:sz="0" w:space="0" w:color="auto"/>
      </w:divBdr>
    </w:div>
    <w:div w:id="897129588">
      <w:bodyDiv w:val="1"/>
      <w:marLeft w:val="0"/>
      <w:marRight w:val="0"/>
      <w:marTop w:val="0"/>
      <w:marBottom w:val="0"/>
      <w:divBdr>
        <w:top w:val="none" w:sz="0" w:space="0" w:color="auto"/>
        <w:left w:val="none" w:sz="0" w:space="0" w:color="auto"/>
        <w:bottom w:val="none" w:sz="0" w:space="0" w:color="auto"/>
        <w:right w:val="none" w:sz="0" w:space="0" w:color="auto"/>
      </w:divBdr>
    </w:div>
    <w:div w:id="906500409">
      <w:bodyDiv w:val="1"/>
      <w:marLeft w:val="0"/>
      <w:marRight w:val="0"/>
      <w:marTop w:val="0"/>
      <w:marBottom w:val="0"/>
      <w:divBdr>
        <w:top w:val="none" w:sz="0" w:space="0" w:color="auto"/>
        <w:left w:val="none" w:sz="0" w:space="0" w:color="auto"/>
        <w:bottom w:val="none" w:sz="0" w:space="0" w:color="auto"/>
        <w:right w:val="none" w:sz="0" w:space="0" w:color="auto"/>
      </w:divBdr>
    </w:div>
    <w:div w:id="932739239">
      <w:bodyDiv w:val="1"/>
      <w:marLeft w:val="0"/>
      <w:marRight w:val="0"/>
      <w:marTop w:val="0"/>
      <w:marBottom w:val="0"/>
      <w:divBdr>
        <w:top w:val="none" w:sz="0" w:space="0" w:color="auto"/>
        <w:left w:val="none" w:sz="0" w:space="0" w:color="auto"/>
        <w:bottom w:val="none" w:sz="0" w:space="0" w:color="auto"/>
        <w:right w:val="none" w:sz="0" w:space="0" w:color="auto"/>
      </w:divBdr>
    </w:div>
    <w:div w:id="941691883">
      <w:bodyDiv w:val="1"/>
      <w:marLeft w:val="0"/>
      <w:marRight w:val="0"/>
      <w:marTop w:val="0"/>
      <w:marBottom w:val="0"/>
      <w:divBdr>
        <w:top w:val="none" w:sz="0" w:space="0" w:color="auto"/>
        <w:left w:val="none" w:sz="0" w:space="0" w:color="auto"/>
        <w:bottom w:val="none" w:sz="0" w:space="0" w:color="auto"/>
        <w:right w:val="none" w:sz="0" w:space="0" w:color="auto"/>
      </w:divBdr>
    </w:div>
    <w:div w:id="945428627">
      <w:bodyDiv w:val="1"/>
      <w:marLeft w:val="0"/>
      <w:marRight w:val="0"/>
      <w:marTop w:val="0"/>
      <w:marBottom w:val="0"/>
      <w:divBdr>
        <w:top w:val="none" w:sz="0" w:space="0" w:color="auto"/>
        <w:left w:val="none" w:sz="0" w:space="0" w:color="auto"/>
        <w:bottom w:val="none" w:sz="0" w:space="0" w:color="auto"/>
        <w:right w:val="none" w:sz="0" w:space="0" w:color="auto"/>
      </w:divBdr>
      <w:divsChild>
        <w:div w:id="255674388">
          <w:marLeft w:val="0"/>
          <w:marRight w:val="0"/>
          <w:marTop w:val="0"/>
          <w:marBottom w:val="0"/>
          <w:divBdr>
            <w:top w:val="none" w:sz="0" w:space="0" w:color="auto"/>
            <w:left w:val="none" w:sz="0" w:space="0" w:color="auto"/>
            <w:bottom w:val="none" w:sz="0" w:space="0" w:color="auto"/>
            <w:right w:val="none" w:sz="0" w:space="0" w:color="auto"/>
          </w:divBdr>
          <w:divsChild>
            <w:div w:id="1814905728">
              <w:marLeft w:val="0"/>
              <w:marRight w:val="0"/>
              <w:marTop w:val="0"/>
              <w:marBottom w:val="0"/>
              <w:divBdr>
                <w:top w:val="none" w:sz="0" w:space="0" w:color="auto"/>
                <w:left w:val="none" w:sz="0" w:space="0" w:color="auto"/>
                <w:bottom w:val="none" w:sz="0" w:space="0" w:color="auto"/>
                <w:right w:val="none" w:sz="0" w:space="0" w:color="auto"/>
              </w:divBdr>
              <w:divsChild>
                <w:div w:id="5858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33649">
      <w:bodyDiv w:val="1"/>
      <w:marLeft w:val="0"/>
      <w:marRight w:val="0"/>
      <w:marTop w:val="0"/>
      <w:marBottom w:val="0"/>
      <w:divBdr>
        <w:top w:val="none" w:sz="0" w:space="0" w:color="auto"/>
        <w:left w:val="none" w:sz="0" w:space="0" w:color="auto"/>
        <w:bottom w:val="none" w:sz="0" w:space="0" w:color="auto"/>
        <w:right w:val="none" w:sz="0" w:space="0" w:color="auto"/>
      </w:divBdr>
    </w:div>
    <w:div w:id="974136636">
      <w:bodyDiv w:val="1"/>
      <w:marLeft w:val="0"/>
      <w:marRight w:val="0"/>
      <w:marTop w:val="0"/>
      <w:marBottom w:val="0"/>
      <w:divBdr>
        <w:top w:val="none" w:sz="0" w:space="0" w:color="auto"/>
        <w:left w:val="none" w:sz="0" w:space="0" w:color="auto"/>
        <w:bottom w:val="none" w:sz="0" w:space="0" w:color="auto"/>
        <w:right w:val="none" w:sz="0" w:space="0" w:color="auto"/>
      </w:divBdr>
    </w:div>
    <w:div w:id="976639706">
      <w:bodyDiv w:val="1"/>
      <w:marLeft w:val="0"/>
      <w:marRight w:val="0"/>
      <w:marTop w:val="0"/>
      <w:marBottom w:val="0"/>
      <w:divBdr>
        <w:top w:val="none" w:sz="0" w:space="0" w:color="auto"/>
        <w:left w:val="none" w:sz="0" w:space="0" w:color="auto"/>
        <w:bottom w:val="none" w:sz="0" w:space="0" w:color="auto"/>
        <w:right w:val="none" w:sz="0" w:space="0" w:color="auto"/>
      </w:divBdr>
      <w:divsChild>
        <w:div w:id="1691568234">
          <w:marLeft w:val="274"/>
          <w:marRight w:val="0"/>
          <w:marTop w:val="20"/>
          <w:marBottom w:val="20"/>
          <w:divBdr>
            <w:top w:val="none" w:sz="0" w:space="0" w:color="auto"/>
            <w:left w:val="none" w:sz="0" w:space="0" w:color="auto"/>
            <w:bottom w:val="none" w:sz="0" w:space="0" w:color="auto"/>
            <w:right w:val="none" w:sz="0" w:space="0" w:color="auto"/>
          </w:divBdr>
        </w:div>
      </w:divsChild>
    </w:div>
    <w:div w:id="991719764">
      <w:bodyDiv w:val="1"/>
      <w:marLeft w:val="0"/>
      <w:marRight w:val="0"/>
      <w:marTop w:val="0"/>
      <w:marBottom w:val="0"/>
      <w:divBdr>
        <w:top w:val="none" w:sz="0" w:space="0" w:color="auto"/>
        <w:left w:val="none" w:sz="0" w:space="0" w:color="auto"/>
        <w:bottom w:val="none" w:sz="0" w:space="0" w:color="auto"/>
        <w:right w:val="none" w:sz="0" w:space="0" w:color="auto"/>
      </w:divBdr>
    </w:div>
    <w:div w:id="1010521530">
      <w:bodyDiv w:val="1"/>
      <w:marLeft w:val="0"/>
      <w:marRight w:val="0"/>
      <w:marTop w:val="0"/>
      <w:marBottom w:val="0"/>
      <w:divBdr>
        <w:top w:val="none" w:sz="0" w:space="0" w:color="auto"/>
        <w:left w:val="none" w:sz="0" w:space="0" w:color="auto"/>
        <w:bottom w:val="none" w:sz="0" w:space="0" w:color="auto"/>
        <w:right w:val="none" w:sz="0" w:space="0" w:color="auto"/>
      </w:divBdr>
    </w:div>
    <w:div w:id="1013145393">
      <w:bodyDiv w:val="1"/>
      <w:marLeft w:val="0"/>
      <w:marRight w:val="0"/>
      <w:marTop w:val="0"/>
      <w:marBottom w:val="0"/>
      <w:divBdr>
        <w:top w:val="none" w:sz="0" w:space="0" w:color="auto"/>
        <w:left w:val="none" w:sz="0" w:space="0" w:color="auto"/>
        <w:bottom w:val="none" w:sz="0" w:space="0" w:color="auto"/>
        <w:right w:val="none" w:sz="0" w:space="0" w:color="auto"/>
      </w:divBdr>
    </w:div>
    <w:div w:id="1015231622">
      <w:bodyDiv w:val="1"/>
      <w:marLeft w:val="0"/>
      <w:marRight w:val="0"/>
      <w:marTop w:val="0"/>
      <w:marBottom w:val="0"/>
      <w:divBdr>
        <w:top w:val="none" w:sz="0" w:space="0" w:color="auto"/>
        <w:left w:val="none" w:sz="0" w:space="0" w:color="auto"/>
        <w:bottom w:val="none" w:sz="0" w:space="0" w:color="auto"/>
        <w:right w:val="none" w:sz="0" w:space="0" w:color="auto"/>
      </w:divBdr>
      <w:divsChild>
        <w:div w:id="635183014">
          <w:marLeft w:val="0"/>
          <w:marRight w:val="0"/>
          <w:marTop w:val="0"/>
          <w:marBottom w:val="0"/>
          <w:divBdr>
            <w:top w:val="none" w:sz="0" w:space="0" w:color="auto"/>
            <w:left w:val="none" w:sz="0" w:space="0" w:color="auto"/>
            <w:bottom w:val="none" w:sz="0" w:space="0" w:color="auto"/>
            <w:right w:val="none" w:sz="0" w:space="0" w:color="auto"/>
          </w:divBdr>
          <w:divsChild>
            <w:div w:id="263612467">
              <w:marLeft w:val="0"/>
              <w:marRight w:val="0"/>
              <w:marTop w:val="0"/>
              <w:marBottom w:val="0"/>
              <w:divBdr>
                <w:top w:val="none" w:sz="0" w:space="0" w:color="auto"/>
                <w:left w:val="none" w:sz="0" w:space="0" w:color="auto"/>
                <w:bottom w:val="none" w:sz="0" w:space="0" w:color="auto"/>
                <w:right w:val="none" w:sz="0" w:space="0" w:color="auto"/>
              </w:divBdr>
              <w:divsChild>
                <w:div w:id="1731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35880">
      <w:bodyDiv w:val="1"/>
      <w:marLeft w:val="0"/>
      <w:marRight w:val="0"/>
      <w:marTop w:val="0"/>
      <w:marBottom w:val="0"/>
      <w:divBdr>
        <w:top w:val="none" w:sz="0" w:space="0" w:color="auto"/>
        <w:left w:val="none" w:sz="0" w:space="0" w:color="auto"/>
        <w:bottom w:val="none" w:sz="0" w:space="0" w:color="auto"/>
        <w:right w:val="none" w:sz="0" w:space="0" w:color="auto"/>
      </w:divBdr>
    </w:div>
    <w:div w:id="1023476423">
      <w:bodyDiv w:val="1"/>
      <w:marLeft w:val="0"/>
      <w:marRight w:val="0"/>
      <w:marTop w:val="0"/>
      <w:marBottom w:val="0"/>
      <w:divBdr>
        <w:top w:val="none" w:sz="0" w:space="0" w:color="auto"/>
        <w:left w:val="none" w:sz="0" w:space="0" w:color="auto"/>
        <w:bottom w:val="none" w:sz="0" w:space="0" w:color="auto"/>
        <w:right w:val="none" w:sz="0" w:space="0" w:color="auto"/>
      </w:divBdr>
    </w:div>
    <w:div w:id="1033268115">
      <w:bodyDiv w:val="1"/>
      <w:marLeft w:val="0"/>
      <w:marRight w:val="0"/>
      <w:marTop w:val="0"/>
      <w:marBottom w:val="0"/>
      <w:divBdr>
        <w:top w:val="none" w:sz="0" w:space="0" w:color="auto"/>
        <w:left w:val="none" w:sz="0" w:space="0" w:color="auto"/>
        <w:bottom w:val="none" w:sz="0" w:space="0" w:color="auto"/>
        <w:right w:val="none" w:sz="0" w:space="0" w:color="auto"/>
      </w:divBdr>
    </w:div>
    <w:div w:id="1049376183">
      <w:bodyDiv w:val="1"/>
      <w:marLeft w:val="0"/>
      <w:marRight w:val="0"/>
      <w:marTop w:val="0"/>
      <w:marBottom w:val="0"/>
      <w:divBdr>
        <w:top w:val="none" w:sz="0" w:space="0" w:color="auto"/>
        <w:left w:val="none" w:sz="0" w:space="0" w:color="auto"/>
        <w:bottom w:val="none" w:sz="0" w:space="0" w:color="auto"/>
        <w:right w:val="none" w:sz="0" w:space="0" w:color="auto"/>
      </w:divBdr>
    </w:div>
    <w:div w:id="1050301675">
      <w:bodyDiv w:val="1"/>
      <w:marLeft w:val="0"/>
      <w:marRight w:val="0"/>
      <w:marTop w:val="0"/>
      <w:marBottom w:val="0"/>
      <w:divBdr>
        <w:top w:val="none" w:sz="0" w:space="0" w:color="auto"/>
        <w:left w:val="none" w:sz="0" w:space="0" w:color="auto"/>
        <w:bottom w:val="none" w:sz="0" w:space="0" w:color="auto"/>
        <w:right w:val="none" w:sz="0" w:space="0" w:color="auto"/>
      </w:divBdr>
    </w:div>
    <w:div w:id="1053964763">
      <w:bodyDiv w:val="1"/>
      <w:marLeft w:val="0"/>
      <w:marRight w:val="0"/>
      <w:marTop w:val="0"/>
      <w:marBottom w:val="0"/>
      <w:divBdr>
        <w:top w:val="none" w:sz="0" w:space="0" w:color="auto"/>
        <w:left w:val="none" w:sz="0" w:space="0" w:color="auto"/>
        <w:bottom w:val="none" w:sz="0" w:space="0" w:color="auto"/>
        <w:right w:val="none" w:sz="0" w:space="0" w:color="auto"/>
      </w:divBdr>
    </w:div>
    <w:div w:id="1063020079">
      <w:bodyDiv w:val="1"/>
      <w:marLeft w:val="0"/>
      <w:marRight w:val="0"/>
      <w:marTop w:val="0"/>
      <w:marBottom w:val="0"/>
      <w:divBdr>
        <w:top w:val="none" w:sz="0" w:space="0" w:color="auto"/>
        <w:left w:val="none" w:sz="0" w:space="0" w:color="auto"/>
        <w:bottom w:val="none" w:sz="0" w:space="0" w:color="auto"/>
        <w:right w:val="none" w:sz="0" w:space="0" w:color="auto"/>
      </w:divBdr>
      <w:divsChild>
        <w:div w:id="905802078">
          <w:marLeft w:val="0"/>
          <w:marRight w:val="0"/>
          <w:marTop w:val="0"/>
          <w:marBottom w:val="0"/>
          <w:divBdr>
            <w:top w:val="none" w:sz="0" w:space="0" w:color="auto"/>
            <w:left w:val="none" w:sz="0" w:space="0" w:color="auto"/>
            <w:bottom w:val="none" w:sz="0" w:space="0" w:color="auto"/>
            <w:right w:val="none" w:sz="0" w:space="0" w:color="auto"/>
          </w:divBdr>
          <w:divsChild>
            <w:div w:id="362681083">
              <w:marLeft w:val="0"/>
              <w:marRight w:val="0"/>
              <w:marTop w:val="0"/>
              <w:marBottom w:val="0"/>
              <w:divBdr>
                <w:top w:val="none" w:sz="0" w:space="0" w:color="auto"/>
                <w:left w:val="none" w:sz="0" w:space="0" w:color="auto"/>
                <w:bottom w:val="none" w:sz="0" w:space="0" w:color="auto"/>
                <w:right w:val="none" w:sz="0" w:space="0" w:color="auto"/>
              </w:divBdr>
              <w:divsChild>
                <w:div w:id="454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0212">
      <w:bodyDiv w:val="1"/>
      <w:marLeft w:val="0"/>
      <w:marRight w:val="0"/>
      <w:marTop w:val="0"/>
      <w:marBottom w:val="0"/>
      <w:divBdr>
        <w:top w:val="none" w:sz="0" w:space="0" w:color="auto"/>
        <w:left w:val="none" w:sz="0" w:space="0" w:color="auto"/>
        <w:bottom w:val="none" w:sz="0" w:space="0" w:color="auto"/>
        <w:right w:val="none" w:sz="0" w:space="0" w:color="auto"/>
      </w:divBdr>
    </w:div>
    <w:div w:id="1087774350">
      <w:bodyDiv w:val="1"/>
      <w:marLeft w:val="0"/>
      <w:marRight w:val="0"/>
      <w:marTop w:val="0"/>
      <w:marBottom w:val="0"/>
      <w:divBdr>
        <w:top w:val="none" w:sz="0" w:space="0" w:color="auto"/>
        <w:left w:val="none" w:sz="0" w:space="0" w:color="auto"/>
        <w:bottom w:val="none" w:sz="0" w:space="0" w:color="auto"/>
        <w:right w:val="none" w:sz="0" w:space="0" w:color="auto"/>
      </w:divBdr>
      <w:divsChild>
        <w:div w:id="670714396">
          <w:marLeft w:val="0"/>
          <w:marRight w:val="0"/>
          <w:marTop w:val="0"/>
          <w:marBottom w:val="0"/>
          <w:divBdr>
            <w:top w:val="none" w:sz="0" w:space="0" w:color="auto"/>
            <w:left w:val="none" w:sz="0" w:space="0" w:color="auto"/>
            <w:bottom w:val="none" w:sz="0" w:space="0" w:color="auto"/>
            <w:right w:val="none" w:sz="0" w:space="0" w:color="auto"/>
          </w:divBdr>
          <w:divsChild>
            <w:div w:id="313989339">
              <w:marLeft w:val="0"/>
              <w:marRight w:val="0"/>
              <w:marTop w:val="0"/>
              <w:marBottom w:val="0"/>
              <w:divBdr>
                <w:top w:val="none" w:sz="0" w:space="0" w:color="auto"/>
                <w:left w:val="none" w:sz="0" w:space="0" w:color="auto"/>
                <w:bottom w:val="none" w:sz="0" w:space="0" w:color="auto"/>
                <w:right w:val="none" w:sz="0" w:space="0" w:color="auto"/>
              </w:divBdr>
              <w:divsChild>
                <w:div w:id="211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356555">
      <w:bodyDiv w:val="1"/>
      <w:marLeft w:val="0"/>
      <w:marRight w:val="0"/>
      <w:marTop w:val="0"/>
      <w:marBottom w:val="0"/>
      <w:divBdr>
        <w:top w:val="none" w:sz="0" w:space="0" w:color="auto"/>
        <w:left w:val="none" w:sz="0" w:space="0" w:color="auto"/>
        <w:bottom w:val="none" w:sz="0" w:space="0" w:color="auto"/>
        <w:right w:val="none" w:sz="0" w:space="0" w:color="auto"/>
      </w:divBdr>
    </w:div>
    <w:div w:id="1104112634">
      <w:bodyDiv w:val="1"/>
      <w:marLeft w:val="0"/>
      <w:marRight w:val="0"/>
      <w:marTop w:val="0"/>
      <w:marBottom w:val="0"/>
      <w:divBdr>
        <w:top w:val="none" w:sz="0" w:space="0" w:color="auto"/>
        <w:left w:val="none" w:sz="0" w:space="0" w:color="auto"/>
        <w:bottom w:val="none" w:sz="0" w:space="0" w:color="auto"/>
        <w:right w:val="none" w:sz="0" w:space="0" w:color="auto"/>
      </w:divBdr>
    </w:div>
    <w:div w:id="1106659334">
      <w:bodyDiv w:val="1"/>
      <w:marLeft w:val="0"/>
      <w:marRight w:val="0"/>
      <w:marTop w:val="0"/>
      <w:marBottom w:val="0"/>
      <w:divBdr>
        <w:top w:val="none" w:sz="0" w:space="0" w:color="auto"/>
        <w:left w:val="none" w:sz="0" w:space="0" w:color="auto"/>
        <w:bottom w:val="none" w:sz="0" w:space="0" w:color="auto"/>
        <w:right w:val="none" w:sz="0" w:space="0" w:color="auto"/>
      </w:divBdr>
      <w:divsChild>
        <w:div w:id="73014709">
          <w:marLeft w:val="0"/>
          <w:marRight w:val="0"/>
          <w:marTop w:val="0"/>
          <w:marBottom w:val="0"/>
          <w:divBdr>
            <w:top w:val="none" w:sz="0" w:space="0" w:color="auto"/>
            <w:left w:val="none" w:sz="0" w:space="0" w:color="auto"/>
            <w:bottom w:val="none" w:sz="0" w:space="0" w:color="auto"/>
            <w:right w:val="none" w:sz="0" w:space="0" w:color="auto"/>
          </w:divBdr>
          <w:divsChild>
            <w:div w:id="635986491">
              <w:marLeft w:val="0"/>
              <w:marRight w:val="0"/>
              <w:marTop w:val="0"/>
              <w:marBottom w:val="0"/>
              <w:divBdr>
                <w:top w:val="none" w:sz="0" w:space="0" w:color="auto"/>
                <w:left w:val="none" w:sz="0" w:space="0" w:color="auto"/>
                <w:bottom w:val="none" w:sz="0" w:space="0" w:color="auto"/>
                <w:right w:val="none" w:sz="0" w:space="0" w:color="auto"/>
              </w:divBdr>
              <w:divsChild>
                <w:div w:id="367218511">
                  <w:marLeft w:val="0"/>
                  <w:marRight w:val="0"/>
                  <w:marTop w:val="0"/>
                  <w:marBottom w:val="0"/>
                  <w:divBdr>
                    <w:top w:val="none" w:sz="0" w:space="0" w:color="auto"/>
                    <w:left w:val="none" w:sz="0" w:space="0" w:color="auto"/>
                    <w:bottom w:val="none" w:sz="0" w:space="0" w:color="auto"/>
                    <w:right w:val="none" w:sz="0" w:space="0" w:color="auto"/>
                  </w:divBdr>
                </w:div>
                <w:div w:id="76850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5317">
      <w:bodyDiv w:val="1"/>
      <w:marLeft w:val="0"/>
      <w:marRight w:val="0"/>
      <w:marTop w:val="0"/>
      <w:marBottom w:val="0"/>
      <w:divBdr>
        <w:top w:val="none" w:sz="0" w:space="0" w:color="auto"/>
        <w:left w:val="none" w:sz="0" w:space="0" w:color="auto"/>
        <w:bottom w:val="none" w:sz="0" w:space="0" w:color="auto"/>
        <w:right w:val="none" w:sz="0" w:space="0" w:color="auto"/>
      </w:divBdr>
    </w:div>
    <w:div w:id="1111121618">
      <w:bodyDiv w:val="1"/>
      <w:marLeft w:val="0"/>
      <w:marRight w:val="0"/>
      <w:marTop w:val="0"/>
      <w:marBottom w:val="0"/>
      <w:divBdr>
        <w:top w:val="none" w:sz="0" w:space="0" w:color="auto"/>
        <w:left w:val="none" w:sz="0" w:space="0" w:color="auto"/>
        <w:bottom w:val="none" w:sz="0" w:space="0" w:color="auto"/>
        <w:right w:val="none" w:sz="0" w:space="0" w:color="auto"/>
      </w:divBdr>
      <w:divsChild>
        <w:div w:id="1877959348">
          <w:marLeft w:val="0"/>
          <w:marRight w:val="0"/>
          <w:marTop w:val="0"/>
          <w:marBottom w:val="0"/>
          <w:divBdr>
            <w:top w:val="none" w:sz="0" w:space="0" w:color="auto"/>
            <w:left w:val="none" w:sz="0" w:space="0" w:color="auto"/>
            <w:bottom w:val="none" w:sz="0" w:space="0" w:color="auto"/>
            <w:right w:val="none" w:sz="0" w:space="0" w:color="auto"/>
          </w:divBdr>
          <w:divsChild>
            <w:div w:id="1338314572">
              <w:marLeft w:val="0"/>
              <w:marRight w:val="0"/>
              <w:marTop w:val="0"/>
              <w:marBottom w:val="0"/>
              <w:divBdr>
                <w:top w:val="none" w:sz="0" w:space="0" w:color="auto"/>
                <w:left w:val="none" w:sz="0" w:space="0" w:color="auto"/>
                <w:bottom w:val="none" w:sz="0" w:space="0" w:color="auto"/>
                <w:right w:val="none" w:sz="0" w:space="0" w:color="auto"/>
              </w:divBdr>
              <w:divsChild>
                <w:div w:id="6079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1934">
      <w:bodyDiv w:val="1"/>
      <w:marLeft w:val="0"/>
      <w:marRight w:val="0"/>
      <w:marTop w:val="0"/>
      <w:marBottom w:val="0"/>
      <w:divBdr>
        <w:top w:val="none" w:sz="0" w:space="0" w:color="auto"/>
        <w:left w:val="none" w:sz="0" w:space="0" w:color="auto"/>
        <w:bottom w:val="none" w:sz="0" w:space="0" w:color="auto"/>
        <w:right w:val="none" w:sz="0" w:space="0" w:color="auto"/>
      </w:divBdr>
    </w:div>
    <w:div w:id="1117796170">
      <w:bodyDiv w:val="1"/>
      <w:marLeft w:val="0"/>
      <w:marRight w:val="0"/>
      <w:marTop w:val="0"/>
      <w:marBottom w:val="0"/>
      <w:divBdr>
        <w:top w:val="none" w:sz="0" w:space="0" w:color="auto"/>
        <w:left w:val="none" w:sz="0" w:space="0" w:color="auto"/>
        <w:bottom w:val="none" w:sz="0" w:space="0" w:color="auto"/>
        <w:right w:val="none" w:sz="0" w:space="0" w:color="auto"/>
      </w:divBdr>
    </w:div>
    <w:div w:id="1144811835">
      <w:bodyDiv w:val="1"/>
      <w:marLeft w:val="0"/>
      <w:marRight w:val="0"/>
      <w:marTop w:val="0"/>
      <w:marBottom w:val="0"/>
      <w:divBdr>
        <w:top w:val="none" w:sz="0" w:space="0" w:color="auto"/>
        <w:left w:val="none" w:sz="0" w:space="0" w:color="auto"/>
        <w:bottom w:val="none" w:sz="0" w:space="0" w:color="auto"/>
        <w:right w:val="none" w:sz="0" w:space="0" w:color="auto"/>
      </w:divBdr>
      <w:divsChild>
        <w:div w:id="1807310546">
          <w:marLeft w:val="0"/>
          <w:marRight w:val="0"/>
          <w:marTop w:val="0"/>
          <w:marBottom w:val="0"/>
          <w:divBdr>
            <w:top w:val="none" w:sz="0" w:space="0" w:color="auto"/>
            <w:left w:val="none" w:sz="0" w:space="0" w:color="auto"/>
            <w:bottom w:val="none" w:sz="0" w:space="0" w:color="auto"/>
            <w:right w:val="none" w:sz="0" w:space="0" w:color="auto"/>
          </w:divBdr>
          <w:divsChild>
            <w:div w:id="1042899190">
              <w:marLeft w:val="0"/>
              <w:marRight w:val="0"/>
              <w:marTop w:val="0"/>
              <w:marBottom w:val="0"/>
              <w:divBdr>
                <w:top w:val="none" w:sz="0" w:space="0" w:color="auto"/>
                <w:left w:val="none" w:sz="0" w:space="0" w:color="auto"/>
                <w:bottom w:val="none" w:sz="0" w:space="0" w:color="auto"/>
                <w:right w:val="none" w:sz="0" w:space="0" w:color="auto"/>
              </w:divBdr>
              <w:divsChild>
                <w:div w:id="4139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98507">
      <w:bodyDiv w:val="1"/>
      <w:marLeft w:val="0"/>
      <w:marRight w:val="0"/>
      <w:marTop w:val="0"/>
      <w:marBottom w:val="0"/>
      <w:divBdr>
        <w:top w:val="none" w:sz="0" w:space="0" w:color="auto"/>
        <w:left w:val="none" w:sz="0" w:space="0" w:color="auto"/>
        <w:bottom w:val="none" w:sz="0" w:space="0" w:color="auto"/>
        <w:right w:val="none" w:sz="0" w:space="0" w:color="auto"/>
      </w:divBdr>
    </w:div>
    <w:div w:id="1159879350">
      <w:bodyDiv w:val="1"/>
      <w:marLeft w:val="0"/>
      <w:marRight w:val="0"/>
      <w:marTop w:val="0"/>
      <w:marBottom w:val="0"/>
      <w:divBdr>
        <w:top w:val="none" w:sz="0" w:space="0" w:color="auto"/>
        <w:left w:val="none" w:sz="0" w:space="0" w:color="auto"/>
        <w:bottom w:val="none" w:sz="0" w:space="0" w:color="auto"/>
        <w:right w:val="none" w:sz="0" w:space="0" w:color="auto"/>
      </w:divBdr>
    </w:div>
    <w:div w:id="1163740302">
      <w:bodyDiv w:val="1"/>
      <w:marLeft w:val="0"/>
      <w:marRight w:val="0"/>
      <w:marTop w:val="0"/>
      <w:marBottom w:val="0"/>
      <w:divBdr>
        <w:top w:val="none" w:sz="0" w:space="0" w:color="auto"/>
        <w:left w:val="none" w:sz="0" w:space="0" w:color="auto"/>
        <w:bottom w:val="none" w:sz="0" w:space="0" w:color="auto"/>
        <w:right w:val="none" w:sz="0" w:space="0" w:color="auto"/>
      </w:divBdr>
      <w:divsChild>
        <w:div w:id="1227107363">
          <w:marLeft w:val="0"/>
          <w:marRight w:val="0"/>
          <w:marTop w:val="0"/>
          <w:marBottom w:val="0"/>
          <w:divBdr>
            <w:top w:val="none" w:sz="0" w:space="0" w:color="auto"/>
            <w:left w:val="none" w:sz="0" w:space="0" w:color="auto"/>
            <w:bottom w:val="none" w:sz="0" w:space="0" w:color="auto"/>
            <w:right w:val="none" w:sz="0" w:space="0" w:color="auto"/>
          </w:divBdr>
          <w:divsChild>
            <w:div w:id="801339342">
              <w:marLeft w:val="0"/>
              <w:marRight w:val="0"/>
              <w:marTop w:val="0"/>
              <w:marBottom w:val="0"/>
              <w:divBdr>
                <w:top w:val="none" w:sz="0" w:space="0" w:color="auto"/>
                <w:left w:val="none" w:sz="0" w:space="0" w:color="auto"/>
                <w:bottom w:val="none" w:sz="0" w:space="0" w:color="auto"/>
                <w:right w:val="none" w:sz="0" w:space="0" w:color="auto"/>
              </w:divBdr>
              <w:divsChild>
                <w:div w:id="11651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07184">
      <w:bodyDiv w:val="1"/>
      <w:marLeft w:val="0"/>
      <w:marRight w:val="0"/>
      <w:marTop w:val="0"/>
      <w:marBottom w:val="0"/>
      <w:divBdr>
        <w:top w:val="none" w:sz="0" w:space="0" w:color="auto"/>
        <w:left w:val="none" w:sz="0" w:space="0" w:color="auto"/>
        <w:bottom w:val="none" w:sz="0" w:space="0" w:color="auto"/>
        <w:right w:val="none" w:sz="0" w:space="0" w:color="auto"/>
      </w:divBdr>
    </w:div>
    <w:div w:id="1172837810">
      <w:bodyDiv w:val="1"/>
      <w:marLeft w:val="0"/>
      <w:marRight w:val="0"/>
      <w:marTop w:val="0"/>
      <w:marBottom w:val="0"/>
      <w:divBdr>
        <w:top w:val="none" w:sz="0" w:space="0" w:color="auto"/>
        <w:left w:val="none" w:sz="0" w:space="0" w:color="auto"/>
        <w:bottom w:val="none" w:sz="0" w:space="0" w:color="auto"/>
        <w:right w:val="none" w:sz="0" w:space="0" w:color="auto"/>
      </w:divBdr>
      <w:divsChild>
        <w:div w:id="286280184">
          <w:marLeft w:val="0"/>
          <w:marRight w:val="0"/>
          <w:marTop w:val="0"/>
          <w:marBottom w:val="0"/>
          <w:divBdr>
            <w:top w:val="none" w:sz="0" w:space="0" w:color="auto"/>
            <w:left w:val="none" w:sz="0" w:space="0" w:color="auto"/>
            <w:bottom w:val="none" w:sz="0" w:space="0" w:color="auto"/>
            <w:right w:val="none" w:sz="0" w:space="0" w:color="auto"/>
          </w:divBdr>
        </w:div>
        <w:div w:id="1570924366">
          <w:marLeft w:val="0"/>
          <w:marRight w:val="0"/>
          <w:marTop w:val="0"/>
          <w:marBottom w:val="0"/>
          <w:divBdr>
            <w:top w:val="none" w:sz="0" w:space="0" w:color="auto"/>
            <w:left w:val="none" w:sz="0" w:space="0" w:color="auto"/>
            <w:bottom w:val="none" w:sz="0" w:space="0" w:color="auto"/>
            <w:right w:val="none" w:sz="0" w:space="0" w:color="auto"/>
          </w:divBdr>
        </w:div>
      </w:divsChild>
    </w:div>
    <w:div w:id="1174609046">
      <w:bodyDiv w:val="1"/>
      <w:marLeft w:val="0"/>
      <w:marRight w:val="0"/>
      <w:marTop w:val="0"/>
      <w:marBottom w:val="0"/>
      <w:divBdr>
        <w:top w:val="none" w:sz="0" w:space="0" w:color="auto"/>
        <w:left w:val="none" w:sz="0" w:space="0" w:color="auto"/>
        <w:bottom w:val="none" w:sz="0" w:space="0" w:color="auto"/>
        <w:right w:val="none" w:sz="0" w:space="0" w:color="auto"/>
      </w:divBdr>
    </w:div>
    <w:div w:id="1175194474">
      <w:bodyDiv w:val="1"/>
      <w:marLeft w:val="0"/>
      <w:marRight w:val="0"/>
      <w:marTop w:val="0"/>
      <w:marBottom w:val="0"/>
      <w:divBdr>
        <w:top w:val="none" w:sz="0" w:space="0" w:color="auto"/>
        <w:left w:val="none" w:sz="0" w:space="0" w:color="auto"/>
        <w:bottom w:val="none" w:sz="0" w:space="0" w:color="auto"/>
        <w:right w:val="none" w:sz="0" w:space="0" w:color="auto"/>
      </w:divBdr>
    </w:div>
    <w:div w:id="1177579580">
      <w:bodyDiv w:val="1"/>
      <w:marLeft w:val="0"/>
      <w:marRight w:val="0"/>
      <w:marTop w:val="0"/>
      <w:marBottom w:val="0"/>
      <w:divBdr>
        <w:top w:val="none" w:sz="0" w:space="0" w:color="auto"/>
        <w:left w:val="none" w:sz="0" w:space="0" w:color="auto"/>
        <w:bottom w:val="none" w:sz="0" w:space="0" w:color="auto"/>
        <w:right w:val="none" w:sz="0" w:space="0" w:color="auto"/>
      </w:divBdr>
    </w:div>
    <w:div w:id="1187251498">
      <w:bodyDiv w:val="1"/>
      <w:marLeft w:val="0"/>
      <w:marRight w:val="0"/>
      <w:marTop w:val="0"/>
      <w:marBottom w:val="0"/>
      <w:divBdr>
        <w:top w:val="none" w:sz="0" w:space="0" w:color="auto"/>
        <w:left w:val="none" w:sz="0" w:space="0" w:color="auto"/>
        <w:bottom w:val="none" w:sz="0" w:space="0" w:color="auto"/>
        <w:right w:val="none" w:sz="0" w:space="0" w:color="auto"/>
      </w:divBdr>
      <w:divsChild>
        <w:div w:id="85662759">
          <w:marLeft w:val="0"/>
          <w:marRight w:val="0"/>
          <w:marTop w:val="0"/>
          <w:marBottom w:val="0"/>
          <w:divBdr>
            <w:top w:val="none" w:sz="0" w:space="0" w:color="auto"/>
            <w:left w:val="none" w:sz="0" w:space="0" w:color="auto"/>
            <w:bottom w:val="none" w:sz="0" w:space="0" w:color="auto"/>
            <w:right w:val="none" w:sz="0" w:space="0" w:color="auto"/>
          </w:divBdr>
        </w:div>
        <w:div w:id="226454985">
          <w:marLeft w:val="0"/>
          <w:marRight w:val="0"/>
          <w:marTop w:val="0"/>
          <w:marBottom w:val="0"/>
          <w:divBdr>
            <w:top w:val="none" w:sz="0" w:space="0" w:color="auto"/>
            <w:left w:val="none" w:sz="0" w:space="0" w:color="auto"/>
            <w:bottom w:val="none" w:sz="0" w:space="0" w:color="auto"/>
            <w:right w:val="none" w:sz="0" w:space="0" w:color="auto"/>
          </w:divBdr>
        </w:div>
        <w:div w:id="232663258">
          <w:marLeft w:val="0"/>
          <w:marRight w:val="0"/>
          <w:marTop w:val="0"/>
          <w:marBottom w:val="0"/>
          <w:divBdr>
            <w:top w:val="none" w:sz="0" w:space="0" w:color="auto"/>
            <w:left w:val="none" w:sz="0" w:space="0" w:color="auto"/>
            <w:bottom w:val="none" w:sz="0" w:space="0" w:color="auto"/>
            <w:right w:val="none" w:sz="0" w:space="0" w:color="auto"/>
          </w:divBdr>
        </w:div>
        <w:div w:id="1015309296">
          <w:marLeft w:val="0"/>
          <w:marRight w:val="0"/>
          <w:marTop w:val="0"/>
          <w:marBottom w:val="0"/>
          <w:divBdr>
            <w:top w:val="none" w:sz="0" w:space="0" w:color="auto"/>
            <w:left w:val="none" w:sz="0" w:space="0" w:color="auto"/>
            <w:bottom w:val="none" w:sz="0" w:space="0" w:color="auto"/>
            <w:right w:val="none" w:sz="0" w:space="0" w:color="auto"/>
          </w:divBdr>
        </w:div>
        <w:div w:id="1076129878">
          <w:marLeft w:val="0"/>
          <w:marRight w:val="0"/>
          <w:marTop w:val="0"/>
          <w:marBottom w:val="0"/>
          <w:divBdr>
            <w:top w:val="none" w:sz="0" w:space="0" w:color="auto"/>
            <w:left w:val="none" w:sz="0" w:space="0" w:color="auto"/>
            <w:bottom w:val="none" w:sz="0" w:space="0" w:color="auto"/>
            <w:right w:val="none" w:sz="0" w:space="0" w:color="auto"/>
          </w:divBdr>
        </w:div>
        <w:div w:id="1100033137">
          <w:marLeft w:val="0"/>
          <w:marRight w:val="0"/>
          <w:marTop w:val="0"/>
          <w:marBottom w:val="0"/>
          <w:divBdr>
            <w:top w:val="none" w:sz="0" w:space="0" w:color="auto"/>
            <w:left w:val="none" w:sz="0" w:space="0" w:color="auto"/>
            <w:bottom w:val="none" w:sz="0" w:space="0" w:color="auto"/>
            <w:right w:val="none" w:sz="0" w:space="0" w:color="auto"/>
          </w:divBdr>
        </w:div>
        <w:div w:id="1465200346">
          <w:marLeft w:val="0"/>
          <w:marRight w:val="0"/>
          <w:marTop w:val="0"/>
          <w:marBottom w:val="0"/>
          <w:divBdr>
            <w:top w:val="none" w:sz="0" w:space="0" w:color="auto"/>
            <w:left w:val="none" w:sz="0" w:space="0" w:color="auto"/>
            <w:bottom w:val="none" w:sz="0" w:space="0" w:color="auto"/>
            <w:right w:val="none" w:sz="0" w:space="0" w:color="auto"/>
          </w:divBdr>
        </w:div>
        <w:div w:id="1524903807">
          <w:marLeft w:val="0"/>
          <w:marRight w:val="0"/>
          <w:marTop w:val="0"/>
          <w:marBottom w:val="0"/>
          <w:divBdr>
            <w:top w:val="none" w:sz="0" w:space="0" w:color="auto"/>
            <w:left w:val="none" w:sz="0" w:space="0" w:color="auto"/>
            <w:bottom w:val="none" w:sz="0" w:space="0" w:color="auto"/>
            <w:right w:val="none" w:sz="0" w:space="0" w:color="auto"/>
          </w:divBdr>
        </w:div>
        <w:div w:id="1890611900">
          <w:marLeft w:val="0"/>
          <w:marRight w:val="0"/>
          <w:marTop w:val="0"/>
          <w:marBottom w:val="0"/>
          <w:divBdr>
            <w:top w:val="none" w:sz="0" w:space="0" w:color="auto"/>
            <w:left w:val="none" w:sz="0" w:space="0" w:color="auto"/>
            <w:bottom w:val="none" w:sz="0" w:space="0" w:color="auto"/>
            <w:right w:val="none" w:sz="0" w:space="0" w:color="auto"/>
          </w:divBdr>
        </w:div>
      </w:divsChild>
    </w:div>
    <w:div w:id="1192376836">
      <w:bodyDiv w:val="1"/>
      <w:marLeft w:val="0"/>
      <w:marRight w:val="0"/>
      <w:marTop w:val="0"/>
      <w:marBottom w:val="0"/>
      <w:divBdr>
        <w:top w:val="none" w:sz="0" w:space="0" w:color="auto"/>
        <w:left w:val="none" w:sz="0" w:space="0" w:color="auto"/>
        <w:bottom w:val="none" w:sz="0" w:space="0" w:color="auto"/>
        <w:right w:val="none" w:sz="0" w:space="0" w:color="auto"/>
      </w:divBdr>
    </w:div>
    <w:div w:id="1212494321">
      <w:bodyDiv w:val="1"/>
      <w:marLeft w:val="0"/>
      <w:marRight w:val="0"/>
      <w:marTop w:val="0"/>
      <w:marBottom w:val="0"/>
      <w:divBdr>
        <w:top w:val="none" w:sz="0" w:space="0" w:color="auto"/>
        <w:left w:val="none" w:sz="0" w:space="0" w:color="auto"/>
        <w:bottom w:val="none" w:sz="0" w:space="0" w:color="auto"/>
        <w:right w:val="none" w:sz="0" w:space="0" w:color="auto"/>
      </w:divBdr>
    </w:div>
    <w:div w:id="1216354708">
      <w:bodyDiv w:val="1"/>
      <w:marLeft w:val="0"/>
      <w:marRight w:val="0"/>
      <w:marTop w:val="0"/>
      <w:marBottom w:val="0"/>
      <w:divBdr>
        <w:top w:val="none" w:sz="0" w:space="0" w:color="auto"/>
        <w:left w:val="none" w:sz="0" w:space="0" w:color="auto"/>
        <w:bottom w:val="none" w:sz="0" w:space="0" w:color="auto"/>
        <w:right w:val="none" w:sz="0" w:space="0" w:color="auto"/>
      </w:divBdr>
    </w:div>
    <w:div w:id="1243249148">
      <w:bodyDiv w:val="1"/>
      <w:marLeft w:val="0"/>
      <w:marRight w:val="0"/>
      <w:marTop w:val="0"/>
      <w:marBottom w:val="0"/>
      <w:divBdr>
        <w:top w:val="none" w:sz="0" w:space="0" w:color="auto"/>
        <w:left w:val="none" w:sz="0" w:space="0" w:color="auto"/>
        <w:bottom w:val="none" w:sz="0" w:space="0" w:color="auto"/>
        <w:right w:val="none" w:sz="0" w:space="0" w:color="auto"/>
      </w:divBdr>
      <w:divsChild>
        <w:div w:id="1960602036">
          <w:marLeft w:val="0"/>
          <w:marRight w:val="0"/>
          <w:marTop w:val="0"/>
          <w:marBottom w:val="0"/>
          <w:divBdr>
            <w:top w:val="none" w:sz="0" w:space="0" w:color="auto"/>
            <w:left w:val="none" w:sz="0" w:space="0" w:color="auto"/>
            <w:bottom w:val="none" w:sz="0" w:space="0" w:color="auto"/>
            <w:right w:val="none" w:sz="0" w:space="0" w:color="auto"/>
          </w:divBdr>
          <w:divsChild>
            <w:div w:id="294795407">
              <w:marLeft w:val="0"/>
              <w:marRight w:val="0"/>
              <w:marTop w:val="0"/>
              <w:marBottom w:val="0"/>
              <w:divBdr>
                <w:top w:val="none" w:sz="0" w:space="0" w:color="auto"/>
                <w:left w:val="none" w:sz="0" w:space="0" w:color="auto"/>
                <w:bottom w:val="none" w:sz="0" w:space="0" w:color="auto"/>
                <w:right w:val="none" w:sz="0" w:space="0" w:color="auto"/>
              </w:divBdr>
              <w:divsChild>
                <w:div w:id="220334659">
                  <w:marLeft w:val="0"/>
                  <w:marRight w:val="0"/>
                  <w:marTop w:val="0"/>
                  <w:marBottom w:val="0"/>
                  <w:divBdr>
                    <w:top w:val="none" w:sz="0" w:space="0" w:color="auto"/>
                    <w:left w:val="none" w:sz="0" w:space="0" w:color="auto"/>
                    <w:bottom w:val="none" w:sz="0" w:space="0" w:color="auto"/>
                    <w:right w:val="none" w:sz="0" w:space="0" w:color="auto"/>
                  </w:divBdr>
                  <w:divsChild>
                    <w:div w:id="413429978">
                      <w:marLeft w:val="0"/>
                      <w:marRight w:val="0"/>
                      <w:marTop w:val="0"/>
                      <w:marBottom w:val="0"/>
                      <w:divBdr>
                        <w:top w:val="none" w:sz="0" w:space="0" w:color="auto"/>
                        <w:left w:val="none" w:sz="0" w:space="0" w:color="auto"/>
                        <w:bottom w:val="none" w:sz="0" w:space="0" w:color="auto"/>
                        <w:right w:val="none" w:sz="0" w:space="0" w:color="auto"/>
                      </w:divBdr>
                    </w:div>
                  </w:divsChild>
                </w:div>
                <w:div w:id="590896158">
                  <w:marLeft w:val="0"/>
                  <w:marRight w:val="0"/>
                  <w:marTop w:val="0"/>
                  <w:marBottom w:val="0"/>
                  <w:divBdr>
                    <w:top w:val="none" w:sz="0" w:space="0" w:color="auto"/>
                    <w:left w:val="none" w:sz="0" w:space="0" w:color="auto"/>
                    <w:bottom w:val="none" w:sz="0" w:space="0" w:color="auto"/>
                    <w:right w:val="none" w:sz="0" w:space="0" w:color="auto"/>
                  </w:divBdr>
                  <w:divsChild>
                    <w:div w:id="11418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2446">
              <w:marLeft w:val="0"/>
              <w:marRight w:val="0"/>
              <w:marTop w:val="0"/>
              <w:marBottom w:val="0"/>
              <w:divBdr>
                <w:top w:val="none" w:sz="0" w:space="0" w:color="auto"/>
                <w:left w:val="none" w:sz="0" w:space="0" w:color="auto"/>
                <w:bottom w:val="none" w:sz="0" w:space="0" w:color="auto"/>
                <w:right w:val="none" w:sz="0" w:space="0" w:color="auto"/>
              </w:divBdr>
              <w:divsChild>
                <w:div w:id="1380931000">
                  <w:marLeft w:val="0"/>
                  <w:marRight w:val="0"/>
                  <w:marTop w:val="0"/>
                  <w:marBottom w:val="0"/>
                  <w:divBdr>
                    <w:top w:val="none" w:sz="0" w:space="0" w:color="auto"/>
                    <w:left w:val="none" w:sz="0" w:space="0" w:color="auto"/>
                    <w:bottom w:val="none" w:sz="0" w:space="0" w:color="auto"/>
                    <w:right w:val="none" w:sz="0" w:space="0" w:color="auto"/>
                  </w:divBdr>
                </w:div>
              </w:divsChild>
            </w:div>
            <w:div w:id="1158498108">
              <w:marLeft w:val="0"/>
              <w:marRight w:val="0"/>
              <w:marTop w:val="0"/>
              <w:marBottom w:val="0"/>
              <w:divBdr>
                <w:top w:val="none" w:sz="0" w:space="0" w:color="auto"/>
                <w:left w:val="none" w:sz="0" w:space="0" w:color="auto"/>
                <w:bottom w:val="none" w:sz="0" w:space="0" w:color="auto"/>
                <w:right w:val="none" w:sz="0" w:space="0" w:color="auto"/>
              </w:divBdr>
              <w:divsChild>
                <w:div w:id="460542583">
                  <w:marLeft w:val="0"/>
                  <w:marRight w:val="0"/>
                  <w:marTop w:val="0"/>
                  <w:marBottom w:val="0"/>
                  <w:divBdr>
                    <w:top w:val="none" w:sz="0" w:space="0" w:color="auto"/>
                    <w:left w:val="none" w:sz="0" w:space="0" w:color="auto"/>
                    <w:bottom w:val="none" w:sz="0" w:space="0" w:color="auto"/>
                    <w:right w:val="none" w:sz="0" w:space="0" w:color="auto"/>
                  </w:divBdr>
                  <w:divsChild>
                    <w:div w:id="810094477">
                      <w:marLeft w:val="0"/>
                      <w:marRight w:val="0"/>
                      <w:marTop w:val="0"/>
                      <w:marBottom w:val="0"/>
                      <w:divBdr>
                        <w:top w:val="none" w:sz="0" w:space="0" w:color="auto"/>
                        <w:left w:val="none" w:sz="0" w:space="0" w:color="auto"/>
                        <w:bottom w:val="none" w:sz="0" w:space="0" w:color="auto"/>
                        <w:right w:val="none" w:sz="0" w:space="0" w:color="auto"/>
                      </w:divBdr>
                    </w:div>
                  </w:divsChild>
                </w:div>
                <w:div w:id="2060013728">
                  <w:marLeft w:val="0"/>
                  <w:marRight w:val="0"/>
                  <w:marTop w:val="0"/>
                  <w:marBottom w:val="0"/>
                  <w:divBdr>
                    <w:top w:val="none" w:sz="0" w:space="0" w:color="auto"/>
                    <w:left w:val="none" w:sz="0" w:space="0" w:color="auto"/>
                    <w:bottom w:val="none" w:sz="0" w:space="0" w:color="auto"/>
                    <w:right w:val="none" w:sz="0" w:space="0" w:color="auto"/>
                  </w:divBdr>
                  <w:divsChild>
                    <w:div w:id="19563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5026">
              <w:marLeft w:val="0"/>
              <w:marRight w:val="0"/>
              <w:marTop w:val="0"/>
              <w:marBottom w:val="0"/>
              <w:divBdr>
                <w:top w:val="none" w:sz="0" w:space="0" w:color="auto"/>
                <w:left w:val="none" w:sz="0" w:space="0" w:color="auto"/>
                <w:bottom w:val="none" w:sz="0" w:space="0" w:color="auto"/>
                <w:right w:val="none" w:sz="0" w:space="0" w:color="auto"/>
              </w:divBdr>
              <w:divsChild>
                <w:div w:id="123433358">
                  <w:marLeft w:val="0"/>
                  <w:marRight w:val="0"/>
                  <w:marTop w:val="0"/>
                  <w:marBottom w:val="0"/>
                  <w:divBdr>
                    <w:top w:val="none" w:sz="0" w:space="0" w:color="auto"/>
                    <w:left w:val="none" w:sz="0" w:space="0" w:color="auto"/>
                    <w:bottom w:val="none" w:sz="0" w:space="0" w:color="auto"/>
                    <w:right w:val="none" w:sz="0" w:space="0" w:color="auto"/>
                  </w:divBdr>
                  <w:divsChild>
                    <w:div w:id="1598974737">
                      <w:marLeft w:val="0"/>
                      <w:marRight w:val="0"/>
                      <w:marTop w:val="0"/>
                      <w:marBottom w:val="0"/>
                      <w:divBdr>
                        <w:top w:val="none" w:sz="0" w:space="0" w:color="auto"/>
                        <w:left w:val="none" w:sz="0" w:space="0" w:color="auto"/>
                        <w:bottom w:val="none" w:sz="0" w:space="0" w:color="auto"/>
                        <w:right w:val="none" w:sz="0" w:space="0" w:color="auto"/>
                      </w:divBdr>
                    </w:div>
                  </w:divsChild>
                </w:div>
                <w:div w:id="806824755">
                  <w:marLeft w:val="0"/>
                  <w:marRight w:val="0"/>
                  <w:marTop w:val="0"/>
                  <w:marBottom w:val="0"/>
                  <w:divBdr>
                    <w:top w:val="none" w:sz="0" w:space="0" w:color="auto"/>
                    <w:left w:val="none" w:sz="0" w:space="0" w:color="auto"/>
                    <w:bottom w:val="none" w:sz="0" w:space="0" w:color="auto"/>
                    <w:right w:val="none" w:sz="0" w:space="0" w:color="auto"/>
                  </w:divBdr>
                  <w:divsChild>
                    <w:div w:id="21016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6847">
              <w:marLeft w:val="0"/>
              <w:marRight w:val="0"/>
              <w:marTop w:val="0"/>
              <w:marBottom w:val="0"/>
              <w:divBdr>
                <w:top w:val="none" w:sz="0" w:space="0" w:color="auto"/>
                <w:left w:val="none" w:sz="0" w:space="0" w:color="auto"/>
                <w:bottom w:val="none" w:sz="0" w:space="0" w:color="auto"/>
                <w:right w:val="none" w:sz="0" w:space="0" w:color="auto"/>
              </w:divBdr>
              <w:divsChild>
                <w:div w:id="1824738618">
                  <w:marLeft w:val="0"/>
                  <w:marRight w:val="0"/>
                  <w:marTop w:val="0"/>
                  <w:marBottom w:val="0"/>
                  <w:divBdr>
                    <w:top w:val="none" w:sz="0" w:space="0" w:color="auto"/>
                    <w:left w:val="none" w:sz="0" w:space="0" w:color="auto"/>
                    <w:bottom w:val="none" w:sz="0" w:space="0" w:color="auto"/>
                    <w:right w:val="none" w:sz="0" w:space="0" w:color="auto"/>
                  </w:divBdr>
                  <w:divsChild>
                    <w:div w:id="1818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4141">
              <w:marLeft w:val="0"/>
              <w:marRight w:val="0"/>
              <w:marTop w:val="0"/>
              <w:marBottom w:val="0"/>
              <w:divBdr>
                <w:top w:val="none" w:sz="0" w:space="0" w:color="auto"/>
                <w:left w:val="none" w:sz="0" w:space="0" w:color="auto"/>
                <w:bottom w:val="none" w:sz="0" w:space="0" w:color="auto"/>
                <w:right w:val="none" w:sz="0" w:space="0" w:color="auto"/>
              </w:divBdr>
              <w:divsChild>
                <w:div w:id="15515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346">
      <w:bodyDiv w:val="1"/>
      <w:marLeft w:val="0"/>
      <w:marRight w:val="0"/>
      <w:marTop w:val="0"/>
      <w:marBottom w:val="0"/>
      <w:divBdr>
        <w:top w:val="none" w:sz="0" w:space="0" w:color="auto"/>
        <w:left w:val="none" w:sz="0" w:space="0" w:color="auto"/>
        <w:bottom w:val="none" w:sz="0" w:space="0" w:color="auto"/>
        <w:right w:val="none" w:sz="0" w:space="0" w:color="auto"/>
      </w:divBdr>
      <w:divsChild>
        <w:div w:id="54209446">
          <w:marLeft w:val="0"/>
          <w:marRight w:val="0"/>
          <w:marTop w:val="0"/>
          <w:marBottom w:val="0"/>
          <w:divBdr>
            <w:top w:val="none" w:sz="0" w:space="0" w:color="auto"/>
            <w:left w:val="none" w:sz="0" w:space="0" w:color="auto"/>
            <w:bottom w:val="none" w:sz="0" w:space="0" w:color="auto"/>
            <w:right w:val="none" w:sz="0" w:space="0" w:color="auto"/>
          </w:divBdr>
        </w:div>
        <w:div w:id="145364873">
          <w:marLeft w:val="0"/>
          <w:marRight w:val="0"/>
          <w:marTop w:val="0"/>
          <w:marBottom w:val="0"/>
          <w:divBdr>
            <w:top w:val="none" w:sz="0" w:space="0" w:color="auto"/>
            <w:left w:val="none" w:sz="0" w:space="0" w:color="auto"/>
            <w:bottom w:val="none" w:sz="0" w:space="0" w:color="auto"/>
            <w:right w:val="none" w:sz="0" w:space="0" w:color="auto"/>
          </w:divBdr>
        </w:div>
        <w:div w:id="211042360">
          <w:marLeft w:val="0"/>
          <w:marRight w:val="0"/>
          <w:marTop w:val="0"/>
          <w:marBottom w:val="0"/>
          <w:divBdr>
            <w:top w:val="none" w:sz="0" w:space="0" w:color="auto"/>
            <w:left w:val="none" w:sz="0" w:space="0" w:color="auto"/>
            <w:bottom w:val="none" w:sz="0" w:space="0" w:color="auto"/>
            <w:right w:val="none" w:sz="0" w:space="0" w:color="auto"/>
          </w:divBdr>
        </w:div>
        <w:div w:id="275714887">
          <w:marLeft w:val="0"/>
          <w:marRight w:val="0"/>
          <w:marTop w:val="0"/>
          <w:marBottom w:val="0"/>
          <w:divBdr>
            <w:top w:val="none" w:sz="0" w:space="0" w:color="auto"/>
            <w:left w:val="none" w:sz="0" w:space="0" w:color="auto"/>
            <w:bottom w:val="none" w:sz="0" w:space="0" w:color="auto"/>
            <w:right w:val="none" w:sz="0" w:space="0" w:color="auto"/>
          </w:divBdr>
        </w:div>
        <w:div w:id="324817665">
          <w:marLeft w:val="0"/>
          <w:marRight w:val="0"/>
          <w:marTop w:val="0"/>
          <w:marBottom w:val="0"/>
          <w:divBdr>
            <w:top w:val="none" w:sz="0" w:space="0" w:color="auto"/>
            <w:left w:val="none" w:sz="0" w:space="0" w:color="auto"/>
            <w:bottom w:val="none" w:sz="0" w:space="0" w:color="auto"/>
            <w:right w:val="none" w:sz="0" w:space="0" w:color="auto"/>
          </w:divBdr>
        </w:div>
        <w:div w:id="326832703">
          <w:marLeft w:val="0"/>
          <w:marRight w:val="0"/>
          <w:marTop w:val="0"/>
          <w:marBottom w:val="0"/>
          <w:divBdr>
            <w:top w:val="none" w:sz="0" w:space="0" w:color="auto"/>
            <w:left w:val="none" w:sz="0" w:space="0" w:color="auto"/>
            <w:bottom w:val="none" w:sz="0" w:space="0" w:color="auto"/>
            <w:right w:val="none" w:sz="0" w:space="0" w:color="auto"/>
          </w:divBdr>
        </w:div>
        <w:div w:id="336075202">
          <w:marLeft w:val="0"/>
          <w:marRight w:val="0"/>
          <w:marTop w:val="0"/>
          <w:marBottom w:val="0"/>
          <w:divBdr>
            <w:top w:val="none" w:sz="0" w:space="0" w:color="auto"/>
            <w:left w:val="none" w:sz="0" w:space="0" w:color="auto"/>
            <w:bottom w:val="none" w:sz="0" w:space="0" w:color="auto"/>
            <w:right w:val="none" w:sz="0" w:space="0" w:color="auto"/>
          </w:divBdr>
        </w:div>
        <w:div w:id="606818344">
          <w:marLeft w:val="0"/>
          <w:marRight w:val="0"/>
          <w:marTop w:val="0"/>
          <w:marBottom w:val="0"/>
          <w:divBdr>
            <w:top w:val="none" w:sz="0" w:space="0" w:color="auto"/>
            <w:left w:val="none" w:sz="0" w:space="0" w:color="auto"/>
            <w:bottom w:val="none" w:sz="0" w:space="0" w:color="auto"/>
            <w:right w:val="none" w:sz="0" w:space="0" w:color="auto"/>
          </w:divBdr>
        </w:div>
        <w:div w:id="645430486">
          <w:marLeft w:val="0"/>
          <w:marRight w:val="0"/>
          <w:marTop w:val="0"/>
          <w:marBottom w:val="0"/>
          <w:divBdr>
            <w:top w:val="none" w:sz="0" w:space="0" w:color="auto"/>
            <w:left w:val="none" w:sz="0" w:space="0" w:color="auto"/>
            <w:bottom w:val="none" w:sz="0" w:space="0" w:color="auto"/>
            <w:right w:val="none" w:sz="0" w:space="0" w:color="auto"/>
          </w:divBdr>
        </w:div>
        <w:div w:id="657656856">
          <w:marLeft w:val="0"/>
          <w:marRight w:val="0"/>
          <w:marTop w:val="0"/>
          <w:marBottom w:val="0"/>
          <w:divBdr>
            <w:top w:val="none" w:sz="0" w:space="0" w:color="auto"/>
            <w:left w:val="none" w:sz="0" w:space="0" w:color="auto"/>
            <w:bottom w:val="none" w:sz="0" w:space="0" w:color="auto"/>
            <w:right w:val="none" w:sz="0" w:space="0" w:color="auto"/>
          </w:divBdr>
        </w:div>
        <w:div w:id="837228615">
          <w:marLeft w:val="0"/>
          <w:marRight w:val="0"/>
          <w:marTop w:val="0"/>
          <w:marBottom w:val="0"/>
          <w:divBdr>
            <w:top w:val="none" w:sz="0" w:space="0" w:color="auto"/>
            <w:left w:val="none" w:sz="0" w:space="0" w:color="auto"/>
            <w:bottom w:val="none" w:sz="0" w:space="0" w:color="auto"/>
            <w:right w:val="none" w:sz="0" w:space="0" w:color="auto"/>
          </w:divBdr>
        </w:div>
        <w:div w:id="916595302">
          <w:marLeft w:val="0"/>
          <w:marRight w:val="0"/>
          <w:marTop w:val="0"/>
          <w:marBottom w:val="0"/>
          <w:divBdr>
            <w:top w:val="none" w:sz="0" w:space="0" w:color="auto"/>
            <w:left w:val="none" w:sz="0" w:space="0" w:color="auto"/>
            <w:bottom w:val="none" w:sz="0" w:space="0" w:color="auto"/>
            <w:right w:val="none" w:sz="0" w:space="0" w:color="auto"/>
          </w:divBdr>
        </w:div>
        <w:div w:id="1298219673">
          <w:marLeft w:val="0"/>
          <w:marRight w:val="0"/>
          <w:marTop w:val="0"/>
          <w:marBottom w:val="0"/>
          <w:divBdr>
            <w:top w:val="none" w:sz="0" w:space="0" w:color="auto"/>
            <w:left w:val="none" w:sz="0" w:space="0" w:color="auto"/>
            <w:bottom w:val="none" w:sz="0" w:space="0" w:color="auto"/>
            <w:right w:val="none" w:sz="0" w:space="0" w:color="auto"/>
          </w:divBdr>
        </w:div>
        <w:div w:id="1419866924">
          <w:marLeft w:val="0"/>
          <w:marRight w:val="0"/>
          <w:marTop w:val="0"/>
          <w:marBottom w:val="0"/>
          <w:divBdr>
            <w:top w:val="none" w:sz="0" w:space="0" w:color="auto"/>
            <w:left w:val="none" w:sz="0" w:space="0" w:color="auto"/>
            <w:bottom w:val="none" w:sz="0" w:space="0" w:color="auto"/>
            <w:right w:val="none" w:sz="0" w:space="0" w:color="auto"/>
          </w:divBdr>
        </w:div>
        <w:div w:id="1598754819">
          <w:marLeft w:val="0"/>
          <w:marRight w:val="0"/>
          <w:marTop w:val="0"/>
          <w:marBottom w:val="0"/>
          <w:divBdr>
            <w:top w:val="none" w:sz="0" w:space="0" w:color="auto"/>
            <w:left w:val="none" w:sz="0" w:space="0" w:color="auto"/>
            <w:bottom w:val="none" w:sz="0" w:space="0" w:color="auto"/>
            <w:right w:val="none" w:sz="0" w:space="0" w:color="auto"/>
          </w:divBdr>
        </w:div>
        <w:div w:id="1607347043">
          <w:marLeft w:val="0"/>
          <w:marRight w:val="0"/>
          <w:marTop w:val="0"/>
          <w:marBottom w:val="0"/>
          <w:divBdr>
            <w:top w:val="none" w:sz="0" w:space="0" w:color="auto"/>
            <w:left w:val="none" w:sz="0" w:space="0" w:color="auto"/>
            <w:bottom w:val="none" w:sz="0" w:space="0" w:color="auto"/>
            <w:right w:val="none" w:sz="0" w:space="0" w:color="auto"/>
          </w:divBdr>
        </w:div>
        <w:div w:id="1936670443">
          <w:marLeft w:val="0"/>
          <w:marRight w:val="0"/>
          <w:marTop w:val="0"/>
          <w:marBottom w:val="0"/>
          <w:divBdr>
            <w:top w:val="none" w:sz="0" w:space="0" w:color="auto"/>
            <w:left w:val="none" w:sz="0" w:space="0" w:color="auto"/>
            <w:bottom w:val="none" w:sz="0" w:space="0" w:color="auto"/>
            <w:right w:val="none" w:sz="0" w:space="0" w:color="auto"/>
          </w:divBdr>
        </w:div>
      </w:divsChild>
    </w:div>
    <w:div w:id="1245804269">
      <w:bodyDiv w:val="1"/>
      <w:marLeft w:val="0"/>
      <w:marRight w:val="0"/>
      <w:marTop w:val="0"/>
      <w:marBottom w:val="0"/>
      <w:divBdr>
        <w:top w:val="none" w:sz="0" w:space="0" w:color="auto"/>
        <w:left w:val="none" w:sz="0" w:space="0" w:color="auto"/>
        <w:bottom w:val="none" w:sz="0" w:space="0" w:color="auto"/>
        <w:right w:val="none" w:sz="0" w:space="0" w:color="auto"/>
      </w:divBdr>
    </w:div>
    <w:div w:id="1258249195">
      <w:bodyDiv w:val="1"/>
      <w:marLeft w:val="0"/>
      <w:marRight w:val="0"/>
      <w:marTop w:val="0"/>
      <w:marBottom w:val="0"/>
      <w:divBdr>
        <w:top w:val="none" w:sz="0" w:space="0" w:color="auto"/>
        <w:left w:val="none" w:sz="0" w:space="0" w:color="auto"/>
        <w:bottom w:val="none" w:sz="0" w:space="0" w:color="auto"/>
        <w:right w:val="none" w:sz="0" w:space="0" w:color="auto"/>
      </w:divBdr>
    </w:div>
    <w:div w:id="1278558864">
      <w:bodyDiv w:val="1"/>
      <w:marLeft w:val="0"/>
      <w:marRight w:val="0"/>
      <w:marTop w:val="0"/>
      <w:marBottom w:val="0"/>
      <w:divBdr>
        <w:top w:val="none" w:sz="0" w:space="0" w:color="auto"/>
        <w:left w:val="none" w:sz="0" w:space="0" w:color="auto"/>
        <w:bottom w:val="none" w:sz="0" w:space="0" w:color="auto"/>
        <w:right w:val="none" w:sz="0" w:space="0" w:color="auto"/>
      </w:divBdr>
    </w:div>
    <w:div w:id="1280255964">
      <w:bodyDiv w:val="1"/>
      <w:marLeft w:val="0"/>
      <w:marRight w:val="0"/>
      <w:marTop w:val="0"/>
      <w:marBottom w:val="0"/>
      <w:divBdr>
        <w:top w:val="none" w:sz="0" w:space="0" w:color="auto"/>
        <w:left w:val="none" w:sz="0" w:space="0" w:color="auto"/>
        <w:bottom w:val="none" w:sz="0" w:space="0" w:color="auto"/>
        <w:right w:val="none" w:sz="0" w:space="0" w:color="auto"/>
      </w:divBdr>
    </w:div>
    <w:div w:id="1281764331">
      <w:bodyDiv w:val="1"/>
      <w:marLeft w:val="0"/>
      <w:marRight w:val="0"/>
      <w:marTop w:val="0"/>
      <w:marBottom w:val="0"/>
      <w:divBdr>
        <w:top w:val="none" w:sz="0" w:space="0" w:color="auto"/>
        <w:left w:val="none" w:sz="0" w:space="0" w:color="auto"/>
        <w:bottom w:val="none" w:sz="0" w:space="0" w:color="auto"/>
        <w:right w:val="none" w:sz="0" w:space="0" w:color="auto"/>
      </w:divBdr>
      <w:divsChild>
        <w:div w:id="175537102">
          <w:marLeft w:val="0"/>
          <w:marRight w:val="0"/>
          <w:marTop w:val="0"/>
          <w:marBottom w:val="0"/>
          <w:divBdr>
            <w:top w:val="none" w:sz="0" w:space="0" w:color="auto"/>
            <w:left w:val="none" w:sz="0" w:space="0" w:color="auto"/>
            <w:bottom w:val="none" w:sz="0" w:space="0" w:color="auto"/>
            <w:right w:val="none" w:sz="0" w:space="0" w:color="auto"/>
          </w:divBdr>
          <w:divsChild>
            <w:div w:id="1139614856">
              <w:marLeft w:val="0"/>
              <w:marRight w:val="0"/>
              <w:marTop w:val="0"/>
              <w:marBottom w:val="0"/>
              <w:divBdr>
                <w:top w:val="none" w:sz="0" w:space="0" w:color="auto"/>
                <w:left w:val="none" w:sz="0" w:space="0" w:color="auto"/>
                <w:bottom w:val="none" w:sz="0" w:space="0" w:color="auto"/>
                <w:right w:val="none" w:sz="0" w:space="0" w:color="auto"/>
              </w:divBdr>
              <w:divsChild>
                <w:div w:id="1518733091">
                  <w:marLeft w:val="0"/>
                  <w:marRight w:val="0"/>
                  <w:marTop w:val="0"/>
                  <w:marBottom w:val="0"/>
                  <w:divBdr>
                    <w:top w:val="none" w:sz="0" w:space="0" w:color="auto"/>
                    <w:left w:val="none" w:sz="0" w:space="0" w:color="auto"/>
                    <w:bottom w:val="none" w:sz="0" w:space="0" w:color="auto"/>
                    <w:right w:val="none" w:sz="0" w:space="0" w:color="auto"/>
                  </w:divBdr>
                  <w:divsChild>
                    <w:div w:id="17535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45932">
      <w:bodyDiv w:val="1"/>
      <w:marLeft w:val="0"/>
      <w:marRight w:val="0"/>
      <w:marTop w:val="0"/>
      <w:marBottom w:val="0"/>
      <w:divBdr>
        <w:top w:val="none" w:sz="0" w:space="0" w:color="auto"/>
        <w:left w:val="none" w:sz="0" w:space="0" w:color="auto"/>
        <w:bottom w:val="none" w:sz="0" w:space="0" w:color="auto"/>
        <w:right w:val="none" w:sz="0" w:space="0" w:color="auto"/>
      </w:divBdr>
    </w:div>
    <w:div w:id="1297292654">
      <w:bodyDiv w:val="1"/>
      <w:marLeft w:val="0"/>
      <w:marRight w:val="0"/>
      <w:marTop w:val="0"/>
      <w:marBottom w:val="0"/>
      <w:divBdr>
        <w:top w:val="none" w:sz="0" w:space="0" w:color="auto"/>
        <w:left w:val="none" w:sz="0" w:space="0" w:color="auto"/>
        <w:bottom w:val="none" w:sz="0" w:space="0" w:color="auto"/>
        <w:right w:val="none" w:sz="0" w:space="0" w:color="auto"/>
      </w:divBdr>
      <w:divsChild>
        <w:div w:id="362633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046292">
              <w:marLeft w:val="0"/>
              <w:marRight w:val="0"/>
              <w:marTop w:val="0"/>
              <w:marBottom w:val="0"/>
              <w:divBdr>
                <w:top w:val="none" w:sz="0" w:space="0" w:color="auto"/>
                <w:left w:val="none" w:sz="0" w:space="0" w:color="auto"/>
                <w:bottom w:val="none" w:sz="0" w:space="0" w:color="auto"/>
                <w:right w:val="none" w:sz="0" w:space="0" w:color="auto"/>
              </w:divBdr>
              <w:divsChild>
                <w:div w:id="18359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28172">
      <w:bodyDiv w:val="1"/>
      <w:marLeft w:val="0"/>
      <w:marRight w:val="0"/>
      <w:marTop w:val="0"/>
      <w:marBottom w:val="0"/>
      <w:divBdr>
        <w:top w:val="none" w:sz="0" w:space="0" w:color="auto"/>
        <w:left w:val="none" w:sz="0" w:space="0" w:color="auto"/>
        <w:bottom w:val="none" w:sz="0" w:space="0" w:color="auto"/>
        <w:right w:val="none" w:sz="0" w:space="0" w:color="auto"/>
      </w:divBdr>
    </w:div>
    <w:div w:id="1310941659">
      <w:bodyDiv w:val="1"/>
      <w:marLeft w:val="0"/>
      <w:marRight w:val="0"/>
      <w:marTop w:val="0"/>
      <w:marBottom w:val="0"/>
      <w:divBdr>
        <w:top w:val="none" w:sz="0" w:space="0" w:color="auto"/>
        <w:left w:val="none" w:sz="0" w:space="0" w:color="auto"/>
        <w:bottom w:val="none" w:sz="0" w:space="0" w:color="auto"/>
        <w:right w:val="none" w:sz="0" w:space="0" w:color="auto"/>
      </w:divBdr>
    </w:div>
    <w:div w:id="1318921942">
      <w:bodyDiv w:val="1"/>
      <w:marLeft w:val="0"/>
      <w:marRight w:val="0"/>
      <w:marTop w:val="0"/>
      <w:marBottom w:val="0"/>
      <w:divBdr>
        <w:top w:val="none" w:sz="0" w:space="0" w:color="auto"/>
        <w:left w:val="none" w:sz="0" w:space="0" w:color="auto"/>
        <w:bottom w:val="none" w:sz="0" w:space="0" w:color="auto"/>
        <w:right w:val="none" w:sz="0" w:space="0" w:color="auto"/>
      </w:divBdr>
    </w:div>
    <w:div w:id="1319767545">
      <w:bodyDiv w:val="1"/>
      <w:marLeft w:val="0"/>
      <w:marRight w:val="0"/>
      <w:marTop w:val="0"/>
      <w:marBottom w:val="0"/>
      <w:divBdr>
        <w:top w:val="none" w:sz="0" w:space="0" w:color="auto"/>
        <w:left w:val="none" w:sz="0" w:space="0" w:color="auto"/>
        <w:bottom w:val="none" w:sz="0" w:space="0" w:color="auto"/>
        <w:right w:val="none" w:sz="0" w:space="0" w:color="auto"/>
      </w:divBdr>
    </w:div>
    <w:div w:id="1332954452">
      <w:bodyDiv w:val="1"/>
      <w:marLeft w:val="0"/>
      <w:marRight w:val="0"/>
      <w:marTop w:val="0"/>
      <w:marBottom w:val="0"/>
      <w:divBdr>
        <w:top w:val="none" w:sz="0" w:space="0" w:color="auto"/>
        <w:left w:val="none" w:sz="0" w:space="0" w:color="auto"/>
        <w:bottom w:val="none" w:sz="0" w:space="0" w:color="auto"/>
        <w:right w:val="none" w:sz="0" w:space="0" w:color="auto"/>
      </w:divBdr>
      <w:divsChild>
        <w:div w:id="377701776">
          <w:marLeft w:val="0"/>
          <w:marRight w:val="0"/>
          <w:marTop w:val="0"/>
          <w:marBottom w:val="0"/>
          <w:divBdr>
            <w:top w:val="none" w:sz="0" w:space="0" w:color="auto"/>
            <w:left w:val="none" w:sz="0" w:space="0" w:color="auto"/>
            <w:bottom w:val="none" w:sz="0" w:space="0" w:color="auto"/>
            <w:right w:val="none" w:sz="0" w:space="0" w:color="auto"/>
          </w:divBdr>
          <w:divsChild>
            <w:div w:id="1668902667">
              <w:marLeft w:val="0"/>
              <w:marRight w:val="0"/>
              <w:marTop w:val="0"/>
              <w:marBottom w:val="0"/>
              <w:divBdr>
                <w:top w:val="none" w:sz="0" w:space="0" w:color="auto"/>
                <w:left w:val="none" w:sz="0" w:space="0" w:color="auto"/>
                <w:bottom w:val="none" w:sz="0" w:space="0" w:color="auto"/>
                <w:right w:val="none" w:sz="0" w:space="0" w:color="auto"/>
              </w:divBdr>
              <w:divsChild>
                <w:div w:id="13603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34123">
      <w:bodyDiv w:val="1"/>
      <w:marLeft w:val="0"/>
      <w:marRight w:val="0"/>
      <w:marTop w:val="0"/>
      <w:marBottom w:val="0"/>
      <w:divBdr>
        <w:top w:val="none" w:sz="0" w:space="0" w:color="auto"/>
        <w:left w:val="none" w:sz="0" w:space="0" w:color="auto"/>
        <w:bottom w:val="none" w:sz="0" w:space="0" w:color="auto"/>
        <w:right w:val="none" w:sz="0" w:space="0" w:color="auto"/>
      </w:divBdr>
      <w:divsChild>
        <w:div w:id="747506080">
          <w:marLeft w:val="0"/>
          <w:marRight w:val="0"/>
          <w:marTop w:val="0"/>
          <w:marBottom w:val="0"/>
          <w:divBdr>
            <w:top w:val="none" w:sz="0" w:space="0" w:color="auto"/>
            <w:left w:val="none" w:sz="0" w:space="0" w:color="auto"/>
            <w:bottom w:val="none" w:sz="0" w:space="0" w:color="auto"/>
            <w:right w:val="none" w:sz="0" w:space="0" w:color="auto"/>
          </w:divBdr>
          <w:divsChild>
            <w:div w:id="1213880704">
              <w:marLeft w:val="0"/>
              <w:marRight w:val="0"/>
              <w:marTop w:val="0"/>
              <w:marBottom w:val="0"/>
              <w:divBdr>
                <w:top w:val="none" w:sz="0" w:space="0" w:color="auto"/>
                <w:left w:val="none" w:sz="0" w:space="0" w:color="auto"/>
                <w:bottom w:val="none" w:sz="0" w:space="0" w:color="auto"/>
                <w:right w:val="none" w:sz="0" w:space="0" w:color="auto"/>
              </w:divBdr>
              <w:divsChild>
                <w:div w:id="13435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975">
      <w:bodyDiv w:val="1"/>
      <w:marLeft w:val="0"/>
      <w:marRight w:val="0"/>
      <w:marTop w:val="0"/>
      <w:marBottom w:val="0"/>
      <w:divBdr>
        <w:top w:val="none" w:sz="0" w:space="0" w:color="auto"/>
        <w:left w:val="none" w:sz="0" w:space="0" w:color="auto"/>
        <w:bottom w:val="none" w:sz="0" w:space="0" w:color="auto"/>
        <w:right w:val="none" w:sz="0" w:space="0" w:color="auto"/>
      </w:divBdr>
    </w:div>
    <w:div w:id="1358043778">
      <w:bodyDiv w:val="1"/>
      <w:marLeft w:val="0"/>
      <w:marRight w:val="0"/>
      <w:marTop w:val="0"/>
      <w:marBottom w:val="0"/>
      <w:divBdr>
        <w:top w:val="none" w:sz="0" w:space="0" w:color="auto"/>
        <w:left w:val="none" w:sz="0" w:space="0" w:color="auto"/>
        <w:bottom w:val="none" w:sz="0" w:space="0" w:color="auto"/>
        <w:right w:val="none" w:sz="0" w:space="0" w:color="auto"/>
      </w:divBdr>
    </w:div>
    <w:div w:id="1370690228">
      <w:bodyDiv w:val="1"/>
      <w:marLeft w:val="0"/>
      <w:marRight w:val="0"/>
      <w:marTop w:val="0"/>
      <w:marBottom w:val="0"/>
      <w:divBdr>
        <w:top w:val="none" w:sz="0" w:space="0" w:color="auto"/>
        <w:left w:val="none" w:sz="0" w:space="0" w:color="auto"/>
        <w:bottom w:val="none" w:sz="0" w:space="0" w:color="auto"/>
        <w:right w:val="none" w:sz="0" w:space="0" w:color="auto"/>
      </w:divBdr>
    </w:div>
    <w:div w:id="1386642870">
      <w:bodyDiv w:val="1"/>
      <w:marLeft w:val="0"/>
      <w:marRight w:val="0"/>
      <w:marTop w:val="0"/>
      <w:marBottom w:val="0"/>
      <w:divBdr>
        <w:top w:val="none" w:sz="0" w:space="0" w:color="auto"/>
        <w:left w:val="none" w:sz="0" w:space="0" w:color="auto"/>
        <w:bottom w:val="none" w:sz="0" w:space="0" w:color="auto"/>
        <w:right w:val="none" w:sz="0" w:space="0" w:color="auto"/>
      </w:divBdr>
    </w:div>
    <w:div w:id="1388216304">
      <w:bodyDiv w:val="1"/>
      <w:marLeft w:val="0"/>
      <w:marRight w:val="0"/>
      <w:marTop w:val="0"/>
      <w:marBottom w:val="0"/>
      <w:divBdr>
        <w:top w:val="none" w:sz="0" w:space="0" w:color="auto"/>
        <w:left w:val="none" w:sz="0" w:space="0" w:color="auto"/>
        <w:bottom w:val="none" w:sz="0" w:space="0" w:color="auto"/>
        <w:right w:val="none" w:sz="0" w:space="0" w:color="auto"/>
      </w:divBdr>
      <w:divsChild>
        <w:div w:id="890730933">
          <w:marLeft w:val="0"/>
          <w:marRight w:val="0"/>
          <w:marTop w:val="0"/>
          <w:marBottom w:val="0"/>
          <w:divBdr>
            <w:top w:val="none" w:sz="0" w:space="0" w:color="auto"/>
            <w:left w:val="none" w:sz="0" w:space="0" w:color="auto"/>
            <w:bottom w:val="none" w:sz="0" w:space="0" w:color="auto"/>
            <w:right w:val="none" w:sz="0" w:space="0" w:color="auto"/>
          </w:divBdr>
          <w:divsChild>
            <w:div w:id="549027356">
              <w:marLeft w:val="0"/>
              <w:marRight w:val="0"/>
              <w:marTop w:val="0"/>
              <w:marBottom w:val="0"/>
              <w:divBdr>
                <w:top w:val="none" w:sz="0" w:space="0" w:color="auto"/>
                <w:left w:val="none" w:sz="0" w:space="0" w:color="auto"/>
                <w:bottom w:val="none" w:sz="0" w:space="0" w:color="auto"/>
                <w:right w:val="none" w:sz="0" w:space="0" w:color="auto"/>
              </w:divBdr>
              <w:divsChild>
                <w:div w:id="15184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0660">
      <w:bodyDiv w:val="1"/>
      <w:marLeft w:val="0"/>
      <w:marRight w:val="0"/>
      <w:marTop w:val="0"/>
      <w:marBottom w:val="0"/>
      <w:divBdr>
        <w:top w:val="none" w:sz="0" w:space="0" w:color="auto"/>
        <w:left w:val="none" w:sz="0" w:space="0" w:color="auto"/>
        <w:bottom w:val="none" w:sz="0" w:space="0" w:color="auto"/>
        <w:right w:val="none" w:sz="0" w:space="0" w:color="auto"/>
      </w:divBdr>
      <w:divsChild>
        <w:div w:id="1418289711">
          <w:marLeft w:val="0"/>
          <w:marRight w:val="0"/>
          <w:marTop w:val="0"/>
          <w:marBottom w:val="0"/>
          <w:divBdr>
            <w:top w:val="none" w:sz="0" w:space="0" w:color="auto"/>
            <w:left w:val="none" w:sz="0" w:space="0" w:color="auto"/>
            <w:bottom w:val="none" w:sz="0" w:space="0" w:color="auto"/>
            <w:right w:val="none" w:sz="0" w:space="0" w:color="auto"/>
          </w:divBdr>
          <w:divsChild>
            <w:div w:id="918250675">
              <w:marLeft w:val="0"/>
              <w:marRight w:val="0"/>
              <w:marTop w:val="0"/>
              <w:marBottom w:val="0"/>
              <w:divBdr>
                <w:top w:val="none" w:sz="0" w:space="0" w:color="auto"/>
                <w:left w:val="none" w:sz="0" w:space="0" w:color="auto"/>
                <w:bottom w:val="none" w:sz="0" w:space="0" w:color="auto"/>
                <w:right w:val="none" w:sz="0" w:space="0" w:color="auto"/>
              </w:divBdr>
              <w:divsChild>
                <w:div w:id="1285229750">
                  <w:marLeft w:val="0"/>
                  <w:marRight w:val="0"/>
                  <w:marTop w:val="0"/>
                  <w:marBottom w:val="0"/>
                  <w:divBdr>
                    <w:top w:val="none" w:sz="0" w:space="0" w:color="auto"/>
                    <w:left w:val="none" w:sz="0" w:space="0" w:color="auto"/>
                    <w:bottom w:val="none" w:sz="0" w:space="0" w:color="auto"/>
                    <w:right w:val="none" w:sz="0" w:space="0" w:color="auto"/>
                  </w:divBdr>
                  <w:divsChild>
                    <w:div w:id="12061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5877">
      <w:bodyDiv w:val="1"/>
      <w:marLeft w:val="0"/>
      <w:marRight w:val="0"/>
      <w:marTop w:val="0"/>
      <w:marBottom w:val="0"/>
      <w:divBdr>
        <w:top w:val="none" w:sz="0" w:space="0" w:color="auto"/>
        <w:left w:val="none" w:sz="0" w:space="0" w:color="auto"/>
        <w:bottom w:val="none" w:sz="0" w:space="0" w:color="auto"/>
        <w:right w:val="none" w:sz="0" w:space="0" w:color="auto"/>
      </w:divBdr>
    </w:div>
    <w:div w:id="1420755218">
      <w:bodyDiv w:val="1"/>
      <w:marLeft w:val="0"/>
      <w:marRight w:val="0"/>
      <w:marTop w:val="0"/>
      <w:marBottom w:val="0"/>
      <w:divBdr>
        <w:top w:val="none" w:sz="0" w:space="0" w:color="auto"/>
        <w:left w:val="none" w:sz="0" w:space="0" w:color="auto"/>
        <w:bottom w:val="none" w:sz="0" w:space="0" w:color="auto"/>
        <w:right w:val="none" w:sz="0" w:space="0" w:color="auto"/>
      </w:divBdr>
    </w:div>
    <w:div w:id="1425803927">
      <w:bodyDiv w:val="1"/>
      <w:marLeft w:val="0"/>
      <w:marRight w:val="0"/>
      <w:marTop w:val="0"/>
      <w:marBottom w:val="0"/>
      <w:divBdr>
        <w:top w:val="none" w:sz="0" w:space="0" w:color="auto"/>
        <w:left w:val="none" w:sz="0" w:space="0" w:color="auto"/>
        <w:bottom w:val="none" w:sz="0" w:space="0" w:color="auto"/>
        <w:right w:val="none" w:sz="0" w:space="0" w:color="auto"/>
      </w:divBdr>
    </w:div>
    <w:div w:id="1432357556">
      <w:bodyDiv w:val="1"/>
      <w:marLeft w:val="0"/>
      <w:marRight w:val="0"/>
      <w:marTop w:val="0"/>
      <w:marBottom w:val="0"/>
      <w:divBdr>
        <w:top w:val="none" w:sz="0" w:space="0" w:color="auto"/>
        <w:left w:val="none" w:sz="0" w:space="0" w:color="auto"/>
        <w:bottom w:val="none" w:sz="0" w:space="0" w:color="auto"/>
        <w:right w:val="none" w:sz="0" w:space="0" w:color="auto"/>
      </w:divBdr>
    </w:div>
    <w:div w:id="1445684960">
      <w:bodyDiv w:val="1"/>
      <w:marLeft w:val="0"/>
      <w:marRight w:val="0"/>
      <w:marTop w:val="0"/>
      <w:marBottom w:val="0"/>
      <w:divBdr>
        <w:top w:val="none" w:sz="0" w:space="0" w:color="auto"/>
        <w:left w:val="none" w:sz="0" w:space="0" w:color="auto"/>
        <w:bottom w:val="none" w:sz="0" w:space="0" w:color="auto"/>
        <w:right w:val="none" w:sz="0" w:space="0" w:color="auto"/>
      </w:divBdr>
    </w:div>
    <w:div w:id="1456633056">
      <w:bodyDiv w:val="1"/>
      <w:marLeft w:val="0"/>
      <w:marRight w:val="0"/>
      <w:marTop w:val="0"/>
      <w:marBottom w:val="0"/>
      <w:divBdr>
        <w:top w:val="none" w:sz="0" w:space="0" w:color="auto"/>
        <w:left w:val="none" w:sz="0" w:space="0" w:color="auto"/>
        <w:bottom w:val="none" w:sz="0" w:space="0" w:color="auto"/>
        <w:right w:val="none" w:sz="0" w:space="0" w:color="auto"/>
      </w:divBdr>
      <w:divsChild>
        <w:div w:id="588584737">
          <w:marLeft w:val="0"/>
          <w:marRight w:val="0"/>
          <w:marTop w:val="0"/>
          <w:marBottom w:val="0"/>
          <w:divBdr>
            <w:top w:val="none" w:sz="0" w:space="0" w:color="auto"/>
            <w:left w:val="none" w:sz="0" w:space="0" w:color="auto"/>
            <w:bottom w:val="none" w:sz="0" w:space="0" w:color="auto"/>
            <w:right w:val="none" w:sz="0" w:space="0" w:color="auto"/>
          </w:divBdr>
        </w:div>
        <w:div w:id="1685202795">
          <w:marLeft w:val="0"/>
          <w:marRight w:val="0"/>
          <w:marTop w:val="0"/>
          <w:marBottom w:val="0"/>
          <w:divBdr>
            <w:top w:val="none" w:sz="0" w:space="0" w:color="auto"/>
            <w:left w:val="none" w:sz="0" w:space="0" w:color="auto"/>
            <w:bottom w:val="none" w:sz="0" w:space="0" w:color="auto"/>
            <w:right w:val="none" w:sz="0" w:space="0" w:color="auto"/>
          </w:divBdr>
        </w:div>
      </w:divsChild>
    </w:div>
    <w:div w:id="1463965748">
      <w:bodyDiv w:val="1"/>
      <w:marLeft w:val="0"/>
      <w:marRight w:val="0"/>
      <w:marTop w:val="0"/>
      <w:marBottom w:val="0"/>
      <w:divBdr>
        <w:top w:val="none" w:sz="0" w:space="0" w:color="auto"/>
        <w:left w:val="none" w:sz="0" w:space="0" w:color="auto"/>
        <w:bottom w:val="none" w:sz="0" w:space="0" w:color="auto"/>
        <w:right w:val="none" w:sz="0" w:space="0" w:color="auto"/>
      </w:divBdr>
    </w:div>
    <w:div w:id="1471437458">
      <w:bodyDiv w:val="1"/>
      <w:marLeft w:val="0"/>
      <w:marRight w:val="0"/>
      <w:marTop w:val="0"/>
      <w:marBottom w:val="0"/>
      <w:divBdr>
        <w:top w:val="none" w:sz="0" w:space="0" w:color="auto"/>
        <w:left w:val="none" w:sz="0" w:space="0" w:color="auto"/>
        <w:bottom w:val="none" w:sz="0" w:space="0" w:color="auto"/>
        <w:right w:val="none" w:sz="0" w:space="0" w:color="auto"/>
      </w:divBdr>
    </w:div>
    <w:div w:id="1476920320">
      <w:bodyDiv w:val="1"/>
      <w:marLeft w:val="0"/>
      <w:marRight w:val="0"/>
      <w:marTop w:val="0"/>
      <w:marBottom w:val="0"/>
      <w:divBdr>
        <w:top w:val="none" w:sz="0" w:space="0" w:color="auto"/>
        <w:left w:val="none" w:sz="0" w:space="0" w:color="auto"/>
        <w:bottom w:val="none" w:sz="0" w:space="0" w:color="auto"/>
        <w:right w:val="none" w:sz="0" w:space="0" w:color="auto"/>
      </w:divBdr>
    </w:div>
    <w:div w:id="1478454482">
      <w:bodyDiv w:val="1"/>
      <w:marLeft w:val="0"/>
      <w:marRight w:val="0"/>
      <w:marTop w:val="0"/>
      <w:marBottom w:val="0"/>
      <w:divBdr>
        <w:top w:val="none" w:sz="0" w:space="0" w:color="auto"/>
        <w:left w:val="none" w:sz="0" w:space="0" w:color="auto"/>
        <w:bottom w:val="none" w:sz="0" w:space="0" w:color="auto"/>
        <w:right w:val="none" w:sz="0" w:space="0" w:color="auto"/>
      </w:divBdr>
    </w:div>
    <w:div w:id="1492059919">
      <w:bodyDiv w:val="1"/>
      <w:marLeft w:val="0"/>
      <w:marRight w:val="0"/>
      <w:marTop w:val="0"/>
      <w:marBottom w:val="0"/>
      <w:divBdr>
        <w:top w:val="none" w:sz="0" w:space="0" w:color="auto"/>
        <w:left w:val="none" w:sz="0" w:space="0" w:color="auto"/>
        <w:bottom w:val="none" w:sz="0" w:space="0" w:color="auto"/>
        <w:right w:val="none" w:sz="0" w:space="0" w:color="auto"/>
      </w:divBdr>
    </w:div>
    <w:div w:id="1493570876">
      <w:bodyDiv w:val="1"/>
      <w:marLeft w:val="0"/>
      <w:marRight w:val="0"/>
      <w:marTop w:val="0"/>
      <w:marBottom w:val="0"/>
      <w:divBdr>
        <w:top w:val="none" w:sz="0" w:space="0" w:color="auto"/>
        <w:left w:val="none" w:sz="0" w:space="0" w:color="auto"/>
        <w:bottom w:val="none" w:sz="0" w:space="0" w:color="auto"/>
        <w:right w:val="none" w:sz="0" w:space="0" w:color="auto"/>
      </w:divBdr>
    </w:div>
    <w:div w:id="1500004451">
      <w:bodyDiv w:val="1"/>
      <w:marLeft w:val="0"/>
      <w:marRight w:val="0"/>
      <w:marTop w:val="0"/>
      <w:marBottom w:val="0"/>
      <w:divBdr>
        <w:top w:val="none" w:sz="0" w:space="0" w:color="auto"/>
        <w:left w:val="none" w:sz="0" w:space="0" w:color="auto"/>
        <w:bottom w:val="none" w:sz="0" w:space="0" w:color="auto"/>
        <w:right w:val="none" w:sz="0" w:space="0" w:color="auto"/>
      </w:divBdr>
    </w:div>
    <w:div w:id="1506046634">
      <w:bodyDiv w:val="1"/>
      <w:marLeft w:val="0"/>
      <w:marRight w:val="0"/>
      <w:marTop w:val="0"/>
      <w:marBottom w:val="0"/>
      <w:divBdr>
        <w:top w:val="none" w:sz="0" w:space="0" w:color="auto"/>
        <w:left w:val="none" w:sz="0" w:space="0" w:color="auto"/>
        <w:bottom w:val="none" w:sz="0" w:space="0" w:color="auto"/>
        <w:right w:val="none" w:sz="0" w:space="0" w:color="auto"/>
      </w:divBdr>
      <w:divsChild>
        <w:div w:id="416367183">
          <w:marLeft w:val="0"/>
          <w:marRight w:val="0"/>
          <w:marTop w:val="0"/>
          <w:marBottom w:val="0"/>
          <w:divBdr>
            <w:top w:val="none" w:sz="0" w:space="0" w:color="auto"/>
            <w:left w:val="none" w:sz="0" w:space="0" w:color="auto"/>
            <w:bottom w:val="none" w:sz="0" w:space="0" w:color="auto"/>
            <w:right w:val="none" w:sz="0" w:space="0" w:color="auto"/>
          </w:divBdr>
          <w:divsChild>
            <w:div w:id="958143330">
              <w:marLeft w:val="0"/>
              <w:marRight w:val="0"/>
              <w:marTop w:val="0"/>
              <w:marBottom w:val="0"/>
              <w:divBdr>
                <w:top w:val="none" w:sz="0" w:space="0" w:color="auto"/>
                <w:left w:val="none" w:sz="0" w:space="0" w:color="auto"/>
                <w:bottom w:val="none" w:sz="0" w:space="0" w:color="auto"/>
                <w:right w:val="none" w:sz="0" w:space="0" w:color="auto"/>
              </w:divBdr>
              <w:divsChild>
                <w:div w:id="41551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97528">
      <w:bodyDiv w:val="1"/>
      <w:marLeft w:val="0"/>
      <w:marRight w:val="0"/>
      <w:marTop w:val="0"/>
      <w:marBottom w:val="0"/>
      <w:divBdr>
        <w:top w:val="none" w:sz="0" w:space="0" w:color="auto"/>
        <w:left w:val="none" w:sz="0" w:space="0" w:color="auto"/>
        <w:bottom w:val="none" w:sz="0" w:space="0" w:color="auto"/>
        <w:right w:val="none" w:sz="0" w:space="0" w:color="auto"/>
      </w:divBdr>
    </w:div>
    <w:div w:id="1518038747">
      <w:bodyDiv w:val="1"/>
      <w:marLeft w:val="0"/>
      <w:marRight w:val="0"/>
      <w:marTop w:val="0"/>
      <w:marBottom w:val="0"/>
      <w:divBdr>
        <w:top w:val="none" w:sz="0" w:space="0" w:color="auto"/>
        <w:left w:val="none" w:sz="0" w:space="0" w:color="auto"/>
        <w:bottom w:val="none" w:sz="0" w:space="0" w:color="auto"/>
        <w:right w:val="none" w:sz="0" w:space="0" w:color="auto"/>
      </w:divBdr>
      <w:divsChild>
        <w:div w:id="246966565">
          <w:marLeft w:val="0"/>
          <w:marRight w:val="0"/>
          <w:marTop w:val="0"/>
          <w:marBottom w:val="0"/>
          <w:divBdr>
            <w:top w:val="none" w:sz="0" w:space="0" w:color="auto"/>
            <w:left w:val="none" w:sz="0" w:space="0" w:color="auto"/>
            <w:bottom w:val="none" w:sz="0" w:space="0" w:color="auto"/>
            <w:right w:val="none" w:sz="0" w:space="0" w:color="auto"/>
          </w:divBdr>
        </w:div>
        <w:div w:id="268006241">
          <w:marLeft w:val="0"/>
          <w:marRight w:val="0"/>
          <w:marTop w:val="0"/>
          <w:marBottom w:val="0"/>
          <w:divBdr>
            <w:top w:val="none" w:sz="0" w:space="0" w:color="auto"/>
            <w:left w:val="none" w:sz="0" w:space="0" w:color="auto"/>
            <w:bottom w:val="none" w:sz="0" w:space="0" w:color="auto"/>
            <w:right w:val="none" w:sz="0" w:space="0" w:color="auto"/>
          </w:divBdr>
        </w:div>
        <w:div w:id="282806886">
          <w:marLeft w:val="0"/>
          <w:marRight w:val="0"/>
          <w:marTop w:val="0"/>
          <w:marBottom w:val="0"/>
          <w:divBdr>
            <w:top w:val="none" w:sz="0" w:space="0" w:color="auto"/>
            <w:left w:val="none" w:sz="0" w:space="0" w:color="auto"/>
            <w:bottom w:val="none" w:sz="0" w:space="0" w:color="auto"/>
            <w:right w:val="none" w:sz="0" w:space="0" w:color="auto"/>
          </w:divBdr>
        </w:div>
        <w:div w:id="287131056">
          <w:marLeft w:val="0"/>
          <w:marRight w:val="0"/>
          <w:marTop w:val="0"/>
          <w:marBottom w:val="0"/>
          <w:divBdr>
            <w:top w:val="none" w:sz="0" w:space="0" w:color="auto"/>
            <w:left w:val="none" w:sz="0" w:space="0" w:color="auto"/>
            <w:bottom w:val="none" w:sz="0" w:space="0" w:color="auto"/>
            <w:right w:val="none" w:sz="0" w:space="0" w:color="auto"/>
          </w:divBdr>
        </w:div>
        <w:div w:id="347679346">
          <w:marLeft w:val="0"/>
          <w:marRight w:val="0"/>
          <w:marTop w:val="0"/>
          <w:marBottom w:val="0"/>
          <w:divBdr>
            <w:top w:val="none" w:sz="0" w:space="0" w:color="auto"/>
            <w:left w:val="none" w:sz="0" w:space="0" w:color="auto"/>
            <w:bottom w:val="none" w:sz="0" w:space="0" w:color="auto"/>
            <w:right w:val="none" w:sz="0" w:space="0" w:color="auto"/>
          </w:divBdr>
        </w:div>
        <w:div w:id="414985185">
          <w:marLeft w:val="0"/>
          <w:marRight w:val="0"/>
          <w:marTop w:val="0"/>
          <w:marBottom w:val="0"/>
          <w:divBdr>
            <w:top w:val="none" w:sz="0" w:space="0" w:color="auto"/>
            <w:left w:val="none" w:sz="0" w:space="0" w:color="auto"/>
            <w:bottom w:val="none" w:sz="0" w:space="0" w:color="auto"/>
            <w:right w:val="none" w:sz="0" w:space="0" w:color="auto"/>
          </w:divBdr>
        </w:div>
        <w:div w:id="543560912">
          <w:marLeft w:val="0"/>
          <w:marRight w:val="0"/>
          <w:marTop w:val="0"/>
          <w:marBottom w:val="0"/>
          <w:divBdr>
            <w:top w:val="none" w:sz="0" w:space="0" w:color="auto"/>
            <w:left w:val="none" w:sz="0" w:space="0" w:color="auto"/>
            <w:bottom w:val="none" w:sz="0" w:space="0" w:color="auto"/>
            <w:right w:val="none" w:sz="0" w:space="0" w:color="auto"/>
          </w:divBdr>
        </w:div>
        <w:div w:id="543909059">
          <w:marLeft w:val="0"/>
          <w:marRight w:val="0"/>
          <w:marTop w:val="0"/>
          <w:marBottom w:val="0"/>
          <w:divBdr>
            <w:top w:val="none" w:sz="0" w:space="0" w:color="auto"/>
            <w:left w:val="none" w:sz="0" w:space="0" w:color="auto"/>
            <w:bottom w:val="none" w:sz="0" w:space="0" w:color="auto"/>
            <w:right w:val="none" w:sz="0" w:space="0" w:color="auto"/>
          </w:divBdr>
        </w:div>
        <w:div w:id="664669071">
          <w:marLeft w:val="0"/>
          <w:marRight w:val="0"/>
          <w:marTop w:val="0"/>
          <w:marBottom w:val="0"/>
          <w:divBdr>
            <w:top w:val="none" w:sz="0" w:space="0" w:color="auto"/>
            <w:left w:val="none" w:sz="0" w:space="0" w:color="auto"/>
            <w:bottom w:val="none" w:sz="0" w:space="0" w:color="auto"/>
            <w:right w:val="none" w:sz="0" w:space="0" w:color="auto"/>
          </w:divBdr>
        </w:div>
        <w:div w:id="734006957">
          <w:marLeft w:val="0"/>
          <w:marRight w:val="0"/>
          <w:marTop w:val="0"/>
          <w:marBottom w:val="0"/>
          <w:divBdr>
            <w:top w:val="none" w:sz="0" w:space="0" w:color="auto"/>
            <w:left w:val="none" w:sz="0" w:space="0" w:color="auto"/>
            <w:bottom w:val="none" w:sz="0" w:space="0" w:color="auto"/>
            <w:right w:val="none" w:sz="0" w:space="0" w:color="auto"/>
          </w:divBdr>
        </w:div>
        <w:div w:id="753286928">
          <w:marLeft w:val="0"/>
          <w:marRight w:val="0"/>
          <w:marTop w:val="0"/>
          <w:marBottom w:val="0"/>
          <w:divBdr>
            <w:top w:val="none" w:sz="0" w:space="0" w:color="auto"/>
            <w:left w:val="none" w:sz="0" w:space="0" w:color="auto"/>
            <w:bottom w:val="none" w:sz="0" w:space="0" w:color="auto"/>
            <w:right w:val="none" w:sz="0" w:space="0" w:color="auto"/>
          </w:divBdr>
        </w:div>
        <w:div w:id="820196984">
          <w:marLeft w:val="0"/>
          <w:marRight w:val="0"/>
          <w:marTop w:val="0"/>
          <w:marBottom w:val="0"/>
          <w:divBdr>
            <w:top w:val="none" w:sz="0" w:space="0" w:color="auto"/>
            <w:left w:val="none" w:sz="0" w:space="0" w:color="auto"/>
            <w:bottom w:val="none" w:sz="0" w:space="0" w:color="auto"/>
            <w:right w:val="none" w:sz="0" w:space="0" w:color="auto"/>
          </w:divBdr>
        </w:div>
        <w:div w:id="1247109665">
          <w:marLeft w:val="0"/>
          <w:marRight w:val="0"/>
          <w:marTop w:val="0"/>
          <w:marBottom w:val="0"/>
          <w:divBdr>
            <w:top w:val="none" w:sz="0" w:space="0" w:color="auto"/>
            <w:left w:val="none" w:sz="0" w:space="0" w:color="auto"/>
            <w:bottom w:val="none" w:sz="0" w:space="0" w:color="auto"/>
            <w:right w:val="none" w:sz="0" w:space="0" w:color="auto"/>
          </w:divBdr>
          <w:divsChild>
            <w:div w:id="259416523">
              <w:marLeft w:val="0"/>
              <w:marRight w:val="0"/>
              <w:marTop w:val="0"/>
              <w:marBottom w:val="0"/>
              <w:divBdr>
                <w:top w:val="none" w:sz="0" w:space="0" w:color="auto"/>
                <w:left w:val="none" w:sz="0" w:space="0" w:color="auto"/>
                <w:bottom w:val="none" w:sz="0" w:space="0" w:color="auto"/>
                <w:right w:val="none" w:sz="0" w:space="0" w:color="auto"/>
              </w:divBdr>
            </w:div>
            <w:div w:id="395782668">
              <w:marLeft w:val="0"/>
              <w:marRight w:val="0"/>
              <w:marTop w:val="0"/>
              <w:marBottom w:val="0"/>
              <w:divBdr>
                <w:top w:val="none" w:sz="0" w:space="0" w:color="auto"/>
                <w:left w:val="none" w:sz="0" w:space="0" w:color="auto"/>
                <w:bottom w:val="none" w:sz="0" w:space="0" w:color="auto"/>
                <w:right w:val="none" w:sz="0" w:space="0" w:color="auto"/>
              </w:divBdr>
            </w:div>
            <w:div w:id="1264800184">
              <w:marLeft w:val="0"/>
              <w:marRight w:val="0"/>
              <w:marTop w:val="0"/>
              <w:marBottom w:val="0"/>
              <w:divBdr>
                <w:top w:val="none" w:sz="0" w:space="0" w:color="auto"/>
                <w:left w:val="none" w:sz="0" w:space="0" w:color="auto"/>
                <w:bottom w:val="none" w:sz="0" w:space="0" w:color="auto"/>
                <w:right w:val="none" w:sz="0" w:space="0" w:color="auto"/>
              </w:divBdr>
            </w:div>
            <w:div w:id="1938170654">
              <w:marLeft w:val="0"/>
              <w:marRight w:val="0"/>
              <w:marTop w:val="0"/>
              <w:marBottom w:val="0"/>
              <w:divBdr>
                <w:top w:val="none" w:sz="0" w:space="0" w:color="auto"/>
                <w:left w:val="none" w:sz="0" w:space="0" w:color="auto"/>
                <w:bottom w:val="none" w:sz="0" w:space="0" w:color="auto"/>
                <w:right w:val="none" w:sz="0" w:space="0" w:color="auto"/>
              </w:divBdr>
            </w:div>
          </w:divsChild>
        </w:div>
        <w:div w:id="1308392720">
          <w:marLeft w:val="0"/>
          <w:marRight w:val="0"/>
          <w:marTop w:val="0"/>
          <w:marBottom w:val="0"/>
          <w:divBdr>
            <w:top w:val="none" w:sz="0" w:space="0" w:color="auto"/>
            <w:left w:val="none" w:sz="0" w:space="0" w:color="auto"/>
            <w:bottom w:val="none" w:sz="0" w:space="0" w:color="auto"/>
            <w:right w:val="none" w:sz="0" w:space="0" w:color="auto"/>
          </w:divBdr>
        </w:div>
        <w:div w:id="1322270897">
          <w:marLeft w:val="0"/>
          <w:marRight w:val="0"/>
          <w:marTop w:val="0"/>
          <w:marBottom w:val="0"/>
          <w:divBdr>
            <w:top w:val="none" w:sz="0" w:space="0" w:color="auto"/>
            <w:left w:val="none" w:sz="0" w:space="0" w:color="auto"/>
            <w:bottom w:val="none" w:sz="0" w:space="0" w:color="auto"/>
            <w:right w:val="none" w:sz="0" w:space="0" w:color="auto"/>
          </w:divBdr>
        </w:div>
        <w:div w:id="1335112017">
          <w:marLeft w:val="0"/>
          <w:marRight w:val="0"/>
          <w:marTop w:val="0"/>
          <w:marBottom w:val="0"/>
          <w:divBdr>
            <w:top w:val="none" w:sz="0" w:space="0" w:color="auto"/>
            <w:left w:val="none" w:sz="0" w:space="0" w:color="auto"/>
            <w:bottom w:val="none" w:sz="0" w:space="0" w:color="auto"/>
            <w:right w:val="none" w:sz="0" w:space="0" w:color="auto"/>
          </w:divBdr>
          <w:divsChild>
            <w:div w:id="421876059">
              <w:marLeft w:val="0"/>
              <w:marRight w:val="0"/>
              <w:marTop w:val="0"/>
              <w:marBottom w:val="0"/>
              <w:divBdr>
                <w:top w:val="none" w:sz="0" w:space="0" w:color="auto"/>
                <w:left w:val="none" w:sz="0" w:space="0" w:color="auto"/>
                <w:bottom w:val="none" w:sz="0" w:space="0" w:color="auto"/>
                <w:right w:val="none" w:sz="0" w:space="0" w:color="auto"/>
              </w:divBdr>
            </w:div>
            <w:div w:id="1045758511">
              <w:marLeft w:val="0"/>
              <w:marRight w:val="0"/>
              <w:marTop w:val="0"/>
              <w:marBottom w:val="0"/>
              <w:divBdr>
                <w:top w:val="none" w:sz="0" w:space="0" w:color="auto"/>
                <w:left w:val="none" w:sz="0" w:space="0" w:color="auto"/>
                <w:bottom w:val="none" w:sz="0" w:space="0" w:color="auto"/>
                <w:right w:val="none" w:sz="0" w:space="0" w:color="auto"/>
              </w:divBdr>
            </w:div>
            <w:div w:id="1096706470">
              <w:marLeft w:val="0"/>
              <w:marRight w:val="0"/>
              <w:marTop w:val="0"/>
              <w:marBottom w:val="0"/>
              <w:divBdr>
                <w:top w:val="none" w:sz="0" w:space="0" w:color="auto"/>
                <w:left w:val="none" w:sz="0" w:space="0" w:color="auto"/>
                <w:bottom w:val="none" w:sz="0" w:space="0" w:color="auto"/>
                <w:right w:val="none" w:sz="0" w:space="0" w:color="auto"/>
              </w:divBdr>
            </w:div>
            <w:div w:id="1579049961">
              <w:marLeft w:val="0"/>
              <w:marRight w:val="0"/>
              <w:marTop w:val="0"/>
              <w:marBottom w:val="0"/>
              <w:divBdr>
                <w:top w:val="none" w:sz="0" w:space="0" w:color="auto"/>
                <w:left w:val="none" w:sz="0" w:space="0" w:color="auto"/>
                <w:bottom w:val="none" w:sz="0" w:space="0" w:color="auto"/>
                <w:right w:val="none" w:sz="0" w:space="0" w:color="auto"/>
              </w:divBdr>
            </w:div>
          </w:divsChild>
        </w:div>
        <w:div w:id="1375688953">
          <w:marLeft w:val="0"/>
          <w:marRight w:val="0"/>
          <w:marTop w:val="0"/>
          <w:marBottom w:val="0"/>
          <w:divBdr>
            <w:top w:val="none" w:sz="0" w:space="0" w:color="auto"/>
            <w:left w:val="none" w:sz="0" w:space="0" w:color="auto"/>
            <w:bottom w:val="none" w:sz="0" w:space="0" w:color="auto"/>
            <w:right w:val="none" w:sz="0" w:space="0" w:color="auto"/>
          </w:divBdr>
        </w:div>
        <w:div w:id="1475877743">
          <w:marLeft w:val="0"/>
          <w:marRight w:val="0"/>
          <w:marTop w:val="0"/>
          <w:marBottom w:val="0"/>
          <w:divBdr>
            <w:top w:val="none" w:sz="0" w:space="0" w:color="auto"/>
            <w:left w:val="none" w:sz="0" w:space="0" w:color="auto"/>
            <w:bottom w:val="none" w:sz="0" w:space="0" w:color="auto"/>
            <w:right w:val="none" w:sz="0" w:space="0" w:color="auto"/>
          </w:divBdr>
        </w:div>
        <w:div w:id="1505320175">
          <w:marLeft w:val="0"/>
          <w:marRight w:val="0"/>
          <w:marTop w:val="0"/>
          <w:marBottom w:val="0"/>
          <w:divBdr>
            <w:top w:val="none" w:sz="0" w:space="0" w:color="auto"/>
            <w:left w:val="none" w:sz="0" w:space="0" w:color="auto"/>
            <w:bottom w:val="none" w:sz="0" w:space="0" w:color="auto"/>
            <w:right w:val="none" w:sz="0" w:space="0" w:color="auto"/>
          </w:divBdr>
        </w:div>
        <w:div w:id="1546453836">
          <w:marLeft w:val="0"/>
          <w:marRight w:val="0"/>
          <w:marTop w:val="0"/>
          <w:marBottom w:val="0"/>
          <w:divBdr>
            <w:top w:val="none" w:sz="0" w:space="0" w:color="auto"/>
            <w:left w:val="none" w:sz="0" w:space="0" w:color="auto"/>
            <w:bottom w:val="none" w:sz="0" w:space="0" w:color="auto"/>
            <w:right w:val="none" w:sz="0" w:space="0" w:color="auto"/>
          </w:divBdr>
        </w:div>
        <w:div w:id="1551771498">
          <w:marLeft w:val="0"/>
          <w:marRight w:val="0"/>
          <w:marTop w:val="0"/>
          <w:marBottom w:val="0"/>
          <w:divBdr>
            <w:top w:val="none" w:sz="0" w:space="0" w:color="auto"/>
            <w:left w:val="none" w:sz="0" w:space="0" w:color="auto"/>
            <w:bottom w:val="none" w:sz="0" w:space="0" w:color="auto"/>
            <w:right w:val="none" w:sz="0" w:space="0" w:color="auto"/>
          </w:divBdr>
        </w:div>
        <w:div w:id="1694964642">
          <w:marLeft w:val="0"/>
          <w:marRight w:val="0"/>
          <w:marTop w:val="0"/>
          <w:marBottom w:val="0"/>
          <w:divBdr>
            <w:top w:val="none" w:sz="0" w:space="0" w:color="auto"/>
            <w:left w:val="none" w:sz="0" w:space="0" w:color="auto"/>
            <w:bottom w:val="none" w:sz="0" w:space="0" w:color="auto"/>
            <w:right w:val="none" w:sz="0" w:space="0" w:color="auto"/>
          </w:divBdr>
        </w:div>
        <w:div w:id="1740178316">
          <w:marLeft w:val="0"/>
          <w:marRight w:val="0"/>
          <w:marTop w:val="0"/>
          <w:marBottom w:val="0"/>
          <w:divBdr>
            <w:top w:val="none" w:sz="0" w:space="0" w:color="auto"/>
            <w:left w:val="none" w:sz="0" w:space="0" w:color="auto"/>
            <w:bottom w:val="none" w:sz="0" w:space="0" w:color="auto"/>
            <w:right w:val="none" w:sz="0" w:space="0" w:color="auto"/>
          </w:divBdr>
        </w:div>
        <w:div w:id="1755739500">
          <w:marLeft w:val="0"/>
          <w:marRight w:val="0"/>
          <w:marTop w:val="0"/>
          <w:marBottom w:val="0"/>
          <w:divBdr>
            <w:top w:val="none" w:sz="0" w:space="0" w:color="auto"/>
            <w:left w:val="none" w:sz="0" w:space="0" w:color="auto"/>
            <w:bottom w:val="none" w:sz="0" w:space="0" w:color="auto"/>
            <w:right w:val="none" w:sz="0" w:space="0" w:color="auto"/>
          </w:divBdr>
        </w:div>
        <w:div w:id="1846244696">
          <w:marLeft w:val="0"/>
          <w:marRight w:val="0"/>
          <w:marTop w:val="0"/>
          <w:marBottom w:val="0"/>
          <w:divBdr>
            <w:top w:val="none" w:sz="0" w:space="0" w:color="auto"/>
            <w:left w:val="none" w:sz="0" w:space="0" w:color="auto"/>
            <w:bottom w:val="none" w:sz="0" w:space="0" w:color="auto"/>
            <w:right w:val="none" w:sz="0" w:space="0" w:color="auto"/>
          </w:divBdr>
        </w:div>
        <w:div w:id="2034652697">
          <w:marLeft w:val="0"/>
          <w:marRight w:val="0"/>
          <w:marTop w:val="0"/>
          <w:marBottom w:val="0"/>
          <w:divBdr>
            <w:top w:val="none" w:sz="0" w:space="0" w:color="auto"/>
            <w:left w:val="none" w:sz="0" w:space="0" w:color="auto"/>
            <w:bottom w:val="none" w:sz="0" w:space="0" w:color="auto"/>
            <w:right w:val="none" w:sz="0" w:space="0" w:color="auto"/>
          </w:divBdr>
        </w:div>
        <w:div w:id="2105808788">
          <w:marLeft w:val="0"/>
          <w:marRight w:val="0"/>
          <w:marTop w:val="0"/>
          <w:marBottom w:val="0"/>
          <w:divBdr>
            <w:top w:val="none" w:sz="0" w:space="0" w:color="auto"/>
            <w:left w:val="none" w:sz="0" w:space="0" w:color="auto"/>
            <w:bottom w:val="none" w:sz="0" w:space="0" w:color="auto"/>
            <w:right w:val="none" w:sz="0" w:space="0" w:color="auto"/>
          </w:divBdr>
        </w:div>
      </w:divsChild>
    </w:div>
    <w:div w:id="1538467608">
      <w:bodyDiv w:val="1"/>
      <w:marLeft w:val="0"/>
      <w:marRight w:val="0"/>
      <w:marTop w:val="0"/>
      <w:marBottom w:val="0"/>
      <w:divBdr>
        <w:top w:val="none" w:sz="0" w:space="0" w:color="auto"/>
        <w:left w:val="none" w:sz="0" w:space="0" w:color="auto"/>
        <w:bottom w:val="none" w:sz="0" w:space="0" w:color="auto"/>
        <w:right w:val="none" w:sz="0" w:space="0" w:color="auto"/>
      </w:divBdr>
    </w:div>
    <w:div w:id="1540623499">
      <w:bodyDiv w:val="1"/>
      <w:marLeft w:val="0"/>
      <w:marRight w:val="0"/>
      <w:marTop w:val="0"/>
      <w:marBottom w:val="0"/>
      <w:divBdr>
        <w:top w:val="none" w:sz="0" w:space="0" w:color="auto"/>
        <w:left w:val="none" w:sz="0" w:space="0" w:color="auto"/>
        <w:bottom w:val="none" w:sz="0" w:space="0" w:color="auto"/>
        <w:right w:val="none" w:sz="0" w:space="0" w:color="auto"/>
      </w:divBdr>
    </w:div>
    <w:div w:id="1541429243">
      <w:bodyDiv w:val="1"/>
      <w:marLeft w:val="0"/>
      <w:marRight w:val="0"/>
      <w:marTop w:val="0"/>
      <w:marBottom w:val="0"/>
      <w:divBdr>
        <w:top w:val="none" w:sz="0" w:space="0" w:color="auto"/>
        <w:left w:val="none" w:sz="0" w:space="0" w:color="auto"/>
        <w:bottom w:val="none" w:sz="0" w:space="0" w:color="auto"/>
        <w:right w:val="none" w:sz="0" w:space="0" w:color="auto"/>
      </w:divBdr>
      <w:divsChild>
        <w:div w:id="1676103354">
          <w:marLeft w:val="0"/>
          <w:marRight w:val="0"/>
          <w:marTop w:val="0"/>
          <w:marBottom w:val="0"/>
          <w:divBdr>
            <w:top w:val="none" w:sz="0" w:space="0" w:color="auto"/>
            <w:left w:val="none" w:sz="0" w:space="0" w:color="auto"/>
            <w:bottom w:val="none" w:sz="0" w:space="0" w:color="auto"/>
            <w:right w:val="none" w:sz="0" w:space="0" w:color="auto"/>
          </w:divBdr>
          <w:divsChild>
            <w:div w:id="1841041915">
              <w:marLeft w:val="0"/>
              <w:marRight w:val="0"/>
              <w:marTop w:val="0"/>
              <w:marBottom w:val="0"/>
              <w:divBdr>
                <w:top w:val="none" w:sz="0" w:space="0" w:color="auto"/>
                <w:left w:val="none" w:sz="0" w:space="0" w:color="auto"/>
                <w:bottom w:val="none" w:sz="0" w:space="0" w:color="auto"/>
                <w:right w:val="none" w:sz="0" w:space="0" w:color="auto"/>
              </w:divBdr>
              <w:divsChild>
                <w:div w:id="184531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3804">
      <w:bodyDiv w:val="1"/>
      <w:marLeft w:val="0"/>
      <w:marRight w:val="0"/>
      <w:marTop w:val="0"/>
      <w:marBottom w:val="0"/>
      <w:divBdr>
        <w:top w:val="none" w:sz="0" w:space="0" w:color="auto"/>
        <w:left w:val="none" w:sz="0" w:space="0" w:color="auto"/>
        <w:bottom w:val="none" w:sz="0" w:space="0" w:color="auto"/>
        <w:right w:val="none" w:sz="0" w:space="0" w:color="auto"/>
      </w:divBdr>
    </w:div>
    <w:div w:id="1590576337">
      <w:bodyDiv w:val="1"/>
      <w:marLeft w:val="0"/>
      <w:marRight w:val="0"/>
      <w:marTop w:val="0"/>
      <w:marBottom w:val="0"/>
      <w:divBdr>
        <w:top w:val="none" w:sz="0" w:space="0" w:color="auto"/>
        <w:left w:val="none" w:sz="0" w:space="0" w:color="auto"/>
        <w:bottom w:val="none" w:sz="0" w:space="0" w:color="auto"/>
        <w:right w:val="none" w:sz="0" w:space="0" w:color="auto"/>
      </w:divBdr>
    </w:div>
    <w:div w:id="1593392784">
      <w:bodyDiv w:val="1"/>
      <w:marLeft w:val="0"/>
      <w:marRight w:val="0"/>
      <w:marTop w:val="0"/>
      <w:marBottom w:val="0"/>
      <w:divBdr>
        <w:top w:val="none" w:sz="0" w:space="0" w:color="auto"/>
        <w:left w:val="none" w:sz="0" w:space="0" w:color="auto"/>
        <w:bottom w:val="none" w:sz="0" w:space="0" w:color="auto"/>
        <w:right w:val="none" w:sz="0" w:space="0" w:color="auto"/>
      </w:divBdr>
    </w:div>
    <w:div w:id="1619214219">
      <w:bodyDiv w:val="1"/>
      <w:marLeft w:val="0"/>
      <w:marRight w:val="0"/>
      <w:marTop w:val="0"/>
      <w:marBottom w:val="0"/>
      <w:divBdr>
        <w:top w:val="none" w:sz="0" w:space="0" w:color="auto"/>
        <w:left w:val="none" w:sz="0" w:space="0" w:color="auto"/>
        <w:bottom w:val="none" w:sz="0" w:space="0" w:color="auto"/>
        <w:right w:val="none" w:sz="0" w:space="0" w:color="auto"/>
      </w:divBdr>
    </w:div>
    <w:div w:id="1648196046">
      <w:bodyDiv w:val="1"/>
      <w:marLeft w:val="0"/>
      <w:marRight w:val="0"/>
      <w:marTop w:val="0"/>
      <w:marBottom w:val="0"/>
      <w:divBdr>
        <w:top w:val="none" w:sz="0" w:space="0" w:color="auto"/>
        <w:left w:val="none" w:sz="0" w:space="0" w:color="auto"/>
        <w:bottom w:val="none" w:sz="0" w:space="0" w:color="auto"/>
        <w:right w:val="none" w:sz="0" w:space="0" w:color="auto"/>
      </w:divBdr>
    </w:div>
    <w:div w:id="1655142092">
      <w:bodyDiv w:val="1"/>
      <w:marLeft w:val="0"/>
      <w:marRight w:val="0"/>
      <w:marTop w:val="0"/>
      <w:marBottom w:val="0"/>
      <w:divBdr>
        <w:top w:val="none" w:sz="0" w:space="0" w:color="auto"/>
        <w:left w:val="none" w:sz="0" w:space="0" w:color="auto"/>
        <w:bottom w:val="none" w:sz="0" w:space="0" w:color="auto"/>
        <w:right w:val="none" w:sz="0" w:space="0" w:color="auto"/>
      </w:divBdr>
      <w:divsChild>
        <w:div w:id="593242187">
          <w:marLeft w:val="0"/>
          <w:marRight w:val="0"/>
          <w:marTop w:val="0"/>
          <w:marBottom w:val="0"/>
          <w:divBdr>
            <w:top w:val="none" w:sz="0" w:space="0" w:color="auto"/>
            <w:left w:val="none" w:sz="0" w:space="0" w:color="auto"/>
            <w:bottom w:val="none" w:sz="0" w:space="0" w:color="auto"/>
            <w:right w:val="none" w:sz="0" w:space="0" w:color="auto"/>
          </w:divBdr>
          <w:divsChild>
            <w:div w:id="385182608">
              <w:marLeft w:val="0"/>
              <w:marRight w:val="0"/>
              <w:marTop w:val="0"/>
              <w:marBottom w:val="0"/>
              <w:divBdr>
                <w:top w:val="none" w:sz="0" w:space="0" w:color="auto"/>
                <w:left w:val="none" w:sz="0" w:space="0" w:color="auto"/>
                <w:bottom w:val="none" w:sz="0" w:space="0" w:color="auto"/>
                <w:right w:val="none" w:sz="0" w:space="0" w:color="auto"/>
              </w:divBdr>
              <w:divsChild>
                <w:div w:id="525673971">
                  <w:marLeft w:val="0"/>
                  <w:marRight w:val="0"/>
                  <w:marTop w:val="0"/>
                  <w:marBottom w:val="0"/>
                  <w:divBdr>
                    <w:top w:val="none" w:sz="0" w:space="0" w:color="auto"/>
                    <w:left w:val="none" w:sz="0" w:space="0" w:color="auto"/>
                    <w:bottom w:val="none" w:sz="0" w:space="0" w:color="auto"/>
                    <w:right w:val="none" w:sz="0" w:space="0" w:color="auto"/>
                  </w:divBdr>
                </w:div>
                <w:div w:id="208005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97601">
      <w:bodyDiv w:val="1"/>
      <w:marLeft w:val="0"/>
      <w:marRight w:val="0"/>
      <w:marTop w:val="0"/>
      <w:marBottom w:val="0"/>
      <w:divBdr>
        <w:top w:val="none" w:sz="0" w:space="0" w:color="auto"/>
        <w:left w:val="none" w:sz="0" w:space="0" w:color="auto"/>
        <w:bottom w:val="none" w:sz="0" w:space="0" w:color="auto"/>
        <w:right w:val="none" w:sz="0" w:space="0" w:color="auto"/>
      </w:divBdr>
    </w:div>
    <w:div w:id="1662343144">
      <w:bodyDiv w:val="1"/>
      <w:marLeft w:val="0"/>
      <w:marRight w:val="0"/>
      <w:marTop w:val="0"/>
      <w:marBottom w:val="0"/>
      <w:divBdr>
        <w:top w:val="none" w:sz="0" w:space="0" w:color="auto"/>
        <w:left w:val="none" w:sz="0" w:space="0" w:color="auto"/>
        <w:bottom w:val="none" w:sz="0" w:space="0" w:color="auto"/>
        <w:right w:val="none" w:sz="0" w:space="0" w:color="auto"/>
      </w:divBdr>
      <w:divsChild>
        <w:div w:id="1531064306">
          <w:marLeft w:val="0"/>
          <w:marRight w:val="0"/>
          <w:marTop w:val="0"/>
          <w:marBottom w:val="0"/>
          <w:divBdr>
            <w:top w:val="none" w:sz="0" w:space="0" w:color="auto"/>
            <w:left w:val="none" w:sz="0" w:space="0" w:color="auto"/>
            <w:bottom w:val="none" w:sz="0" w:space="0" w:color="auto"/>
            <w:right w:val="none" w:sz="0" w:space="0" w:color="auto"/>
          </w:divBdr>
          <w:divsChild>
            <w:div w:id="1027683814">
              <w:marLeft w:val="0"/>
              <w:marRight w:val="0"/>
              <w:marTop w:val="0"/>
              <w:marBottom w:val="0"/>
              <w:divBdr>
                <w:top w:val="none" w:sz="0" w:space="0" w:color="auto"/>
                <w:left w:val="none" w:sz="0" w:space="0" w:color="auto"/>
                <w:bottom w:val="none" w:sz="0" w:space="0" w:color="auto"/>
                <w:right w:val="none" w:sz="0" w:space="0" w:color="auto"/>
              </w:divBdr>
              <w:divsChild>
                <w:div w:id="16124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99604">
      <w:bodyDiv w:val="1"/>
      <w:marLeft w:val="0"/>
      <w:marRight w:val="0"/>
      <w:marTop w:val="0"/>
      <w:marBottom w:val="0"/>
      <w:divBdr>
        <w:top w:val="none" w:sz="0" w:space="0" w:color="auto"/>
        <w:left w:val="none" w:sz="0" w:space="0" w:color="auto"/>
        <w:bottom w:val="none" w:sz="0" w:space="0" w:color="auto"/>
        <w:right w:val="none" w:sz="0" w:space="0" w:color="auto"/>
      </w:divBdr>
      <w:divsChild>
        <w:div w:id="52588397">
          <w:marLeft w:val="0"/>
          <w:marRight w:val="0"/>
          <w:marTop w:val="0"/>
          <w:marBottom w:val="0"/>
          <w:divBdr>
            <w:top w:val="none" w:sz="0" w:space="0" w:color="auto"/>
            <w:left w:val="none" w:sz="0" w:space="0" w:color="auto"/>
            <w:bottom w:val="none" w:sz="0" w:space="0" w:color="auto"/>
            <w:right w:val="none" w:sz="0" w:space="0" w:color="auto"/>
          </w:divBdr>
        </w:div>
        <w:div w:id="581530057">
          <w:marLeft w:val="0"/>
          <w:marRight w:val="0"/>
          <w:marTop w:val="0"/>
          <w:marBottom w:val="0"/>
          <w:divBdr>
            <w:top w:val="none" w:sz="0" w:space="0" w:color="auto"/>
            <w:left w:val="none" w:sz="0" w:space="0" w:color="auto"/>
            <w:bottom w:val="none" w:sz="0" w:space="0" w:color="auto"/>
            <w:right w:val="none" w:sz="0" w:space="0" w:color="auto"/>
          </w:divBdr>
        </w:div>
        <w:div w:id="832649047">
          <w:marLeft w:val="0"/>
          <w:marRight w:val="0"/>
          <w:marTop w:val="0"/>
          <w:marBottom w:val="0"/>
          <w:divBdr>
            <w:top w:val="none" w:sz="0" w:space="0" w:color="auto"/>
            <w:left w:val="none" w:sz="0" w:space="0" w:color="auto"/>
            <w:bottom w:val="none" w:sz="0" w:space="0" w:color="auto"/>
            <w:right w:val="none" w:sz="0" w:space="0" w:color="auto"/>
          </w:divBdr>
        </w:div>
        <w:div w:id="1339425688">
          <w:marLeft w:val="0"/>
          <w:marRight w:val="0"/>
          <w:marTop w:val="0"/>
          <w:marBottom w:val="0"/>
          <w:divBdr>
            <w:top w:val="none" w:sz="0" w:space="0" w:color="auto"/>
            <w:left w:val="none" w:sz="0" w:space="0" w:color="auto"/>
            <w:bottom w:val="none" w:sz="0" w:space="0" w:color="auto"/>
            <w:right w:val="none" w:sz="0" w:space="0" w:color="auto"/>
          </w:divBdr>
        </w:div>
      </w:divsChild>
    </w:div>
    <w:div w:id="1671105342">
      <w:bodyDiv w:val="1"/>
      <w:marLeft w:val="0"/>
      <w:marRight w:val="0"/>
      <w:marTop w:val="0"/>
      <w:marBottom w:val="0"/>
      <w:divBdr>
        <w:top w:val="none" w:sz="0" w:space="0" w:color="auto"/>
        <w:left w:val="none" w:sz="0" w:space="0" w:color="auto"/>
        <w:bottom w:val="none" w:sz="0" w:space="0" w:color="auto"/>
        <w:right w:val="none" w:sz="0" w:space="0" w:color="auto"/>
      </w:divBdr>
      <w:divsChild>
        <w:div w:id="1524827009">
          <w:marLeft w:val="0"/>
          <w:marRight w:val="0"/>
          <w:marTop w:val="0"/>
          <w:marBottom w:val="0"/>
          <w:divBdr>
            <w:top w:val="none" w:sz="0" w:space="0" w:color="auto"/>
            <w:left w:val="none" w:sz="0" w:space="0" w:color="auto"/>
            <w:bottom w:val="none" w:sz="0" w:space="0" w:color="auto"/>
            <w:right w:val="none" w:sz="0" w:space="0" w:color="auto"/>
          </w:divBdr>
          <w:divsChild>
            <w:div w:id="1659378862">
              <w:marLeft w:val="0"/>
              <w:marRight w:val="0"/>
              <w:marTop w:val="0"/>
              <w:marBottom w:val="0"/>
              <w:divBdr>
                <w:top w:val="none" w:sz="0" w:space="0" w:color="auto"/>
                <w:left w:val="none" w:sz="0" w:space="0" w:color="auto"/>
                <w:bottom w:val="none" w:sz="0" w:space="0" w:color="auto"/>
                <w:right w:val="none" w:sz="0" w:space="0" w:color="auto"/>
              </w:divBdr>
              <w:divsChild>
                <w:div w:id="494489538">
                  <w:marLeft w:val="0"/>
                  <w:marRight w:val="0"/>
                  <w:marTop w:val="0"/>
                  <w:marBottom w:val="0"/>
                  <w:divBdr>
                    <w:top w:val="none" w:sz="0" w:space="0" w:color="auto"/>
                    <w:left w:val="none" w:sz="0" w:space="0" w:color="auto"/>
                    <w:bottom w:val="none" w:sz="0" w:space="0" w:color="auto"/>
                    <w:right w:val="none" w:sz="0" w:space="0" w:color="auto"/>
                  </w:divBdr>
                  <w:divsChild>
                    <w:div w:id="10418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2356">
      <w:bodyDiv w:val="1"/>
      <w:marLeft w:val="0"/>
      <w:marRight w:val="0"/>
      <w:marTop w:val="0"/>
      <w:marBottom w:val="0"/>
      <w:divBdr>
        <w:top w:val="none" w:sz="0" w:space="0" w:color="auto"/>
        <w:left w:val="none" w:sz="0" w:space="0" w:color="auto"/>
        <w:bottom w:val="none" w:sz="0" w:space="0" w:color="auto"/>
        <w:right w:val="none" w:sz="0" w:space="0" w:color="auto"/>
      </w:divBdr>
      <w:divsChild>
        <w:div w:id="134567865">
          <w:marLeft w:val="0"/>
          <w:marRight w:val="0"/>
          <w:marTop w:val="0"/>
          <w:marBottom w:val="0"/>
          <w:divBdr>
            <w:top w:val="none" w:sz="0" w:space="0" w:color="auto"/>
            <w:left w:val="none" w:sz="0" w:space="0" w:color="auto"/>
            <w:bottom w:val="none" w:sz="0" w:space="0" w:color="auto"/>
            <w:right w:val="none" w:sz="0" w:space="0" w:color="auto"/>
          </w:divBdr>
          <w:divsChild>
            <w:div w:id="764879618">
              <w:marLeft w:val="0"/>
              <w:marRight w:val="0"/>
              <w:marTop w:val="0"/>
              <w:marBottom w:val="0"/>
              <w:divBdr>
                <w:top w:val="none" w:sz="0" w:space="0" w:color="auto"/>
                <w:left w:val="none" w:sz="0" w:space="0" w:color="auto"/>
                <w:bottom w:val="none" w:sz="0" w:space="0" w:color="auto"/>
                <w:right w:val="none" w:sz="0" w:space="0" w:color="auto"/>
              </w:divBdr>
              <w:divsChild>
                <w:div w:id="20208594">
                  <w:marLeft w:val="0"/>
                  <w:marRight w:val="0"/>
                  <w:marTop w:val="0"/>
                  <w:marBottom w:val="0"/>
                  <w:divBdr>
                    <w:top w:val="none" w:sz="0" w:space="0" w:color="auto"/>
                    <w:left w:val="none" w:sz="0" w:space="0" w:color="auto"/>
                    <w:bottom w:val="none" w:sz="0" w:space="0" w:color="auto"/>
                    <w:right w:val="none" w:sz="0" w:space="0" w:color="auto"/>
                  </w:divBdr>
                  <w:divsChild>
                    <w:div w:id="19714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84620">
      <w:bodyDiv w:val="1"/>
      <w:marLeft w:val="0"/>
      <w:marRight w:val="0"/>
      <w:marTop w:val="0"/>
      <w:marBottom w:val="0"/>
      <w:divBdr>
        <w:top w:val="none" w:sz="0" w:space="0" w:color="auto"/>
        <w:left w:val="none" w:sz="0" w:space="0" w:color="auto"/>
        <w:bottom w:val="none" w:sz="0" w:space="0" w:color="auto"/>
        <w:right w:val="none" w:sz="0" w:space="0" w:color="auto"/>
      </w:divBdr>
    </w:div>
    <w:div w:id="1694382916">
      <w:bodyDiv w:val="1"/>
      <w:marLeft w:val="0"/>
      <w:marRight w:val="0"/>
      <w:marTop w:val="0"/>
      <w:marBottom w:val="0"/>
      <w:divBdr>
        <w:top w:val="none" w:sz="0" w:space="0" w:color="auto"/>
        <w:left w:val="none" w:sz="0" w:space="0" w:color="auto"/>
        <w:bottom w:val="none" w:sz="0" w:space="0" w:color="auto"/>
        <w:right w:val="none" w:sz="0" w:space="0" w:color="auto"/>
      </w:divBdr>
    </w:div>
    <w:div w:id="1701474177">
      <w:bodyDiv w:val="1"/>
      <w:marLeft w:val="0"/>
      <w:marRight w:val="0"/>
      <w:marTop w:val="0"/>
      <w:marBottom w:val="0"/>
      <w:divBdr>
        <w:top w:val="none" w:sz="0" w:space="0" w:color="auto"/>
        <w:left w:val="none" w:sz="0" w:space="0" w:color="auto"/>
        <w:bottom w:val="none" w:sz="0" w:space="0" w:color="auto"/>
        <w:right w:val="none" w:sz="0" w:space="0" w:color="auto"/>
      </w:divBdr>
      <w:divsChild>
        <w:div w:id="2058967142">
          <w:marLeft w:val="0"/>
          <w:marRight w:val="0"/>
          <w:marTop w:val="0"/>
          <w:marBottom w:val="0"/>
          <w:divBdr>
            <w:top w:val="none" w:sz="0" w:space="0" w:color="auto"/>
            <w:left w:val="none" w:sz="0" w:space="0" w:color="auto"/>
            <w:bottom w:val="none" w:sz="0" w:space="0" w:color="auto"/>
            <w:right w:val="none" w:sz="0" w:space="0" w:color="auto"/>
          </w:divBdr>
          <w:divsChild>
            <w:div w:id="556749506">
              <w:marLeft w:val="0"/>
              <w:marRight w:val="0"/>
              <w:marTop w:val="0"/>
              <w:marBottom w:val="0"/>
              <w:divBdr>
                <w:top w:val="none" w:sz="0" w:space="0" w:color="auto"/>
                <w:left w:val="none" w:sz="0" w:space="0" w:color="auto"/>
                <w:bottom w:val="none" w:sz="0" w:space="0" w:color="auto"/>
                <w:right w:val="none" w:sz="0" w:space="0" w:color="auto"/>
              </w:divBdr>
              <w:divsChild>
                <w:div w:id="19838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52731">
      <w:bodyDiv w:val="1"/>
      <w:marLeft w:val="0"/>
      <w:marRight w:val="0"/>
      <w:marTop w:val="0"/>
      <w:marBottom w:val="0"/>
      <w:divBdr>
        <w:top w:val="none" w:sz="0" w:space="0" w:color="auto"/>
        <w:left w:val="none" w:sz="0" w:space="0" w:color="auto"/>
        <w:bottom w:val="none" w:sz="0" w:space="0" w:color="auto"/>
        <w:right w:val="none" w:sz="0" w:space="0" w:color="auto"/>
      </w:divBdr>
    </w:div>
    <w:div w:id="1718818020">
      <w:bodyDiv w:val="1"/>
      <w:marLeft w:val="0"/>
      <w:marRight w:val="0"/>
      <w:marTop w:val="0"/>
      <w:marBottom w:val="0"/>
      <w:divBdr>
        <w:top w:val="none" w:sz="0" w:space="0" w:color="auto"/>
        <w:left w:val="none" w:sz="0" w:space="0" w:color="auto"/>
        <w:bottom w:val="none" w:sz="0" w:space="0" w:color="auto"/>
        <w:right w:val="none" w:sz="0" w:space="0" w:color="auto"/>
      </w:divBdr>
      <w:divsChild>
        <w:div w:id="1563564934">
          <w:marLeft w:val="0"/>
          <w:marRight w:val="0"/>
          <w:marTop w:val="0"/>
          <w:marBottom w:val="0"/>
          <w:divBdr>
            <w:top w:val="none" w:sz="0" w:space="0" w:color="auto"/>
            <w:left w:val="none" w:sz="0" w:space="0" w:color="auto"/>
            <w:bottom w:val="none" w:sz="0" w:space="0" w:color="auto"/>
            <w:right w:val="none" w:sz="0" w:space="0" w:color="auto"/>
          </w:divBdr>
          <w:divsChild>
            <w:div w:id="1614435239">
              <w:marLeft w:val="0"/>
              <w:marRight w:val="0"/>
              <w:marTop w:val="0"/>
              <w:marBottom w:val="0"/>
              <w:divBdr>
                <w:top w:val="none" w:sz="0" w:space="0" w:color="auto"/>
                <w:left w:val="none" w:sz="0" w:space="0" w:color="auto"/>
                <w:bottom w:val="none" w:sz="0" w:space="0" w:color="auto"/>
                <w:right w:val="none" w:sz="0" w:space="0" w:color="auto"/>
              </w:divBdr>
              <w:divsChild>
                <w:div w:id="1683818679">
                  <w:marLeft w:val="0"/>
                  <w:marRight w:val="0"/>
                  <w:marTop w:val="0"/>
                  <w:marBottom w:val="0"/>
                  <w:divBdr>
                    <w:top w:val="none" w:sz="0" w:space="0" w:color="auto"/>
                    <w:left w:val="none" w:sz="0" w:space="0" w:color="auto"/>
                    <w:bottom w:val="none" w:sz="0" w:space="0" w:color="auto"/>
                    <w:right w:val="none" w:sz="0" w:space="0" w:color="auto"/>
                  </w:divBdr>
                  <w:divsChild>
                    <w:div w:id="21290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70999">
      <w:bodyDiv w:val="1"/>
      <w:marLeft w:val="0"/>
      <w:marRight w:val="0"/>
      <w:marTop w:val="0"/>
      <w:marBottom w:val="0"/>
      <w:divBdr>
        <w:top w:val="none" w:sz="0" w:space="0" w:color="auto"/>
        <w:left w:val="none" w:sz="0" w:space="0" w:color="auto"/>
        <w:bottom w:val="none" w:sz="0" w:space="0" w:color="auto"/>
        <w:right w:val="none" w:sz="0" w:space="0" w:color="auto"/>
      </w:divBdr>
    </w:div>
    <w:div w:id="1739088681">
      <w:bodyDiv w:val="1"/>
      <w:marLeft w:val="0"/>
      <w:marRight w:val="0"/>
      <w:marTop w:val="0"/>
      <w:marBottom w:val="0"/>
      <w:divBdr>
        <w:top w:val="none" w:sz="0" w:space="0" w:color="auto"/>
        <w:left w:val="none" w:sz="0" w:space="0" w:color="auto"/>
        <w:bottom w:val="none" w:sz="0" w:space="0" w:color="auto"/>
        <w:right w:val="none" w:sz="0" w:space="0" w:color="auto"/>
      </w:divBdr>
    </w:div>
    <w:div w:id="1751152182">
      <w:bodyDiv w:val="1"/>
      <w:marLeft w:val="0"/>
      <w:marRight w:val="0"/>
      <w:marTop w:val="0"/>
      <w:marBottom w:val="0"/>
      <w:divBdr>
        <w:top w:val="none" w:sz="0" w:space="0" w:color="auto"/>
        <w:left w:val="none" w:sz="0" w:space="0" w:color="auto"/>
        <w:bottom w:val="none" w:sz="0" w:space="0" w:color="auto"/>
        <w:right w:val="none" w:sz="0" w:space="0" w:color="auto"/>
      </w:divBdr>
      <w:divsChild>
        <w:div w:id="1328438848">
          <w:marLeft w:val="0"/>
          <w:marRight w:val="0"/>
          <w:marTop w:val="0"/>
          <w:marBottom w:val="0"/>
          <w:divBdr>
            <w:top w:val="none" w:sz="0" w:space="0" w:color="auto"/>
            <w:left w:val="none" w:sz="0" w:space="0" w:color="auto"/>
            <w:bottom w:val="none" w:sz="0" w:space="0" w:color="auto"/>
            <w:right w:val="none" w:sz="0" w:space="0" w:color="auto"/>
          </w:divBdr>
          <w:divsChild>
            <w:div w:id="600063813">
              <w:marLeft w:val="0"/>
              <w:marRight w:val="0"/>
              <w:marTop w:val="0"/>
              <w:marBottom w:val="0"/>
              <w:divBdr>
                <w:top w:val="none" w:sz="0" w:space="0" w:color="auto"/>
                <w:left w:val="none" w:sz="0" w:space="0" w:color="auto"/>
                <w:bottom w:val="none" w:sz="0" w:space="0" w:color="auto"/>
                <w:right w:val="none" w:sz="0" w:space="0" w:color="auto"/>
              </w:divBdr>
              <w:divsChild>
                <w:div w:id="10158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13472">
      <w:bodyDiv w:val="1"/>
      <w:marLeft w:val="0"/>
      <w:marRight w:val="0"/>
      <w:marTop w:val="0"/>
      <w:marBottom w:val="0"/>
      <w:divBdr>
        <w:top w:val="none" w:sz="0" w:space="0" w:color="auto"/>
        <w:left w:val="none" w:sz="0" w:space="0" w:color="auto"/>
        <w:bottom w:val="none" w:sz="0" w:space="0" w:color="auto"/>
        <w:right w:val="none" w:sz="0" w:space="0" w:color="auto"/>
      </w:divBdr>
    </w:div>
    <w:div w:id="1767774386">
      <w:bodyDiv w:val="1"/>
      <w:marLeft w:val="0"/>
      <w:marRight w:val="0"/>
      <w:marTop w:val="0"/>
      <w:marBottom w:val="0"/>
      <w:divBdr>
        <w:top w:val="none" w:sz="0" w:space="0" w:color="auto"/>
        <w:left w:val="none" w:sz="0" w:space="0" w:color="auto"/>
        <w:bottom w:val="none" w:sz="0" w:space="0" w:color="auto"/>
        <w:right w:val="none" w:sz="0" w:space="0" w:color="auto"/>
      </w:divBdr>
    </w:div>
    <w:div w:id="1783959469">
      <w:bodyDiv w:val="1"/>
      <w:marLeft w:val="0"/>
      <w:marRight w:val="0"/>
      <w:marTop w:val="0"/>
      <w:marBottom w:val="0"/>
      <w:divBdr>
        <w:top w:val="none" w:sz="0" w:space="0" w:color="auto"/>
        <w:left w:val="none" w:sz="0" w:space="0" w:color="auto"/>
        <w:bottom w:val="none" w:sz="0" w:space="0" w:color="auto"/>
        <w:right w:val="none" w:sz="0" w:space="0" w:color="auto"/>
      </w:divBdr>
    </w:div>
    <w:div w:id="1788890623">
      <w:bodyDiv w:val="1"/>
      <w:marLeft w:val="0"/>
      <w:marRight w:val="0"/>
      <w:marTop w:val="0"/>
      <w:marBottom w:val="0"/>
      <w:divBdr>
        <w:top w:val="none" w:sz="0" w:space="0" w:color="auto"/>
        <w:left w:val="none" w:sz="0" w:space="0" w:color="auto"/>
        <w:bottom w:val="none" w:sz="0" w:space="0" w:color="auto"/>
        <w:right w:val="none" w:sz="0" w:space="0" w:color="auto"/>
      </w:divBdr>
    </w:div>
    <w:div w:id="1789667132">
      <w:bodyDiv w:val="1"/>
      <w:marLeft w:val="0"/>
      <w:marRight w:val="0"/>
      <w:marTop w:val="0"/>
      <w:marBottom w:val="0"/>
      <w:divBdr>
        <w:top w:val="none" w:sz="0" w:space="0" w:color="auto"/>
        <w:left w:val="none" w:sz="0" w:space="0" w:color="auto"/>
        <w:bottom w:val="none" w:sz="0" w:space="0" w:color="auto"/>
        <w:right w:val="none" w:sz="0" w:space="0" w:color="auto"/>
      </w:divBdr>
    </w:div>
    <w:div w:id="1797796068">
      <w:bodyDiv w:val="1"/>
      <w:marLeft w:val="0"/>
      <w:marRight w:val="0"/>
      <w:marTop w:val="0"/>
      <w:marBottom w:val="0"/>
      <w:divBdr>
        <w:top w:val="none" w:sz="0" w:space="0" w:color="auto"/>
        <w:left w:val="none" w:sz="0" w:space="0" w:color="auto"/>
        <w:bottom w:val="none" w:sz="0" w:space="0" w:color="auto"/>
        <w:right w:val="none" w:sz="0" w:space="0" w:color="auto"/>
      </w:divBdr>
    </w:div>
    <w:div w:id="1800762091">
      <w:bodyDiv w:val="1"/>
      <w:marLeft w:val="0"/>
      <w:marRight w:val="0"/>
      <w:marTop w:val="0"/>
      <w:marBottom w:val="0"/>
      <w:divBdr>
        <w:top w:val="none" w:sz="0" w:space="0" w:color="auto"/>
        <w:left w:val="none" w:sz="0" w:space="0" w:color="auto"/>
        <w:bottom w:val="none" w:sz="0" w:space="0" w:color="auto"/>
        <w:right w:val="none" w:sz="0" w:space="0" w:color="auto"/>
      </w:divBdr>
    </w:div>
    <w:div w:id="1806005357">
      <w:bodyDiv w:val="1"/>
      <w:marLeft w:val="0"/>
      <w:marRight w:val="0"/>
      <w:marTop w:val="0"/>
      <w:marBottom w:val="0"/>
      <w:divBdr>
        <w:top w:val="none" w:sz="0" w:space="0" w:color="auto"/>
        <w:left w:val="none" w:sz="0" w:space="0" w:color="auto"/>
        <w:bottom w:val="none" w:sz="0" w:space="0" w:color="auto"/>
        <w:right w:val="none" w:sz="0" w:space="0" w:color="auto"/>
      </w:divBdr>
    </w:div>
    <w:div w:id="1809323767">
      <w:bodyDiv w:val="1"/>
      <w:marLeft w:val="0"/>
      <w:marRight w:val="0"/>
      <w:marTop w:val="0"/>
      <w:marBottom w:val="0"/>
      <w:divBdr>
        <w:top w:val="none" w:sz="0" w:space="0" w:color="auto"/>
        <w:left w:val="none" w:sz="0" w:space="0" w:color="auto"/>
        <w:bottom w:val="none" w:sz="0" w:space="0" w:color="auto"/>
        <w:right w:val="none" w:sz="0" w:space="0" w:color="auto"/>
      </w:divBdr>
    </w:div>
    <w:div w:id="1817334917">
      <w:bodyDiv w:val="1"/>
      <w:marLeft w:val="0"/>
      <w:marRight w:val="0"/>
      <w:marTop w:val="0"/>
      <w:marBottom w:val="0"/>
      <w:divBdr>
        <w:top w:val="none" w:sz="0" w:space="0" w:color="auto"/>
        <w:left w:val="none" w:sz="0" w:space="0" w:color="auto"/>
        <w:bottom w:val="none" w:sz="0" w:space="0" w:color="auto"/>
        <w:right w:val="none" w:sz="0" w:space="0" w:color="auto"/>
      </w:divBdr>
    </w:div>
    <w:div w:id="1817575658">
      <w:bodyDiv w:val="1"/>
      <w:marLeft w:val="0"/>
      <w:marRight w:val="0"/>
      <w:marTop w:val="0"/>
      <w:marBottom w:val="0"/>
      <w:divBdr>
        <w:top w:val="none" w:sz="0" w:space="0" w:color="auto"/>
        <w:left w:val="none" w:sz="0" w:space="0" w:color="auto"/>
        <w:bottom w:val="none" w:sz="0" w:space="0" w:color="auto"/>
        <w:right w:val="none" w:sz="0" w:space="0" w:color="auto"/>
      </w:divBdr>
    </w:div>
    <w:div w:id="1820927166">
      <w:bodyDiv w:val="1"/>
      <w:marLeft w:val="0"/>
      <w:marRight w:val="0"/>
      <w:marTop w:val="0"/>
      <w:marBottom w:val="0"/>
      <w:divBdr>
        <w:top w:val="none" w:sz="0" w:space="0" w:color="auto"/>
        <w:left w:val="none" w:sz="0" w:space="0" w:color="auto"/>
        <w:bottom w:val="none" w:sz="0" w:space="0" w:color="auto"/>
        <w:right w:val="none" w:sz="0" w:space="0" w:color="auto"/>
      </w:divBdr>
    </w:div>
    <w:div w:id="1843352822">
      <w:bodyDiv w:val="1"/>
      <w:marLeft w:val="0"/>
      <w:marRight w:val="0"/>
      <w:marTop w:val="0"/>
      <w:marBottom w:val="0"/>
      <w:divBdr>
        <w:top w:val="none" w:sz="0" w:space="0" w:color="auto"/>
        <w:left w:val="none" w:sz="0" w:space="0" w:color="auto"/>
        <w:bottom w:val="none" w:sz="0" w:space="0" w:color="auto"/>
        <w:right w:val="none" w:sz="0" w:space="0" w:color="auto"/>
      </w:divBdr>
      <w:divsChild>
        <w:div w:id="1002511161">
          <w:marLeft w:val="0"/>
          <w:marRight w:val="0"/>
          <w:marTop w:val="0"/>
          <w:marBottom w:val="0"/>
          <w:divBdr>
            <w:top w:val="none" w:sz="0" w:space="0" w:color="auto"/>
            <w:left w:val="none" w:sz="0" w:space="0" w:color="auto"/>
            <w:bottom w:val="none" w:sz="0" w:space="0" w:color="auto"/>
            <w:right w:val="none" w:sz="0" w:space="0" w:color="auto"/>
          </w:divBdr>
          <w:divsChild>
            <w:div w:id="1824423016">
              <w:marLeft w:val="0"/>
              <w:marRight w:val="0"/>
              <w:marTop w:val="0"/>
              <w:marBottom w:val="0"/>
              <w:divBdr>
                <w:top w:val="none" w:sz="0" w:space="0" w:color="auto"/>
                <w:left w:val="none" w:sz="0" w:space="0" w:color="auto"/>
                <w:bottom w:val="none" w:sz="0" w:space="0" w:color="auto"/>
                <w:right w:val="none" w:sz="0" w:space="0" w:color="auto"/>
              </w:divBdr>
              <w:divsChild>
                <w:div w:id="774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89778">
      <w:bodyDiv w:val="1"/>
      <w:marLeft w:val="0"/>
      <w:marRight w:val="0"/>
      <w:marTop w:val="0"/>
      <w:marBottom w:val="0"/>
      <w:divBdr>
        <w:top w:val="none" w:sz="0" w:space="0" w:color="auto"/>
        <w:left w:val="none" w:sz="0" w:space="0" w:color="auto"/>
        <w:bottom w:val="none" w:sz="0" w:space="0" w:color="auto"/>
        <w:right w:val="none" w:sz="0" w:space="0" w:color="auto"/>
      </w:divBdr>
      <w:divsChild>
        <w:div w:id="874120722">
          <w:marLeft w:val="0"/>
          <w:marRight w:val="0"/>
          <w:marTop w:val="0"/>
          <w:marBottom w:val="0"/>
          <w:divBdr>
            <w:top w:val="none" w:sz="0" w:space="0" w:color="auto"/>
            <w:left w:val="none" w:sz="0" w:space="0" w:color="auto"/>
            <w:bottom w:val="none" w:sz="0" w:space="0" w:color="auto"/>
            <w:right w:val="none" w:sz="0" w:space="0" w:color="auto"/>
          </w:divBdr>
          <w:divsChild>
            <w:div w:id="1879973811">
              <w:marLeft w:val="0"/>
              <w:marRight w:val="0"/>
              <w:marTop w:val="0"/>
              <w:marBottom w:val="0"/>
              <w:divBdr>
                <w:top w:val="none" w:sz="0" w:space="0" w:color="auto"/>
                <w:left w:val="none" w:sz="0" w:space="0" w:color="auto"/>
                <w:bottom w:val="none" w:sz="0" w:space="0" w:color="auto"/>
                <w:right w:val="none" w:sz="0" w:space="0" w:color="auto"/>
              </w:divBdr>
              <w:divsChild>
                <w:div w:id="20287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37400">
      <w:bodyDiv w:val="1"/>
      <w:marLeft w:val="0"/>
      <w:marRight w:val="0"/>
      <w:marTop w:val="0"/>
      <w:marBottom w:val="0"/>
      <w:divBdr>
        <w:top w:val="none" w:sz="0" w:space="0" w:color="auto"/>
        <w:left w:val="none" w:sz="0" w:space="0" w:color="auto"/>
        <w:bottom w:val="none" w:sz="0" w:space="0" w:color="auto"/>
        <w:right w:val="none" w:sz="0" w:space="0" w:color="auto"/>
      </w:divBdr>
    </w:div>
    <w:div w:id="1901867553">
      <w:bodyDiv w:val="1"/>
      <w:marLeft w:val="0"/>
      <w:marRight w:val="0"/>
      <w:marTop w:val="0"/>
      <w:marBottom w:val="0"/>
      <w:divBdr>
        <w:top w:val="none" w:sz="0" w:space="0" w:color="auto"/>
        <w:left w:val="none" w:sz="0" w:space="0" w:color="auto"/>
        <w:bottom w:val="none" w:sz="0" w:space="0" w:color="auto"/>
        <w:right w:val="none" w:sz="0" w:space="0" w:color="auto"/>
      </w:divBdr>
    </w:div>
    <w:div w:id="1922787783">
      <w:bodyDiv w:val="1"/>
      <w:marLeft w:val="0"/>
      <w:marRight w:val="0"/>
      <w:marTop w:val="0"/>
      <w:marBottom w:val="0"/>
      <w:divBdr>
        <w:top w:val="none" w:sz="0" w:space="0" w:color="auto"/>
        <w:left w:val="none" w:sz="0" w:space="0" w:color="auto"/>
        <w:bottom w:val="none" w:sz="0" w:space="0" w:color="auto"/>
        <w:right w:val="none" w:sz="0" w:space="0" w:color="auto"/>
      </w:divBdr>
      <w:divsChild>
        <w:div w:id="1078289885">
          <w:marLeft w:val="0"/>
          <w:marRight w:val="0"/>
          <w:marTop w:val="0"/>
          <w:marBottom w:val="0"/>
          <w:divBdr>
            <w:top w:val="none" w:sz="0" w:space="0" w:color="auto"/>
            <w:left w:val="none" w:sz="0" w:space="0" w:color="auto"/>
            <w:bottom w:val="none" w:sz="0" w:space="0" w:color="auto"/>
            <w:right w:val="none" w:sz="0" w:space="0" w:color="auto"/>
          </w:divBdr>
          <w:divsChild>
            <w:div w:id="1816870404">
              <w:marLeft w:val="0"/>
              <w:marRight w:val="0"/>
              <w:marTop w:val="0"/>
              <w:marBottom w:val="0"/>
              <w:divBdr>
                <w:top w:val="none" w:sz="0" w:space="0" w:color="auto"/>
                <w:left w:val="none" w:sz="0" w:space="0" w:color="auto"/>
                <w:bottom w:val="none" w:sz="0" w:space="0" w:color="auto"/>
                <w:right w:val="none" w:sz="0" w:space="0" w:color="auto"/>
              </w:divBdr>
              <w:divsChild>
                <w:div w:id="15489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24714">
      <w:bodyDiv w:val="1"/>
      <w:marLeft w:val="0"/>
      <w:marRight w:val="0"/>
      <w:marTop w:val="0"/>
      <w:marBottom w:val="0"/>
      <w:divBdr>
        <w:top w:val="none" w:sz="0" w:space="0" w:color="auto"/>
        <w:left w:val="none" w:sz="0" w:space="0" w:color="auto"/>
        <w:bottom w:val="none" w:sz="0" w:space="0" w:color="auto"/>
        <w:right w:val="none" w:sz="0" w:space="0" w:color="auto"/>
      </w:divBdr>
    </w:div>
    <w:div w:id="1949966054">
      <w:bodyDiv w:val="1"/>
      <w:marLeft w:val="0"/>
      <w:marRight w:val="0"/>
      <w:marTop w:val="0"/>
      <w:marBottom w:val="0"/>
      <w:divBdr>
        <w:top w:val="none" w:sz="0" w:space="0" w:color="auto"/>
        <w:left w:val="none" w:sz="0" w:space="0" w:color="auto"/>
        <w:bottom w:val="none" w:sz="0" w:space="0" w:color="auto"/>
        <w:right w:val="none" w:sz="0" w:space="0" w:color="auto"/>
      </w:divBdr>
    </w:div>
    <w:div w:id="1966808317">
      <w:bodyDiv w:val="1"/>
      <w:marLeft w:val="0"/>
      <w:marRight w:val="0"/>
      <w:marTop w:val="0"/>
      <w:marBottom w:val="0"/>
      <w:divBdr>
        <w:top w:val="none" w:sz="0" w:space="0" w:color="auto"/>
        <w:left w:val="none" w:sz="0" w:space="0" w:color="auto"/>
        <w:bottom w:val="none" w:sz="0" w:space="0" w:color="auto"/>
        <w:right w:val="none" w:sz="0" w:space="0" w:color="auto"/>
      </w:divBdr>
    </w:div>
    <w:div w:id="1971276741">
      <w:bodyDiv w:val="1"/>
      <w:marLeft w:val="0"/>
      <w:marRight w:val="0"/>
      <w:marTop w:val="0"/>
      <w:marBottom w:val="0"/>
      <w:divBdr>
        <w:top w:val="none" w:sz="0" w:space="0" w:color="auto"/>
        <w:left w:val="none" w:sz="0" w:space="0" w:color="auto"/>
        <w:bottom w:val="none" w:sz="0" w:space="0" w:color="auto"/>
        <w:right w:val="none" w:sz="0" w:space="0" w:color="auto"/>
      </w:divBdr>
      <w:divsChild>
        <w:div w:id="151869532">
          <w:marLeft w:val="0"/>
          <w:marRight w:val="0"/>
          <w:marTop w:val="0"/>
          <w:marBottom w:val="0"/>
          <w:divBdr>
            <w:top w:val="none" w:sz="0" w:space="0" w:color="auto"/>
            <w:left w:val="none" w:sz="0" w:space="0" w:color="auto"/>
            <w:bottom w:val="none" w:sz="0" w:space="0" w:color="auto"/>
            <w:right w:val="none" w:sz="0" w:space="0" w:color="auto"/>
          </w:divBdr>
        </w:div>
        <w:div w:id="731274212">
          <w:marLeft w:val="0"/>
          <w:marRight w:val="0"/>
          <w:marTop w:val="0"/>
          <w:marBottom w:val="0"/>
          <w:divBdr>
            <w:top w:val="none" w:sz="0" w:space="0" w:color="auto"/>
            <w:left w:val="none" w:sz="0" w:space="0" w:color="auto"/>
            <w:bottom w:val="none" w:sz="0" w:space="0" w:color="auto"/>
            <w:right w:val="none" w:sz="0" w:space="0" w:color="auto"/>
          </w:divBdr>
        </w:div>
        <w:div w:id="1071270369">
          <w:marLeft w:val="0"/>
          <w:marRight w:val="0"/>
          <w:marTop w:val="0"/>
          <w:marBottom w:val="0"/>
          <w:divBdr>
            <w:top w:val="none" w:sz="0" w:space="0" w:color="auto"/>
            <w:left w:val="none" w:sz="0" w:space="0" w:color="auto"/>
            <w:bottom w:val="none" w:sz="0" w:space="0" w:color="auto"/>
            <w:right w:val="none" w:sz="0" w:space="0" w:color="auto"/>
          </w:divBdr>
        </w:div>
        <w:div w:id="1318417589">
          <w:marLeft w:val="0"/>
          <w:marRight w:val="0"/>
          <w:marTop w:val="0"/>
          <w:marBottom w:val="0"/>
          <w:divBdr>
            <w:top w:val="none" w:sz="0" w:space="0" w:color="auto"/>
            <w:left w:val="none" w:sz="0" w:space="0" w:color="auto"/>
            <w:bottom w:val="none" w:sz="0" w:space="0" w:color="auto"/>
            <w:right w:val="none" w:sz="0" w:space="0" w:color="auto"/>
          </w:divBdr>
        </w:div>
        <w:div w:id="1367369007">
          <w:marLeft w:val="0"/>
          <w:marRight w:val="0"/>
          <w:marTop w:val="0"/>
          <w:marBottom w:val="0"/>
          <w:divBdr>
            <w:top w:val="none" w:sz="0" w:space="0" w:color="auto"/>
            <w:left w:val="none" w:sz="0" w:space="0" w:color="auto"/>
            <w:bottom w:val="none" w:sz="0" w:space="0" w:color="auto"/>
            <w:right w:val="none" w:sz="0" w:space="0" w:color="auto"/>
          </w:divBdr>
        </w:div>
        <w:div w:id="1406562044">
          <w:marLeft w:val="0"/>
          <w:marRight w:val="0"/>
          <w:marTop w:val="0"/>
          <w:marBottom w:val="0"/>
          <w:divBdr>
            <w:top w:val="none" w:sz="0" w:space="0" w:color="auto"/>
            <w:left w:val="none" w:sz="0" w:space="0" w:color="auto"/>
            <w:bottom w:val="none" w:sz="0" w:space="0" w:color="auto"/>
            <w:right w:val="none" w:sz="0" w:space="0" w:color="auto"/>
          </w:divBdr>
        </w:div>
        <w:div w:id="1509979483">
          <w:marLeft w:val="0"/>
          <w:marRight w:val="0"/>
          <w:marTop w:val="0"/>
          <w:marBottom w:val="0"/>
          <w:divBdr>
            <w:top w:val="none" w:sz="0" w:space="0" w:color="auto"/>
            <w:left w:val="none" w:sz="0" w:space="0" w:color="auto"/>
            <w:bottom w:val="none" w:sz="0" w:space="0" w:color="auto"/>
            <w:right w:val="none" w:sz="0" w:space="0" w:color="auto"/>
          </w:divBdr>
        </w:div>
        <w:div w:id="1668559476">
          <w:marLeft w:val="0"/>
          <w:marRight w:val="0"/>
          <w:marTop w:val="0"/>
          <w:marBottom w:val="0"/>
          <w:divBdr>
            <w:top w:val="none" w:sz="0" w:space="0" w:color="auto"/>
            <w:left w:val="none" w:sz="0" w:space="0" w:color="auto"/>
            <w:bottom w:val="none" w:sz="0" w:space="0" w:color="auto"/>
            <w:right w:val="none" w:sz="0" w:space="0" w:color="auto"/>
          </w:divBdr>
        </w:div>
        <w:div w:id="1721587156">
          <w:marLeft w:val="0"/>
          <w:marRight w:val="0"/>
          <w:marTop w:val="0"/>
          <w:marBottom w:val="0"/>
          <w:divBdr>
            <w:top w:val="none" w:sz="0" w:space="0" w:color="auto"/>
            <w:left w:val="none" w:sz="0" w:space="0" w:color="auto"/>
            <w:bottom w:val="none" w:sz="0" w:space="0" w:color="auto"/>
            <w:right w:val="none" w:sz="0" w:space="0" w:color="auto"/>
          </w:divBdr>
        </w:div>
        <w:div w:id="1969624174">
          <w:marLeft w:val="0"/>
          <w:marRight w:val="0"/>
          <w:marTop w:val="0"/>
          <w:marBottom w:val="0"/>
          <w:divBdr>
            <w:top w:val="none" w:sz="0" w:space="0" w:color="auto"/>
            <w:left w:val="none" w:sz="0" w:space="0" w:color="auto"/>
            <w:bottom w:val="none" w:sz="0" w:space="0" w:color="auto"/>
            <w:right w:val="none" w:sz="0" w:space="0" w:color="auto"/>
          </w:divBdr>
        </w:div>
      </w:divsChild>
    </w:div>
    <w:div w:id="1984461272">
      <w:bodyDiv w:val="1"/>
      <w:marLeft w:val="0"/>
      <w:marRight w:val="0"/>
      <w:marTop w:val="0"/>
      <w:marBottom w:val="0"/>
      <w:divBdr>
        <w:top w:val="none" w:sz="0" w:space="0" w:color="auto"/>
        <w:left w:val="none" w:sz="0" w:space="0" w:color="auto"/>
        <w:bottom w:val="none" w:sz="0" w:space="0" w:color="auto"/>
        <w:right w:val="none" w:sz="0" w:space="0" w:color="auto"/>
      </w:divBdr>
    </w:div>
    <w:div w:id="1990790766">
      <w:bodyDiv w:val="1"/>
      <w:marLeft w:val="0"/>
      <w:marRight w:val="0"/>
      <w:marTop w:val="0"/>
      <w:marBottom w:val="0"/>
      <w:divBdr>
        <w:top w:val="none" w:sz="0" w:space="0" w:color="auto"/>
        <w:left w:val="none" w:sz="0" w:space="0" w:color="auto"/>
        <w:bottom w:val="none" w:sz="0" w:space="0" w:color="auto"/>
        <w:right w:val="none" w:sz="0" w:space="0" w:color="auto"/>
      </w:divBdr>
    </w:div>
    <w:div w:id="1997612128">
      <w:bodyDiv w:val="1"/>
      <w:marLeft w:val="0"/>
      <w:marRight w:val="0"/>
      <w:marTop w:val="0"/>
      <w:marBottom w:val="0"/>
      <w:divBdr>
        <w:top w:val="none" w:sz="0" w:space="0" w:color="auto"/>
        <w:left w:val="none" w:sz="0" w:space="0" w:color="auto"/>
        <w:bottom w:val="none" w:sz="0" w:space="0" w:color="auto"/>
        <w:right w:val="none" w:sz="0" w:space="0" w:color="auto"/>
      </w:divBdr>
      <w:divsChild>
        <w:div w:id="1478837800">
          <w:marLeft w:val="0"/>
          <w:marRight w:val="0"/>
          <w:marTop w:val="0"/>
          <w:marBottom w:val="0"/>
          <w:divBdr>
            <w:top w:val="none" w:sz="0" w:space="0" w:color="auto"/>
            <w:left w:val="none" w:sz="0" w:space="0" w:color="auto"/>
            <w:bottom w:val="none" w:sz="0" w:space="0" w:color="auto"/>
            <w:right w:val="none" w:sz="0" w:space="0" w:color="auto"/>
          </w:divBdr>
        </w:div>
        <w:div w:id="1923636747">
          <w:marLeft w:val="0"/>
          <w:marRight w:val="0"/>
          <w:marTop w:val="0"/>
          <w:marBottom w:val="0"/>
          <w:divBdr>
            <w:top w:val="none" w:sz="0" w:space="0" w:color="auto"/>
            <w:left w:val="none" w:sz="0" w:space="0" w:color="auto"/>
            <w:bottom w:val="none" w:sz="0" w:space="0" w:color="auto"/>
            <w:right w:val="none" w:sz="0" w:space="0" w:color="auto"/>
          </w:divBdr>
        </w:div>
        <w:div w:id="1957714279">
          <w:marLeft w:val="0"/>
          <w:marRight w:val="0"/>
          <w:marTop w:val="0"/>
          <w:marBottom w:val="0"/>
          <w:divBdr>
            <w:top w:val="none" w:sz="0" w:space="0" w:color="auto"/>
            <w:left w:val="none" w:sz="0" w:space="0" w:color="auto"/>
            <w:bottom w:val="none" w:sz="0" w:space="0" w:color="auto"/>
            <w:right w:val="none" w:sz="0" w:space="0" w:color="auto"/>
          </w:divBdr>
        </w:div>
      </w:divsChild>
    </w:div>
    <w:div w:id="2017879597">
      <w:bodyDiv w:val="1"/>
      <w:marLeft w:val="0"/>
      <w:marRight w:val="0"/>
      <w:marTop w:val="0"/>
      <w:marBottom w:val="0"/>
      <w:divBdr>
        <w:top w:val="none" w:sz="0" w:space="0" w:color="auto"/>
        <w:left w:val="none" w:sz="0" w:space="0" w:color="auto"/>
        <w:bottom w:val="none" w:sz="0" w:space="0" w:color="auto"/>
        <w:right w:val="none" w:sz="0" w:space="0" w:color="auto"/>
      </w:divBdr>
    </w:div>
    <w:div w:id="2018116809">
      <w:bodyDiv w:val="1"/>
      <w:marLeft w:val="0"/>
      <w:marRight w:val="0"/>
      <w:marTop w:val="0"/>
      <w:marBottom w:val="0"/>
      <w:divBdr>
        <w:top w:val="none" w:sz="0" w:space="0" w:color="auto"/>
        <w:left w:val="none" w:sz="0" w:space="0" w:color="auto"/>
        <w:bottom w:val="none" w:sz="0" w:space="0" w:color="auto"/>
        <w:right w:val="none" w:sz="0" w:space="0" w:color="auto"/>
      </w:divBdr>
    </w:div>
    <w:div w:id="2019892523">
      <w:bodyDiv w:val="1"/>
      <w:marLeft w:val="0"/>
      <w:marRight w:val="0"/>
      <w:marTop w:val="0"/>
      <w:marBottom w:val="0"/>
      <w:divBdr>
        <w:top w:val="none" w:sz="0" w:space="0" w:color="auto"/>
        <w:left w:val="none" w:sz="0" w:space="0" w:color="auto"/>
        <w:bottom w:val="none" w:sz="0" w:space="0" w:color="auto"/>
        <w:right w:val="none" w:sz="0" w:space="0" w:color="auto"/>
      </w:divBdr>
      <w:divsChild>
        <w:div w:id="2089645484">
          <w:marLeft w:val="0"/>
          <w:marRight w:val="0"/>
          <w:marTop w:val="0"/>
          <w:marBottom w:val="0"/>
          <w:divBdr>
            <w:top w:val="none" w:sz="0" w:space="0" w:color="auto"/>
            <w:left w:val="none" w:sz="0" w:space="0" w:color="auto"/>
            <w:bottom w:val="none" w:sz="0" w:space="0" w:color="auto"/>
            <w:right w:val="none" w:sz="0" w:space="0" w:color="auto"/>
          </w:divBdr>
          <w:divsChild>
            <w:div w:id="1507162234">
              <w:marLeft w:val="0"/>
              <w:marRight w:val="0"/>
              <w:marTop w:val="0"/>
              <w:marBottom w:val="0"/>
              <w:divBdr>
                <w:top w:val="none" w:sz="0" w:space="0" w:color="auto"/>
                <w:left w:val="none" w:sz="0" w:space="0" w:color="auto"/>
                <w:bottom w:val="none" w:sz="0" w:space="0" w:color="auto"/>
                <w:right w:val="none" w:sz="0" w:space="0" w:color="auto"/>
              </w:divBdr>
              <w:divsChild>
                <w:div w:id="864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4346">
      <w:bodyDiv w:val="1"/>
      <w:marLeft w:val="0"/>
      <w:marRight w:val="0"/>
      <w:marTop w:val="0"/>
      <w:marBottom w:val="0"/>
      <w:divBdr>
        <w:top w:val="none" w:sz="0" w:space="0" w:color="auto"/>
        <w:left w:val="none" w:sz="0" w:space="0" w:color="auto"/>
        <w:bottom w:val="none" w:sz="0" w:space="0" w:color="auto"/>
        <w:right w:val="none" w:sz="0" w:space="0" w:color="auto"/>
      </w:divBdr>
      <w:divsChild>
        <w:div w:id="677386622">
          <w:marLeft w:val="0"/>
          <w:marRight w:val="0"/>
          <w:marTop w:val="0"/>
          <w:marBottom w:val="0"/>
          <w:divBdr>
            <w:top w:val="none" w:sz="0" w:space="0" w:color="auto"/>
            <w:left w:val="none" w:sz="0" w:space="0" w:color="auto"/>
            <w:bottom w:val="none" w:sz="0" w:space="0" w:color="auto"/>
            <w:right w:val="none" w:sz="0" w:space="0" w:color="auto"/>
          </w:divBdr>
          <w:divsChild>
            <w:div w:id="692343791">
              <w:marLeft w:val="0"/>
              <w:marRight w:val="0"/>
              <w:marTop w:val="0"/>
              <w:marBottom w:val="0"/>
              <w:divBdr>
                <w:top w:val="none" w:sz="0" w:space="0" w:color="auto"/>
                <w:left w:val="none" w:sz="0" w:space="0" w:color="auto"/>
                <w:bottom w:val="none" w:sz="0" w:space="0" w:color="auto"/>
                <w:right w:val="none" w:sz="0" w:space="0" w:color="auto"/>
              </w:divBdr>
              <w:divsChild>
                <w:div w:id="18515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4957">
      <w:bodyDiv w:val="1"/>
      <w:marLeft w:val="0"/>
      <w:marRight w:val="0"/>
      <w:marTop w:val="0"/>
      <w:marBottom w:val="0"/>
      <w:divBdr>
        <w:top w:val="none" w:sz="0" w:space="0" w:color="auto"/>
        <w:left w:val="none" w:sz="0" w:space="0" w:color="auto"/>
        <w:bottom w:val="none" w:sz="0" w:space="0" w:color="auto"/>
        <w:right w:val="none" w:sz="0" w:space="0" w:color="auto"/>
      </w:divBdr>
    </w:div>
    <w:div w:id="2039963716">
      <w:bodyDiv w:val="1"/>
      <w:marLeft w:val="0"/>
      <w:marRight w:val="0"/>
      <w:marTop w:val="0"/>
      <w:marBottom w:val="0"/>
      <w:divBdr>
        <w:top w:val="none" w:sz="0" w:space="0" w:color="auto"/>
        <w:left w:val="none" w:sz="0" w:space="0" w:color="auto"/>
        <w:bottom w:val="none" w:sz="0" w:space="0" w:color="auto"/>
        <w:right w:val="none" w:sz="0" w:space="0" w:color="auto"/>
      </w:divBdr>
    </w:div>
    <w:div w:id="2043440145">
      <w:bodyDiv w:val="1"/>
      <w:marLeft w:val="0"/>
      <w:marRight w:val="0"/>
      <w:marTop w:val="0"/>
      <w:marBottom w:val="0"/>
      <w:divBdr>
        <w:top w:val="none" w:sz="0" w:space="0" w:color="auto"/>
        <w:left w:val="none" w:sz="0" w:space="0" w:color="auto"/>
        <w:bottom w:val="none" w:sz="0" w:space="0" w:color="auto"/>
        <w:right w:val="none" w:sz="0" w:space="0" w:color="auto"/>
      </w:divBdr>
    </w:div>
    <w:div w:id="2074502963">
      <w:bodyDiv w:val="1"/>
      <w:marLeft w:val="0"/>
      <w:marRight w:val="0"/>
      <w:marTop w:val="0"/>
      <w:marBottom w:val="0"/>
      <w:divBdr>
        <w:top w:val="none" w:sz="0" w:space="0" w:color="auto"/>
        <w:left w:val="none" w:sz="0" w:space="0" w:color="auto"/>
        <w:bottom w:val="none" w:sz="0" w:space="0" w:color="auto"/>
        <w:right w:val="none" w:sz="0" w:space="0" w:color="auto"/>
      </w:divBdr>
      <w:divsChild>
        <w:div w:id="117723572">
          <w:marLeft w:val="0"/>
          <w:marRight w:val="0"/>
          <w:marTop w:val="0"/>
          <w:marBottom w:val="0"/>
          <w:divBdr>
            <w:top w:val="none" w:sz="0" w:space="0" w:color="auto"/>
            <w:left w:val="none" w:sz="0" w:space="0" w:color="auto"/>
            <w:bottom w:val="none" w:sz="0" w:space="0" w:color="auto"/>
            <w:right w:val="none" w:sz="0" w:space="0" w:color="auto"/>
          </w:divBdr>
          <w:divsChild>
            <w:div w:id="1718890266">
              <w:marLeft w:val="0"/>
              <w:marRight w:val="0"/>
              <w:marTop w:val="0"/>
              <w:marBottom w:val="0"/>
              <w:divBdr>
                <w:top w:val="none" w:sz="0" w:space="0" w:color="auto"/>
                <w:left w:val="none" w:sz="0" w:space="0" w:color="auto"/>
                <w:bottom w:val="none" w:sz="0" w:space="0" w:color="auto"/>
                <w:right w:val="none" w:sz="0" w:space="0" w:color="auto"/>
              </w:divBdr>
              <w:divsChild>
                <w:div w:id="19695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3317">
      <w:bodyDiv w:val="1"/>
      <w:marLeft w:val="0"/>
      <w:marRight w:val="0"/>
      <w:marTop w:val="0"/>
      <w:marBottom w:val="0"/>
      <w:divBdr>
        <w:top w:val="none" w:sz="0" w:space="0" w:color="auto"/>
        <w:left w:val="none" w:sz="0" w:space="0" w:color="auto"/>
        <w:bottom w:val="none" w:sz="0" w:space="0" w:color="auto"/>
        <w:right w:val="none" w:sz="0" w:space="0" w:color="auto"/>
      </w:divBdr>
      <w:divsChild>
        <w:div w:id="375398679">
          <w:marLeft w:val="0"/>
          <w:marRight w:val="0"/>
          <w:marTop w:val="0"/>
          <w:marBottom w:val="0"/>
          <w:divBdr>
            <w:top w:val="none" w:sz="0" w:space="0" w:color="auto"/>
            <w:left w:val="none" w:sz="0" w:space="0" w:color="auto"/>
            <w:bottom w:val="none" w:sz="0" w:space="0" w:color="auto"/>
            <w:right w:val="none" w:sz="0" w:space="0" w:color="auto"/>
          </w:divBdr>
        </w:div>
        <w:div w:id="664018098">
          <w:marLeft w:val="0"/>
          <w:marRight w:val="0"/>
          <w:marTop w:val="0"/>
          <w:marBottom w:val="0"/>
          <w:divBdr>
            <w:top w:val="none" w:sz="0" w:space="0" w:color="auto"/>
            <w:left w:val="none" w:sz="0" w:space="0" w:color="auto"/>
            <w:bottom w:val="none" w:sz="0" w:space="0" w:color="auto"/>
            <w:right w:val="none" w:sz="0" w:space="0" w:color="auto"/>
          </w:divBdr>
        </w:div>
        <w:div w:id="1918442656">
          <w:marLeft w:val="0"/>
          <w:marRight w:val="0"/>
          <w:marTop w:val="0"/>
          <w:marBottom w:val="0"/>
          <w:divBdr>
            <w:top w:val="none" w:sz="0" w:space="0" w:color="auto"/>
            <w:left w:val="none" w:sz="0" w:space="0" w:color="auto"/>
            <w:bottom w:val="none" w:sz="0" w:space="0" w:color="auto"/>
            <w:right w:val="none" w:sz="0" w:space="0" w:color="auto"/>
          </w:divBdr>
        </w:div>
      </w:divsChild>
    </w:div>
    <w:div w:id="2092582202">
      <w:bodyDiv w:val="1"/>
      <w:marLeft w:val="0"/>
      <w:marRight w:val="0"/>
      <w:marTop w:val="0"/>
      <w:marBottom w:val="0"/>
      <w:divBdr>
        <w:top w:val="none" w:sz="0" w:space="0" w:color="auto"/>
        <w:left w:val="none" w:sz="0" w:space="0" w:color="auto"/>
        <w:bottom w:val="none" w:sz="0" w:space="0" w:color="auto"/>
        <w:right w:val="none" w:sz="0" w:space="0" w:color="auto"/>
      </w:divBdr>
      <w:divsChild>
        <w:div w:id="1962835860">
          <w:marLeft w:val="0"/>
          <w:marRight w:val="0"/>
          <w:marTop w:val="0"/>
          <w:marBottom w:val="0"/>
          <w:divBdr>
            <w:top w:val="none" w:sz="0" w:space="0" w:color="auto"/>
            <w:left w:val="none" w:sz="0" w:space="0" w:color="auto"/>
            <w:bottom w:val="none" w:sz="0" w:space="0" w:color="auto"/>
            <w:right w:val="none" w:sz="0" w:space="0" w:color="auto"/>
          </w:divBdr>
          <w:divsChild>
            <w:div w:id="1388646451">
              <w:marLeft w:val="0"/>
              <w:marRight w:val="0"/>
              <w:marTop w:val="0"/>
              <w:marBottom w:val="0"/>
              <w:divBdr>
                <w:top w:val="none" w:sz="0" w:space="0" w:color="auto"/>
                <w:left w:val="none" w:sz="0" w:space="0" w:color="auto"/>
                <w:bottom w:val="none" w:sz="0" w:space="0" w:color="auto"/>
                <w:right w:val="none" w:sz="0" w:space="0" w:color="auto"/>
              </w:divBdr>
              <w:divsChild>
                <w:div w:id="9330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45954">
      <w:bodyDiv w:val="1"/>
      <w:marLeft w:val="0"/>
      <w:marRight w:val="0"/>
      <w:marTop w:val="0"/>
      <w:marBottom w:val="0"/>
      <w:divBdr>
        <w:top w:val="none" w:sz="0" w:space="0" w:color="auto"/>
        <w:left w:val="none" w:sz="0" w:space="0" w:color="auto"/>
        <w:bottom w:val="none" w:sz="0" w:space="0" w:color="auto"/>
        <w:right w:val="none" w:sz="0" w:space="0" w:color="auto"/>
      </w:divBdr>
    </w:div>
    <w:div w:id="2100639003">
      <w:bodyDiv w:val="1"/>
      <w:marLeft w:val="0"/>
      <w:marRight w:val="0"/>
      <w:marTop w:val="0"/>
      <w:marBottom w:val="0"/>
      <w:divBdr>
        <w:top w:val="none" w:sz="0" w:space="0" w:color="auto"/>
        <w:left w:val="none" w:sz="0" w:space="0" w:color="auto"/>
        <w:bottom w:val="none" w:sz="0" w:space="0" w:color="auto"/>
        <w:right w:val="none" w:sz="0" w:space="0" w:color="auto"/>
      </w:divBdr>
    </w:div>
    <w:div w:id="2103379224">
      <w:bodyDiv w:val="1"/>
      <w:marLeft w:val="0"/>
      <w:marRight w:val="0"/>
      <w:marTop w:val="0"/>
      <w:marBottom w:val="0"/>
      <w:divBdr>
        <w:top w:val="none" w:sz="0" w:space="0" w:color="auto"/>
        <w:left w:val="none" w:sz="0" w:space="0" w:color="auto"/>
        <w:bottom w:val="none" w:sz="0" w:space="0" w:color="auto"/>
        <w:right w:val="none" w:sz="0" w:space="0" w:color="auto"/>
      </w:divBdr>
      <w:divsChild>
        <w:div w:id="74740611">
          <w:marLeft w:val="0"/>
          <w:marRight w:val="0"/>
          <w:marTop w:val="0"/>
          <w:marBottom w:val="0"/>
          <w:divBdr>
            <w:top w:val="none" w:sz="0" w:space="0" w:color="auto"/>
            <w:left w:val="none" w:sz="0" w:space="0" w:color="auto"/>
            <w:bottom w:val="none" w:sz="0" w:space="0" w:color="auto"/>
            <w:right w:val="none" w:sz="0" w:space="0" w:color="auto"/>
          </w:divBdr>
        </w:div>
        <w:div w:id="113989014">
          <w:marLeft w:val="0"/>
          <w:marRight w:val="0"/>
          <w:marTop w:val="0"/>
          <w:marBottom w:val="0"/>
          <w:divBdr>
            <w:top w:val="none" w:sz="0" w:space="0" w:color="auto"/>
            <w:left w:val="none" w:sz="0" w:space="0" w:color="auto"/>
            <w:bottom w:val="none" w:sz="0" w:space="0" w:color="auto"/>
            <w:right w:val="none" w:sz="0" w:space="0" w:color="auto"/>
          </w:divBdr>
        </w:div>
        <w:div w:id="1121218835">
          <w:marLeft w:val="0"/>
          <w:marRight w:val="0"/>
          <w:marTop w:val="0"/>
          <w:marBottom w:val="0"/>
          <w:divBdr>
            <w:top w:val="none" w:sz="0" w:space="0" w:color="auto"/>
            <w:left w:val="none" w:sz="0" w:space="0" w:color="auto"/>
            <w:bottom w:val="none" w:sz="0" w:space="0" w:color="auto"/>
            <w:right w:val="none" w:sz="0" w:space="0" w:color="auto"/>
          </w:divBdr>
        </w:div>
        <w:div w:id="1211721692">
          <w:marLeft w:val="0"/>
          <w:marRight w:val="0"/>
          <w:marTop w:val="0"/>
          <w:marBottom w:val="0"/>
          <w:divBdr>
            <w:top w:val="none" w:sz="0" w:space="0" w:color="auto"/>
            <w:left w:val="none" w:sz="0" w:space="0" w:color="auto"/>
            <w:bottom w:val="none" w:sz="0" w:space="0" w:color="auto"/>
            <w:right w:val="none" w:sz="0" w:space="0" w:color="auto"/>
          </w:divBdr>
        </w:div>
        <w:div w:id="1994992214">
          <w:marLeft w:val="0"/>
          <w:marRight w:val="0"/>
          <w:marTop w:val="0"/>
          <w:marBottom w:val="0"/>
          <w:divBdr>
            <w:top w:val="none" w:sz="0" w:space="0" w:color="auto"/>
            <w:left w:val="none" w:sz="0" w:space="0" w:color="auto"/>
            <w:bottom w:val="none" w:sz="0" w:space="0" w:color="auto"/>
            <w:right w:val="none" w:sz="0" w:space="0" w:color="auto"/>
          </w:divBdr>
        </w:div>
      </w:divsChild>
    </w:div>
    <w:div w:id="2141651929">
      <w:bodyDiv w:val="1"/>
      <w:marLeft w:val="0"/>
      <w:marRight w:val="0"/>
      <w:marTop w:val="0"/>
      <w:marBottom w:val="0"/>
      <w:divBdr>
        <w:top w:val="none" w:sz="0" w:space="0" w:color="auto"/>
        <w:left w:val="none" w:sz="0" w:space="0" w:color="auto"/>
        <w:bottom w:val="none" w:sz="0" w:space="0" w:color="auto"/>
        <w:right w:val="none" w:sz="0" w:space="0" w:color="auto"/>
      </w:divBdr>
      <w:divsChild>
        <w:div w:id="1500779061">
          <w:marLeft w:val="0"/>
          <w:marRight w:val="0"/>
          <w:marTop w:val="0"/>
          <w:marBottom w:val="0"/>
          <w:divBdr>
            <w:top w:val="none" w:sz="0" w:space="0" w:color="auto"/>
            <w:left w:val="none" w:sz="0" w:space="0" w:color="auto"/>
            <w:bottom w:val="none" w:sz="0" w:space="0" w:color="auto"/>
            <w:right w:val="none" w:sz="0" w:space="0" w:color="auto"/>
          </w:divBdr>
          <w:divsChild>
            <w:div w:id="1674380357">
              <w:marLeft w:val="0"/>
              <w:marRight w:val="0"/>
              <w:marTop w:val="0"/>
              <w:marBottom w:val="0"/>
              <w:divBdr>
                <w:top w:val="none" w:sz="0" w:space="0" w:color="auto"/>
                <w:left w:val="none" w:sz="0" w:space="0" w:color="auto"/>
                <w:bottom w:val="none" w:sz="0" w:space="0" w:color="auto"/>
                <w:right w:val="none" w:sz="0" w:space="0" w:color="auto"/>
              </w:divBdr>
              <w:divsChild>
                <w:div w:id="224341141">
                  <w:marLeft w:val="0"/>
                  <w:marRight w:val="0"/>
                  <w:marTop w:val="0"/>
                  <w:marBottom w:val="0"/>
                  <w:divBdr>
                    <w:top w:val="none" w:sz="0" w:space="0" w:color="auto"/>
                    <w:left w:val="none" w:sz="0" w:space="0" w:color="auto"/>
                    <w:bottom w:val="none" w:sz="0" w:space="0" w:color="auto"/>
                    <w:right w:val="none" w:sz="0" w:space="0" w:color="auto"/>
                  </w:divBdr>
                </w:div>
              </w:divsChild>
            </w:div>
            <w:div w:id="2032484577">
              <w:marLeft w:val="0"/>
              <w:marRight w:val="0"/>
              <w:marTop w:val="0"/>
              <w:marBottom w:val="0"/>
              <w:divBdr>
                <w:top w:val="none" w:sz="0" w:space="0" w:color="auto"/>
                <w:left w:val="none" w:sz="0" w:space="0" w:color="auto"/>
                <w:bottom w:val="none" w:sz="0" w:space="0" w:color="auto"/>
                <w:right w:val="none" w:sz="0" w:space="0" w:color="auto"/>
              </w:divBdr>
              <w:divsChild>
                <w:div w:id="176046905">
                  <w:marLeft w:val="0"/>
                  <w:marRight w:val="0"/>
                  <w:marTop w:val="0"/>
                  <w:marBottom w:val="0"/>
                  <w:divBdr>
                    <w:top w:val="none" w:sz="0" w:space="0" w:color="auto"/>
                    <w:left w:val="none" w:sz="0" w:space="0" w:color="auto"/>
                    <w:bottom w:val="none" w:sz="0" w:space="0" w:color="auto"/>
                    <w:right w:val="none" w:sz="0" w:space="0" w:color="auto"/>
                  </w:divBdr>
                  <w:divsChild>
                    <w:div w:id="1768959560">
                      <w:marLeft w:val="0"/>
                      <w:marRight w:val="0"/>
                      <w:marTop w:val="0"/>
                      <w:marBottom w:val="0"/>
                      <w:divBdr>
                        <w:top w:val="none" w:sz="0" w:space="0" w:color="auto"/>
                        <w:left w:val="none" w:sz="0" w:space="0" w:color="auto"/>
                        <w:bottom w:val="none" w:sz="0" w:space="0" w:color="auto"/>
                        <w:right w:val="none" w:sz="0" w:space="0" w:color="auto"/>
                      </w:divBdr>
                    </w:div>
                  </w:divsChild>
                </w:div>
                <w:div w:id="1048727402">
                  <w:marLeft w:val="0"/>
                  <w:marRight w:val="0"/>
                  <w:marTop w:val="0"/>
                  <w:marBottom w:val="0"/>
                  <w:divBdr>
                    <w:top w:val="none" w:sz="0" w:space="0" w:color="auto"/>
                    <w:left w:val="none" w:sz="0" w:space="0" w:color="auto"/>
                    <w:bottom w:val="none" w:sz="0" w:space="0" w:color="auto"/>
                    <w:right w:val="none" w:sz="0" w:space="0" w:color="auto"/>
                  </w:divBdr>
                  <w:divsChild>
                    <w:div w:id="1938127298">
                      <w:marLeft w:val="0"/>
                      <w:marRight w:val="0"/>
                      <w:marTop w:val="0"/>
                      <w:marBottom w:val="0"/>
                      <w:divBdr>
                        <w:top w:val="none" w:sz="0" w:space="0" w:color="auto"/>
                        <w:left w:val="none" w:sz="0" w:space="0" w:color="auto"/>
                        <w:bottom w:val="none" w:sz="0" w:space="0" w:color="auto"/>
                        <w:right w:val="none" w:sz="0" w:space="0" w:color="auto"/>
                      </w:divBdr>
                    </w:div>
                  </w:divsChild>
                </w:div>
                <w:div w:id="1272124231">
                  <w:marLeft w:val="0"/>
                  <w:marRight w:val="0"/>
                  <w:marTop w:val="0"/>
                  <w:marBottom w:val="0"/>
                  <w:divBdr>
                    <w:top w:val="none" w:sz="0" w:space="0" w:color="auto"/>
                    <w:left w:val="none" w:sz="0" w:space="0" w:color="auto"/>
                    <w:bottom w:val="none" w:sz="0" w:space="0" w:color="auto"/>
                    <w:right w:val="none" w:sz="0" w:space="0" w:color="auto"/>
                  </w:divBdr>
                  <w:divsChild>
                    <w:div w:id="1522472420">
                      <w:marLeft w:val="0"/>
                      <w:marRight w:val="0"/>
                      <w:marTop w:val="0"/>
                      <w:marBottom w:val="0"/>
                      <w:divBdr>
                        <w:top w:val="none" w:sz="0" w:space="0" w:color="auto"/>
                        <w:left w:val="none" w:sz="0" w:space="0" w:color="auto"/>
                        <w:bottom w:val="none" w:sz="0" w:space="0" w:color="auto"/>
                        <w:right w:val="none" w:sz="0" w:space="0" w:color="auto"/>
                      </w:divBdr>
                    </w:div>
                  </w:divsChild>
                </w:div>
                <w:div w:id="1507940784">
                  <w:marLeft w:val="0"/>
                  <w:marRight w:val="0"/>
                  <w:marTop w:val="0"/>
                  <w:marBottom w:val="0"/>
                  <w:divBdr>
                    <w:top w:val="none" w:sz="0" w:space="0" w:color="auto"/>
                    <w:left w:val="none" w:sz="0" w:space="0" w:color="auto"/>
                    <w:bottom w:val="none" w:sz="0" w:space="0" w:color="auto"/>
                    <w:right w:val="none" w:sz="0" w:space="0" w:color="auto"/>
                  </w:divBdr>
                  <w:divsChild>
                    <w:div w:id="577519352">
                      <w:marLeft w:val="0"/>
                      <w:marRight w:val="0"/>
                      <w:marTop w:val="0"/>
                      <w:marBottom w:val="0"/>
                      <w:divBdr>
                        <w:top w:val="none" w:sz="0" w:space="0" w:color="auto"/>
                        <w:left w:val="none" w:sz="0" w:space="0" w:color="auto"/>
                        <w:bottom w:val="none" w:sz="0" w:space="0" w:color="auto"/>
                        <w:right w:val="none" w:sz="0" w:space="0" w:color="auto"/>
                      </w:divBdr>
                    </w:div>
                  </w:divsChild>
                </w:div>
                <w:div w:id="1822892480">
                  <w:marLeft w:val="0"/>
                  <w:marRight w:val="0"/>
                  <w:marTop w:val="0"/>
                  <w:marBottom w:val="0"/>
                  <w:divBdr>
                    <w:top w:val="none" w:sz="0" w:space="0" w:color="auto"/>
                    <w:left w:val="none" w:sz="0" w:space="0" w:color="auto"/>
                    <w:bottom w:val="none" w:sz="0" w:space="0" w:color="auto"/>
                    <w:right w:val="none" w:sz="0" w:space="0" w:color="auto"/>
                  </w:divBdr>
                  <w:divsChild>
                    <w:div w:id="1692341632">
                      <w:marLeft w:val="0"/>
                      <w:marRight w:val="0"/>
                      <w:marTop w:val="0"/>
                      <w:marBottom w:val="0"/>
                      <w:divBdr>
                        <w:top w:val="none" w:sz="0" w:space="0" w:color="auto"/>
                        <w:left w:val="none" w:sz="0" w:space="0" w:color="auto"/>
                        <w:bottom w:val="none" w:sz="0" w:space="0" w:color="auto"/>
                        <w:right w:val="none" w:sz="0" w:space="0" w:color="auto"/>
                      </w:divBdr>
                    </w:div>
                  </w:divsChild>
                </w:div>
                <w:div w:id="1864320419">
                  <w:marLeft w:val="0"/>
                  <w:marRight w:val="0"/>
                  <w:marTop w:val="0"/>
                  <w:marBottom w:val="0"/>
                  <w:divBdr>
                    <w:top w:val="none" w:sz="0" w:space="0" w:color="auto"/>
                    <w:left w:val="none" w:sz="0" w:space="0" w:color="auto"/>
                    <w:bottom w:val="none" w:sz="0" w:space="0" w:color="auto"/>
                    <w:right w:val="none" w:sz="0" w:space="0" w:color="auto"/>
                  </w:divBdr>
                  <w:divsChild>
                    <w:div w:id="1141575964">
                      <w:marLeft w:val="0"/>
                      <w:marRight w:val="0"/>
                      <w:marTop w:val="0"/>
                      <w:marBottom w:val="0"/>
                      <w:divBdr>
                        <w:top w:val="none" w:sz="0" w:space="0" w:color="auto"/>
                        <w:left w:val="none" w:sz="0" w:space="0" w:color="auto"/>
                        <w:bottom w:val="none" w:sz="0" w:space="0" w:color="auto"/>
                        <w:right w:val="none" w:sz="0" w:space="0" w:color="auto"/>
                      </w:divBdr>
                    </w:div>
                  </w:divsChild>
                </w:div>
                <w:div w:id="2096321461">
                  <w:marLeft w:val="0"/>
                  <w:marRight w:val="0"/>
                  <w:marTop w:val="0"/>
                  <w:marBottom w:val="0"/>
                  <w:divBdr>
                    <w:top w:val="none" w:sz="0" w:space="0" w:color="auto"/>
                    <w:left w:val="none" w:sz="0" w:space="0" w:color="auto"/>
                    <w:bottom w:val="none" w:sz="0" w:space="0" w:color="auto"/>
                    <w:right w:val="none" w:sz="0" w:space="0" w:color="auto"/>
                  </w:divBdr>
                  <w:divsChild>
                    <w:div w:id="425426366">
                      <w:marLeft w:val="0"/>
                      <w:marRight w:val="0"/>
                      <w:marTop w:val="0"/>
                      <w:marBottom w:val="0"/>
                      <w:divBdr>
                        <w:top w:val="none" w:sz="0" w:space="0" w:color="auto"/>
                        <w:left w:val="none" w:sz="0" w:space="0" w:color="auto"/>
                        <w:bottom w:val="none" w:sz="0" w:space="0" w:color="auto"/>
                        <w:right w:val="none" w:sz="0" w:space="0" w:color="auto"/>
                      </w:divBdr>
                    </w:div>
                  </w:divsChild>
                </w:div>
                <w:div w:id="2125079730">
                  <w:marLeft w:val="0"/>
                  <w:marRight w:val="0"/>
                  <w:marTop w:val="0"/>
                  <w:marBottom w:val="0"/>
                  <w:divBdr>
                    <w:top w:val="none" w:sz="0" w:space="0" w:color="auto"/>
                    <w:left w:val="none" w:sz="0" w:space="0" w:color="auto"/>
                    <w:bottom w:val="none" w:sz="0" w:space="0" w:color="auto"/>
                    <w:right w:val="none" w:sz="0" w:space="0" w:color="auto"/>
                  </w:divBdr>
                  <w:divsChild>
                    <w:div w:id="13108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84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3.png"/><Relationship Id="rId42" Type="http://schemas.openxmlformats.org/officeDocument/2006/relationships/chart" Target="charts/chart3.xml"/><Relationship Id="rId47" Type="http://schemas.openxmlformats.org/officeDocument/2006/relationships/header" Target="header19.xml"/><Relationship Id="rId63" Type="http://schemas.openxmlformats.org/officeDocument/2006/relationships/header" Target="header28.xml"/><Relationship Id="rId68" Type="http://schemas.openxmlformats.org/officeDocument/2006/relationships/header" Target="header33.xml"/><Relationship Id="rId84" Type="http://schemas.openxmlformats.org/officeDocument/2006/relationships/header" Target="header48.xml"/><Relationship Id="rId89" Type="http://schemas.openxmlformats.org/officeDocument/2006/relationships/image" Target="media/image14.png"/><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chart" Target="charts/chart2.xml"/><Relationship Id="rId37" Type="http://schemas.openxmlformats.org/officeDocument/2006/relationships/header" Target="header17.xml"/><Relationship Id="rId53" Type="http://schemas.openxmlformats.org/officeDocument/2006/relationships/header" Target="header23.xml"/><Relationship Id="rId58" Type="http://schemas.openxmlformats.org/officeDocument/2006/relationships/image" Target="media/image12.png"/><Relationship Id="rId74" Type="http://schemas.openxmlformats.org/officeDocument/2006/relationships/header" Target="header38.xml"/><Relationship Id="rId79" Type="http://schemas.openxmlformats.org/officeDocument/2006/relationships/header" Target="header43.xml"/><Relationship Id="rId5" Type="http://schemas.openxmlformats.org/officeDocument/2006/relationships/numbering" Target="numbering.xml"/><Relationship Id="rId90" Type="http://schemas.openxmlformats.org/officeDocument/2006/relationships/header" Target="header49.xml"/><Relationship Id="rId95" Type="http://schemas.openxmlformats.org/officeDocument/2006/relationships/glossaryDocument" Target="glossary/document.xml"/><Relationship Id="rId22" Type="http://schemas.openxmlformats.org/officeDocument/2006/relationships/image" Target="media/image4.png"/><Relationship Id="rId27" Type="http://schemas.openxmlformats.org/officeDocument/2006/relationships/image" Target="media/image6.png"/><Relationship Id="rId43" Type="http://schemas.openxmlformats.org/officeDocument/2006/relationships/hyperlink" Target="https://www.ibac.vic.gov.au/what-we-investigate" TargetMode="External"/><Relationship Id="rId48" Type="http://schemas.openxmlformats.org/officeDocument/2006/relationships/header" Target="header20.xml"/><Relationship Id="rId64" Type="http://schemas.openxmlformats.org/officeDocument/2006/relationships/header" Target="header29.xm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eader" Target="header36.xml"/><Relationship Id="rId80" Type="http://schemas.openxmlformats.org/officeDocument/2006/relationships/header" Target="header44.xml"/><Relationship Id="rId85" Type="http://schemas.openxmlformats.org/officeDocument/2006/relationships/hyperlink" Target="http://www.ibac.vic.gov.au/node/441" TargetMode="Externa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www.ibac.vic.gov.au" TargetMode="External"/><Relationship Id="rId17" Type="http://schemas.openxmlformats.org/officeDocument/2006/relationships/image" Target="media/image2.jpeg"/><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chart" Target="charts/chart4.xml"/><Relationship Id="rId59" Type="http://schemas.openxmlformats.org/officeDocument/2006/relationships/image" Target="media/image13.png"/><Relationship Id="rId67" Type="http://schemas.openxmlformats.org/officeDocument/2006/relationships/header" Target="header32.xml"/><Relationship Id="rId20" Type="http://schemas.openxmlformats.org/officeDocument/2006/relationships/header" Target="header6.xml"/><Relationship Id="rId41" Type="http://schemas.openxmlformats.org/officeDocument/2006/relationships/hyperlink" Target="http://www.ibac.vic.gov.au/reporting-corruption/what-happens-to-your-complaint" TargetMode="External"/><Relationship Id="rId54" Type="http://schemas.openxmlformats.org/officeDocument/2006/relationships/header" Target="header24.xml"/><Relationship Id="rId62" Type="http://schemas.openxmlformats.org/officeDocument/2006/relationships/header" Target="header27.xml"/><Relationship Id="rId70" Type="http://schemas.openxmlformats.org/officeDocument/2006/relationships/header" Target="header34.xml"/><Relationship Id="rId75" Type="http://schemas.openxmlformats.org/officeDocument/2006/relationships/header" Target="header39.xml"/><Relationship Id="rId83" Type="http://schemas.openxmlformats.org/officeDocument/2006/relationships/header" Target="header47.xml"/><Relationship Id="rId88" Type="http://schemas.openxmlformats.org/officeDocument/2006/relationships/hyperlink" Target="http://www.ovic.vic.gov.au/" TargetMode="External"/><Relationship Id="rId91" Type="http://schemas.openxmlformats.org/officeDocument/2006/relationships/header" Target="header50.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1.xm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hyperlink" Target="https://www.ibac.vic.gov.au/ibac-examinations" TargetMode="External"/><Relationship Id="rId52" Type="http://schemas.openxmlformats.org/officeDocument/2006/relationships/header" Target="header22.xml"/><Relationship Id="rId60" Type="http://schemas.openxmlformats.org/officeDocument/2006/relationships/header" Target="header25.xml"/><Relationship Id="rId65" Type="http://schemas.openxmlformats.org/officeDocument/2006/relationships/header" Target="header30.xml"/><Relationship Id="rId73" Type="http://schemas.openxmlformats.org/officeDocument/2006/relationships/header" Target="header37.xml"/><Relationship Id="rId78" Type="http://schemas.openxmlformats.org/officeDocument/2006/relationships/header" Target="header42.xml"/><Relationship Id="rId81" Type="http://schemas.openxmlformats.org/officeDocument/2006/relationships/header" Target="header45.xml"/><Relationship Id="rId86" Type="http://schemas.openxmlformats.org/officeDocument/2006/relationships/hyperlink" Target="http://www.ibac.vic.gov.au/freedom-information-requests"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www.ibac.vic.gov.au/node/855" TargetMode="External"/><Relationship Id="rId34" Type="http://schemas.openxmlformats.org/officeDocument/2006/relationships/header" Target="header14.xml"/><Relationship Id="rId50" Type="http://schemas.openxmlformats.org/officeDocument/2006/relationships/image" Target="media/image7.png"/><Relationship Id="rId55" Type="http://schemas.openxmlformats.org/officeDocument/2006/relationships/image" Target="media/image9.jpg"/><Relationship Id="rId76" Type="http://schemas.openxmlformats.org/officeDocument/2006/relationships/header" Target="header40.xml"/><Relationship Id="rId7" Type="http://schemas.openxmlformats.org/officeDocument/2006/relationships/settings" Target="settings.xml"/><Relationship Id="rId71" Type="http://schemas.openxmlformats.org/officeDocument/2006/relationships/header" Target="header35.xml"/><Relationship Id="rId92" Type="http://schemas.openxmlformats.org/officeDocument/2006/relationships/header" Target="header51.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hyperlink" Target="http://www.ibac.vic.gov.au/predatory-behaviour-by-police" TargetMode="External"/><Relationship Id="rId45" Type="http://schemas.openxmlformats.org/officeDocument/2006/relationships/hyperlink" Target="https://www.ibac.vic.gov.au/reviews-police-and-public-sector-investigations" TargetMode="External"/><Relationship Id="rId66" Type="http://schemas.openxmlformats.org/officeDocument/2006/relationships/header" Target="header31.xml"/><Relationship Id="rId87" Type="http://schemas.openxmlformats.org/officeDocument/2006/relationships/hyperlink" Target="https://www.ibac.vic.gov.au/freedom-information-requests" TargetMode="External"/><Relationship Id="rId61" Type="http://schemas.openxmlformats.org/officeDocument/2006/relationships/header" Target="header26.xml"/><Relationship Id="rId82" Type="http://schemas.openxmlformats.org/officeDocument/2006/relationships/header" Target="header46.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12.xml"/><Relationship Id="rId35" Type="http://schemas.openxmlformats.org/officeDocument/2006/relationships/header" Target="header15.xml"/><Relationship Id="rId56" Type="http://schemas.openxmlformats.org/officeDocument/2006/relationships/image" Target="media/image10.png"/><Relationship Id="rId77" Type="http://schemas.openxmlformats.org/officeDocument/2006/relationships/header" Target="header4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0935808742756996"/>
          <c:y val="0.17307255042317571"/>
          <c:w val="0.65774814889352884"/>
          <c:h val="0.55046837059806031"/>
        </c:manualLayout>
      </c:layout>
      <c:doughnutChart>
        <c:varyColors val="1"/>
        <c:ser>
          <c:idx val="0"/>
          <c:order val="0"/>
          <c:tx>
            <c:strRef>
              <c:f>Sheet1!$B$1</c:f>
              <c:strCache>
                <c:ptCount val="1"/>
                <c:pt idx="0">
                  <c:v>Sales</c:v>
                </c:pt>
              </c:strCache>
            </c:strRef>
          </c:tx>
          <c:dPt>
            <c:idx val="0"/>
            <c:bubble3D val="0"/>
            <c:spPr>
              <a:solidFill>
                <a:schemeClr val="accent4">
                  <a:shade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65-2048-8156-DABBD7E08F6C}"/>
              </c:ext>
            </c:extLst>
          </c:dPt>
          <c:dPt>
            <c:idx val="1"/>
            <c:bubble3D val="0"/>
            <c:spPr>
              <a:solidFill>
                <a:schemeClr val="accent4">
                  <a:shade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65-2048-8156-DABBD7E08F6C}"/>
              </c:ext>
            </c:extLst>
          </c:dPt>
          <c:dPt>
            <c:idx val="2"/>
            <c:bubble3D val="0"/>
            <c:spPr>
              <a:solidFill>
                <a:schemeClr val="accent4">
                  <a:tint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865-2048-8156-DABBD7E08F6C}"/>
              </c:ext>
            </c:extLst>
          </c:dPt>
          <c:dPt>
            <c:idx val="3"/>
            <c:bubble3D val="0"/>
            <c:spPr>
              <a:solidFill>
                <a:schemeClr val="accent4">
                  <a:tint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865-2048-8156-DABBD7E08F6C}"/>
              </c:ext>
            </c:extLst>
          </c:dPt>
          <c:dLbls>
            <c:dLbl>
              <c:idx val="0"/>
              <c:layout>
                <c:manualLayout>
                  <c:x val="2.2405303828526282E-3"/>
                  <c:y val="0.31555778563032016"/>
                </c:manualLayout>
              </c:layout>
              <c:showLegendKey val="0"/>
              <c:showVal val="0"/>
              <c:showCatName val="1"/>
              <c:showSerName val="0"/>
              <c:showPercent val="1"/>
              <c:showBubbleSize val="0"/>
              <c:extLst>
                <c:ext xmlns:c15="http://schemas.microsoft.com/office/drawing/2012/chart" uri="{CE6537A1-D6FC-4f65-9D91-7224C49458BB}">
                  <c15:layout>
                    <c:manualLayout>
                      <c:w val="0.21929234642737375"/>
                      <c:h val="0.14537266381445621"/>
                    </c:manualLayout>
                  </c15:layout>
                </c:ext>
                <c:ext xmlns:c16="http://schemas.microsoft.com/office/drawing/2014/chart" uri="{C3380CC4-5D6E-409C-BE32-E72D297353CC}">
                  <c16:uniqueId val="{00000001-8865-2048-8156-DABBD7E08F6C}"/>
                </c:ext>
              </c:extLst>
            </c:dLbl>
            <c:dLbl>
              <c:idx val="1"/>
              <c:layout>
                <c:manualLayout>
                  <c:x val="9.5195512708921588E-3"/>
                  <c:y val="0.28639609082865991"/>
                </c:manualLayout>
              </c:layout>
              <c:tx>
                <c:rich>
                  <a:bodyPr/>
                  <a:lstStyle/>
                  <a:p>
                    <a:r>
                      <a:rPr lang="en-US"/>
                      <a:t>Victorian public</a:t>
                    </a:r>
                    <a:r>
                      <a:rPr lang="en-US" baseline="0"/>
                      <a:t> sector
</a:t>
                    </a:r>
                    <a:fld id="{DD88044E-39F6-43CB-BEE4-FD7C6E4C8C51}"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7144519432161973"/>
                      <c:h val="0.18932672821436614"/>
                    </c:manualLayout>
                  </c15:layout>
                  <c15:dlblFieldTable/>
                  <c15:showDataLabelsRange val="0"/>
                </c:ext>
                <c:ext xmlns:c16="http://schemas.microsoft.com/office/drawing/2014/chart" uri="{C3380CC4-5D6E-409C-BE32-E72D297353CC}">
                  <c16:uniqueId val="{00000003-8865-2048-8156-DABBD7E08F6C}"/>
                </c:ext>
              </c:extLst>
            </c:dLbl>
            <c:dLbl>
              <c:idx val="2"/>
              <c:layout>
                <c:manualLayout>
                  <c:x val="-3.6764342088144268E-2"/>
                  <c:y val="-0.25928295216194125"/>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8950430532929949"/>
                      <c:h val="0.18833596036928621"/>
                    </c:manualLayout>
                  </c15:layout>
                </c:ext>
                <c:ext xmlns:c16="http://schemas.microsoft.com/office/drawing/2014/chart" uri="{C3380CC4-5D6E-409C-BE32-E72D297353CC}">
                  <c16:uniqueId val="{00000005-8865-2048-8156-DABBD7E08F6C}"/>
                </c:ext>
              </c:extLst>
            </c:dLbl>
            <c:dLbl>
              <c:idx val="3"/>
              <c:layout>
                <c:manualLayout>
                  <c:x val="0.17475110817105508"/>
                  <c:y val="-0.18682144015943064"/>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fld id="{EE29C34E-7A60-D440-8407-1741440D1629}" type="CATEGORYNAME">
                      <a:rPr lang="en-US"/>
                      <a:pPr>
                        <a:defRPr sz="800" b="0"/>
                      </a:pPr>
                      <a:t>[CATEGORY NAME]</a:t>
                    </a:fld>
                    <a:r>
                      <a:rPr lang="en-US" baseline="30000"/>
                      <a:t>(*)</a:t>
                    </a:r>
                    <a:r>
                      <a:rPr lang="en-US" baseline="0"/>
                      <a:t>
</a:t>
                    </a:r>
                    <a:fld id="{2F4BEDC3-5249-4F46-8DD2-AD0A23B0D323}" type="PERCENTAGE">
                      <a:rPr lang="en-US" baseline="0"/>
                      <a:pPr>
                        <a:defRPr sz="800" b="0"/>
                      </a:pPr>
                      <a:t>[PERCENTAGE]</a:t>
                    </a:fld>
                    <a:endParaRPr lang="en-US" baseline="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177565743542007"/>
                      <c:h val="0.12843954064399909"/>
                    </c:manualLayout>
                  </c15:layout>
                  <c15:dlblFieldTable/>
                  <c15:showDataLabelsRange val="0"/>
                </c:ext>
                <c:ext xmlns:c16="http://schemas.microsoft.com/office/drawing/2014/chart" uri="{C3380CC4-5D6E-409C-BE32-E72D297353CC}">
                  <c16:uniqueId val="{00000007-8865-2048-8156-DABBD7E08F6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Victoria Police</c:v>
                </c:pt>
                <c:pt idx="1">
                  <c:v>Victorian public service</c:v>
                </c:pt>
              </c:strCache>
            </c:strRef>
          </c:cat>
          <c:val>
            <c:numRef>
              <c:f>Sheet1!$B$2:$B$5</c:f>
              <c:numCache>
                <c:formatCode>General</c:formatCode>
                <c:ptCount val="4"/>
                <c:pt idx="0">
                  <c:v>2162</c:v>
                </c:pt>
                <c:pt idx="1">
                  <c:v>1396</c:v>
                </c:pt>
              </c:numCache>
            </c:numRef>
          </c:val>
          <c:extLst>
            <c:ext xmlns:c16="http://schemas.microsoft.com/office/drawing/2014/chart" uri="{C3380CC4-5D6E-409C-BE32-E72D297353CC}">
              <c16:uniqueId val="{00000008-8865-2048-8156-DABBD7E08F6C}"/>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1320290425784815"/>
          <c:y val="0.19639800813610311"/>
          <c:w val="0.72750062153731121"/>
          <c:h val="0.57102481853299447"/>
        </c:manualLayout>
      </c:layout>
      <c:doughnutChart>
        <c:varyColors val="1"/>
        <c:ser>
          <c:idx val="0"/>
          <c:order val="0"/>
          <c:tx>
            <c:strRef>
              <c:f>Sheet1!$B$1</c:f>
              <c:strCache>
                <c:ptCount val="1"/>
                <c:pt idx="0">
                  <c:v>inv +prelims</c:v>
                </c:pt>
              </c:strCache>
            </c:strRef>
          </c:tx>
          <c:dPt>
            <c:idx val="0"/>
            <c:bubble3D val="0"/>
            <c:spPr>
              <a:solidFill>
                <a:schemeClr val="accent4">
                  <a:shade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BB5-9B45-B759-371892409A66}"/>
              </c:ext>
            </c:extLst>
          </c:dPt>
          <c:dPt>
            <c:idx val="1"/>
            <c:bubble3D val="0"/>
            <c:spPr>
              <a:solidFill>
                <a:schemeClr val="accent4">
                  <a:shade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BB5-9B45-B759-371892409A66}"/>
              </c:ext>
            </c:extLst>
          </c:dPt>
          <c:dPt>
            <c:idx val="2"/>
            <c:bubble3D val="0"/>
            <c:spPr>
              <a:solidFill>
                <a:schemeClr val="accent4">
                  <a:tint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BB5-9B45-B759-371892409A66}"/>
              </c:ext>
            </c:extLst>
          </c:dPt>
          <c:dPt>
            <c:idx val="3"/>
            <c:bubble3D val="0"/>
            <c:spPr>
              <a:solidFill>
                <a:schemeClr val="accent4">
                  <a:tint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BB5-9B45-B759-371892409A66}"/>
              </c:ext>
            </c:extLst>
          </c:dPt>
          <c:dLbls>
            <c:dLbl>
              <c:idx val="0"/>
              <c:layout>
                <c:manualLayout>
                  <c:x val="1.4741897276535956E-2"/>
                  <c:y val="-0.24929612358325759"/>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fld id="{B8F76DD1-ED16-394F-A2C8-88C935D5A357}" type="CATEGORYNAME">
                      <a:rPr lang="en-US"/>
                      <a:pPr>
                        <a:defRPr sz="800" b="0"/>
                      </a:pPr>
                      <a:t>[CATEGORY NAME]</a:t>
                    </a:fld>
                    <a:r>
                      <a:rPr lang="en-US" baseline="0"/>
                      <a:t>
45%</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8984987068353505"/>
                      <c:h val="0.13098924932118111"/>
                    </c:manualLayout>
                  </c15:layout>
                  <c15:dlblFieldTable/>
                  <c15:showDataLabelsRange val="0"/>
                </c:ext>
                <c:ext xmlns:c16="http://schemas.microsoft.com/office/drawing/2014/chart" uri="{C3380CC4-5D6E-409C-BE32-E72D297353CC}">
                  <c16:uniqueId val="{00000001-EBB5-9B45-B759-371892409A66}"/>
                </c:ext>
              </c:extLst>
            </c:dLbl>
            <c:dLbl>
              <c:idx val="1"/>
              <c:layout>
                <c:manualLayout>
                  <c:x val="-2.74125743412409E-3"/>
                  <c:y val="0.17527924300724546"/>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fld id="{3B85BFEA-6666-C041-89F8-DF3A5105947E}" type="CATEGORYNAME">
                      <a:rPr lang="en-US"/>
                      <a:pPr>
                        <a:defRPr sz="800" b="0"/>
                      </a:pPr>
                      <a:t>[CATEGORY NAME]</a:t>
                    </a:fld>
                    <a:r>
                      <a:rPr lang="en-US" baseline="0"/>
                      <a:t>
55%</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9470476484892708"/>
                      <c:h val="0.12819752708904913"/>
                    </c:manualLayout>
                  </c15:layout>
                  <c15:dlblFieldTable/>
                  <c15:showDataLabelsRange val="0"/>
                </c:ext>
                <c:ext xmlns:c16="http://schemas.microsoft.com/office/drawing/2014/chart" uri="{C3380CC4-5D6E-409C-BE32-E72D297353CC}">
                  <c16:uniqueId val="{00000003-EBB5-9B45-B759-371892409A66}"/>
                </c:ext>
              </c:extLst>
            </c:dLbl>
            <c:dLbl>
              <c:idx val="2"/>
              <c:layout>
                <c:manualLayout>
                  <c:x val="-3.6764342088144268E-2"/>
                  <c:y val="-0.25928295216194125"/>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8950430532929949"/>
                      <c:h val="0.18833596036928621"/>
                    </c:manualLayout>
                  </c15:layout>
                </c:ext>
                <c:ext xmlns:c16="http://schemas.microsoft.com/office/drawing/2014/chart" uri="{C3380CC4-5D6E-409C-BE32-E72D297353CC}">
                  <c16:uniqueId val="{00000005-EBB5-9B45-B759-371892409A66}"/>
                </c:ext>
              </c:extLst>
            </c:dLbl>
            <c:dLbl>
              <c:idx val="3"/>
              <c:layout>
                <c:manualLayout>
                  <c:x val="0.17475110817105508"/>
                  <c:y val="-0.18682144015943064"/>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fld id="{EE29C34E-7A60-D440-8407-1741440D1629}" type="CATEGORYNAME">
                      <a:rPr lang="en-US"/>
                      <a:pPr>
                        <a:defRPr sz="800" b="0"/>
                      </a:pPr>
                      <a:t>[CATEGORY NAME]</a:t>
                    </a:fld>
                    <a:r>
                      <a:rPr lang="en-US" baseline="30000"/>
                      <a:t>(**)</a:t>
                    </a:r>
                    <a:r>
                      <a:rPr lang="en-US" baseline="0"/>
                      <a:t>
</a:t>
                    </a:r>
                    <a:fld id="{2F4BEDC3-5249-4F46-8DD2-AD0A23B0D323}" type="PERCENTAGE">
                      <a:rPr lang="en-US" baseline="0"/>
                      <a:pPr>
                        <a:defRPr sz="800" b="0"/>
                      </a:pPr>
                      <a:t>[PERCENTAGE]</a:t>
                    </a:fld>
                    <a:endParaRPr lang="en-US" baseline="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1177565743542007"/>
                      <c:h val="0.12843954064399909"/>
                    </c:manualLayout>
                  </c15:layout>
                  <c15:dlblFieldTable/>
                  <c15:showDataLabelsRange val="0"/>
                </c:ext>
                <c:ext xmlns:c16="http://schemas.microsoft.com/office/drawing/2014/chart" uri="{C3380CC4-5D6E-409C-BE32-E72D297353CC}">
                  <c16:uniqueId val="{00000007-EBB5-9B45-B759-371892409A6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IBAC ‘own motion’ (**)</c:v>
                </c:pt>
                <c:pt idx="1">
                  <c:v>Complaints/notifications</c:v>
                </c:pt>
              </c:strCache>
            </c:strRef>
          </c:cat>
          <c:val>
            <c:numRef>
              <c:f>Sheet1!$B$2:$B$3</c:f>
              <c:numCache>
                <c:formatCode>General</c:formatCode>
                <c:ptCount val="2"/>
                <c:pt idx="0">
                  <c:v>12</c:v>
                </c:pt>
                <c:pt idx="1">
                  <c:v>14</c:v>
                </c:pt>
              </c:numCache>
            </c:numRef>
          </c:val>
          <c:extLst>
            <c:ext xmlns:c16="http://schemas.microsoft.com/office/drawing/2014/chart" uri="{C3380CC4-5D6E-409C-BE32-E72D297353CC}">
              <c16:uniqueId val="{00000008-EBB5-9B45-B759-371892409A66}"/>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Complaints and notifications received</c:v>
                </c:pt>
              </c:strCache>
            </c:strRef>
          </c:tx>
          <c:spPr>
            <a:ln w="28575" cap="rnd">
              <a:solidFill>
                <a:srgbClr val="981D97"/>
              </a:solidFill>
              <a:round/>
            </a:ln>
            <a:effectLst/>
          </c:spPr>
          <c:marker>
            <c:symbol val="none"/>
          </c:marker>
          <c:dLbls>
            <c:dLbl>
              <c:idx val="1"/>
              <c:layout>
                <c:manualLayout>
                  <c:x val="-4.1666666666666664E-2"/>
                  <c:y val="6.746031746031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06-42CD-90DE-5F437370838D}"/>
                </c:ext>
              </c:extLst>
            </c:dLbl>
            <c:dLbl>
              <c:idx val="2"/>
              <c:layout>
                <c:manualLayout>
                  <c:x val="-4.1666666666666664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06-42CD-90DE-5F43737083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81D97"/>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Trendline</c:name>
            <c:spPr>
              <a:ln w="19050" cap="rnd">
                <a:solidFill>
                  <a:schemeClr val="accent1"/>
                </a:solidFill>
                <a:prstDash val="sysDot"/>
              </a:ln>
              <a:effectLst/>
            </c:spPr>
            <c:trendlineType val="linear"/>
            <c:dispRSqr val="0"/>
            <c:dispEq val="0"/>
          </c:trendline>
          <c:cat>
            <c:strRef>
              <c:f>Sheet1!$A$2:$A$5</c:f>
              <c:strCache>
                <c:ptCount val="4"/>
                <c:pt idx="0">
                  <c:v>2019/20</c:v>
                </c:pt>
                <c:pt idx="1">
                  <c:v>2020/21</c:v>
                </c:pt>
                <c:pt idx="2">
                  <c:v>2021/22</c:v>
                </c:pt>
                <c:pt idx="3">
                  <c:v>2022/23</c:v>
                </c:pt>
              </c:strCache>
            </c:strRef>
          </c:cat>
          <c:val>
            <c:numRef>
              <c:f>Sheet1!$B$2:$B$5</c:f>
              <c:numCache>
                <c:formatCode>#,##0</c:formatCode>
                <c:ptCount val="4"/>
                <c:pt idx="0">
                  <c:v>1342</c:v>
                </c:pt>
                <c:pt idx="1">
                  <c:v>1710</c:v>
                </c:pt>
                <c:pt idx="2">
                  <c:v>1975</c:v>
                </c:pt>
                <c:pt idx="3">
                  <c:v>2162</c:v>
                </c:pt>
              </c:numCache>
            </c:numRef>
          </c:val>
          <c:smooth val="0"/>
          <c:extLst>
            <c:ext xmlns:c16="http://schemas.microsoft.com/office/drawing/2014/chart" uri="{C3380CC4-5D6E-409C-BE32-E72D297353CC}">
              <c16:uniqueId val="{00000003-EC06-42CD-90DE-5F437370838D}"/>
            </c:ext>
          </c:extLst>
        </c:ser>
        <c:dLbls>
          <c:showLegendKey val="0"/>
          <c:showVal val="0"/>
          <c:showCatName val="0"/>
          <c:showSerName val="0"/>
          <c:showPercent val="0"/>
          <c:showBubbleSize val="0"/>
        </c:dLbls>
        <c:smooth val="0"/>
        <c:axId val="136059255"/>
        <c:axId val="136055975"/>
      </c:lineChart>
      <c:catAx>
        <c:axId val="136059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55975"/>
        <c:crosses val="autoZero"/>
        <c:auto val="1"/>
        <c:lblAlgn val="ctr"/>
        <c:lblOffset val="100"/>
        <c:noMultiLvlLbl val="0"/>
      </c:catAx>
      <c:valAx>
        <c:axId val="1360559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59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Complaints and notifications received</c:v>
                </c:pt>
              </c:strCache>
            </c:strRef>
          </c:tx>
          <c:spPr>
            <a:ln w="28575" cap="rnd">
              <a:solidFill>
                <a:srgbClr val="981D97"/>
              </a:solidFill>
              <a:round/>
            </a:ln>
            <a:effectLst/>
          </c:spPr>
          <c:marker>
            <c:symbol val="none"/>
          </c:marker>
          <c:dLbls>
            <c:dLbl>
              <c:idx val="0"/>
              <c:layout>
                <c:manualLayout>
                  <c:x val="-1.3888888888888888E-2"/>
                  <c:y val="3.9682539682539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0F-426B-886F-578BA4EEC5F3}"/>
                </c:ext>
              </c:extLst>
            </c:dLbl>
            <c:dLbl>
              <c:idx val="2"/>
              <c:layout>
                <c:manualLayout>
                  <c:x val="0"/>
                  <c:y val="-2.3809523809523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0F-426B-886F-578BA4EEC5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81D97"/>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Trendline</c:name>
            <c:spPr>
              <a:ln w="19050" cap="rnd">
                <a:solidFill>
                  <a:schemeClr val="accent1"/>
                </a:solidFill>
                <a:prstDash val="sysDot"/>
              </a:ln>
              <a:effectLst/>
            </c:spPr>
            <c:trendlineType val="linear"/>
            <c:dispRSqr val="0"/>
            <c:dispEq val="0"/>
          </c:trendline>
          <c:cat>
            <c:strRef>
              <c:f>Sheet1!$A$2:$A$5</c:f>
              <c:strCache>
                <c:ptCount val="4"/>
                <c:pt idx="0">
                  <c:v>2019/20</c:v>
                </c:pt>
                <c:pt idx="1">
                  <c:v>2020/21</c:v>
                </c:pt>
                <c:pt idx="2">
                  <c:v>2021/22</c:v>
                </c:pt>
                <c:pt idx="3">
                  <c:v>2022/23</c:v>
                </c:pt>
              </c:strCache>
            </c:strRef>
          </c:cat>
          <c:val>
            <c:numRef>
              <c:f>Sheet1!$B$2:$B$5</c:f>
              <c:numCache>
                <c:formatCode>#,##0</c:formatCode>
                <c:ptCount val="4"/>
                <c:pt idx="0">
                  <c:v>1077</c:v>
                </c:pt>
                <c:pt idx="1">
                  <c:v>1122</c:v>
                </c:pt>
                <c:pt idx="2">
                  <c:v>1763</c:v>
                </c:pt>
                <c:pt idx="3">
                  <c:v>1396</c:v>
                </c:pt>
              </c:numCache>
            </c:numRef>
          </c:val>
          <c:smooth val="0"/>
          <c:extLst>
            <c:ext xmlns:c16="http://schemas.microsoft.com/office/drawing/2014/chart" uri="{C3380CC4-5D6E-409C-BE32-E72D297353CC}">
              <c16:uniqueId val="{00000003-FE0F-426B-886F-578BA4EEC5F3}"/>
            </c:ext>
          </c:extLst>
        </c:ser>
        <c:dLbls>
          <c:showLegendKey val="0"/>
          <c:showVal val="0"/>
          <c:showCatName val="0"/>
          <c:showSerName val="0"/>
          <c:showPercent val="0"/>
          <c:showBubbleSize val="0"/>
        </c:dLbls>
        <c:smooth val="0"/>
        <c:axId val="136059255"/>
        <c:axId val="136055975"/>
      </c:lineChart>
      <c:catAx>
        <c:axId val="136059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55975"/>
        <c:crosses val="autoZero"/>
        <c:auto val="1"/>
        <c:lblAlgn val="ctr"/>
        <c:lblOffset val="100"/>
        <c:noMultiLvlLbl val="0"/>
      </c:catAx>
      <c:valAx>
        <c:axId val="136055975"/>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59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567CC77F524514BB5945DEEC32761B"/>
        <w:category>
          <w:name w:val="General"/>
          <w:gallery w:val="placeholder"/>
        </w:category>
        <w:types>
          <w:type w:val="bbPlcHdr"/>
        </w:types>
        <w:behaviors>
          <w:behavior w:val="content"/>
        </w:behaviors>
        <w:guid w:val="{5C18CEAE-7534-4668-B749-15B16C78FEB8}"/>
      </w:docPartPr>
      <w:docPartBody>
        <w:p w:rsidR="00AD28B3" w:rsidRDefault="005912BC" w:rsidP="005912BC">
          <w:pPr>
            <w:pStyle w:val="43567CC77F524514BB5945DEEC32761B"/>
          </w:pPr>
          <w:r>
            <w:rPr>
              <w:rStyle w:val="PlaceholderText"/>
            </w:rPr>
            <w:t>&lt; 0 &gt;</w:t>
          </w:r>
        </w:p>
      </w:docPartBody>
    </w:docPart>
    <w:docPart>
      <w:docPartPr>
        <w:name w:val="17B11BCEEAB84542851C414CD695CB96"/>
        <w:category>
          <w:name w:val="General"/>
          <w:gallery w:val="placeholder"/>
        </w:category>
        <w:types>
          <w:type w:val="bbPlcHdr"/>
        </w:types>
        <w:behaviors>
          <w:behavior w:val="content"/>
        </w:behaviors>
        <w:guid w:val="{BE53CFED-3BD4-4453-B574-94CD48DF972A}"/>
      </w:docPartPr>
      <w:docPartBody>
        <w:p w:rsidR="002B0593" w:rsidRDefault="00CE2790" w:rsidP="00CE2790">
          <w:pPr>
            <w:pStyle w:val="17B11BCEEAB84542851C414CD695CB96"/>
          </w:pPr>
          <w:r>
            <w:rPr>
              <w:rStyle w:val="PlaceholderText"/>
            </w:rPr>
            <w:t>&lt; select date &gt;</w:t>
          </w:r>
        </w:p>
      </w:docPartBody>
    </w:docPart>
    <w:docPart>
      <w:docPartPr>
        <w:name w:val="8B3595ABC848415D9398DDC8C23C2011"/>
        <w:category>
          <w:name w:val="General"/>
          <w:gallery w:val="placeholder"/>
        </w:category>
        <w:types>
          <w:type w:val="bbPlcHdr"/>
        </w:types>
        <w:behaviors>
          <w:behavior w:val="content"/>
        </w:behaviors>
        <w:guid w:val="{B2574BAD-846F-4095-9404-D28AE5986383}"/>
      </w:docPartPr>
      <w:docPartBody>
        <w:p w:rsidR="00F13173" w:rsidRDefault="00E85465" w:rsidP="00E85465">
          <w:pPr>
            <w:pStyle w:val="8B3595ABC848415D9398DDC8C23C2011"/>
          </w:pPr>
          <w:r w:rsidRPr="00FF3D3F">
            <w:rPr>
              <w:rStyle w:val="PlaceholderText"/>
              <w:b/>
            </w:rPr>
            <w:t>&lt; 0 &gt;</w:t>
          </w:r>
        </w:p>
      </w:docPartBody>
    </w:docPart>
    <w:docPart>
      <w:docPartPr>
        <w:name w:val="A1DEDF8B398844C39E0DE3E5B795FEA5"/>
        <w:category>
          <w:name w:val="General"/>
          <w:gallery w:val="placeholder"/>
        </w:category>
        <w:types>
          <w:type w:val="bbPlcHdr"/>
        </w:types>
        <w:behaviors>
          <w:behavior w:val="content"/>
        </w:behaviors>
        <w:guid w:val="{178B605F-5F62-4637-9A75-AB47B9447AB2}"/>
      </w:docPartPr>
      <w:docPartBody>
        <w:p w:rsidR="004D4DE3" w:rsidRDefault="004D4DE3" w:rsidP="004D4DE3">
          <w:pPr>
            <w:pStyle w:val="A1DEDF8B398844C39E0DE3E5B795FEA5"/>
          </w:pPr>
          <w:r>
            <w:rPr>
              <w:rStyle w:val="PlaceholderText"/>
            </w:rPr>
            <w:t>&lt; select date &gt;</w:t>
          </w:r>
        </w:p>
      </w:docPartBody>
    </w:docPart>
    <w:docPart>
      <w:docPartPr>
        <w:name w:val="AF528AA967E14A718D06013B181667A0"/>
        <w:category>
          <w:name w:val="General"/>
          <w:gallery w:val="placeholder"/>
        </w:category>
        <w:types>
          <w:type w:val="bbPlcHdr"/>
        </w:types>
        <w:behaviors>
          <w:behavior w:val="content"/>
        </w:behaviors>
        <w:guid w:val="{9FC3ED79-67F2-49CB-AD11-7C78A9FFB11C}"/>
      </w:docPartPr>
      <w:docPartBody>
        <w:p w:rsidR="004D4DE3" w:rsidRDefault="004D4DE3" w:rsidP="004D4DE3">
          <w:pPr>
            <w:pStyle w:val="AF528AA967E14A718D06013B181667A0"/>
          </w:pPr>
          <w:r>
            <w:rPr>
              <w:rStyle w:val="PlaceholderText"/>
            </w:rPr>
            <w:t>&lt; select date &gt;</w:t>
          </w:r>
        </w:p>
      </w:docPartBody>
    </w:docPart>
    <w:docPart>
      <w:docPartPr>
        <w:name w:val="37929286253A46AEB75BA2574D7428BB"/>
        <w:category>
          <w:name w:val="General"/>
          <w:gallery w:val="placeholder"/>
        </w:category>
        <w:types>
          <w:type w:val="bbPlcHdr"/>
        </w:types>
        <w:behaviors>
          <w:behavior w:val="content"/>
        </w:behaviors>
        <w:guid w:val="{7A84A625-3153-4253-A327-50C13B0B957A}"/>
      </w:docPartPr>
      <w:docPartBody>
        <w:p w:rsidR="004D4DE3" w:rsidRDefault="004D4DE3" w:rsidP="004D4DE3">
          <w:pPr>
            <w:pStyle w:val="37929286253A46AEB75BA2574D7428BB"/>
          </w:pPr>
          <w:r>
            <w:rPr>
              <w:rStyle w:val="PlaceholderText"/>
            </w:rPr>
            <w:t>&lt; select date &gt;</w:t>
          </w:r>
        </w:p>
      </w:docPartBody>
    </w:docPart>
    <w:docPart>
      <w:docPartPr>
        <w:name w:val="D862D80E547B4DB0B71A1B3F1B1348BF"/>
        <w:category>
          <w:name w:val="General"/>
          <w:gallery w:val="placeholder"/>
        </w:category>
        <w:types>
          <w:type w:val="bbPlcHdr"/>
        </w:types>
        <w:behaviors>
          <w:behavior w:val="content"/>
        </w:behaviors>
        <w:guid w:val="{6BAD1365-5F2F-4705-8725-A02FEA71D047}"/>
      </w:docPartPr>
      <w:docPartBody>
        <w:p w:rsidR="004D4DE3" w:rsidRDefault="004D4DE3" w:rsidP="004D4DE3">
          <w:pPr>
            <w:pStyle w:val="D862D80E547B4DB0B71A1B3F1B1348BF"/>
          </w:pPr>
          <w:r>
            <w:rPr>
              <w:rStyle w:val="PlaceholderText"/>
            </w:rPr>
            <w:t>&lt; select date &gt;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Hiragino Sans W3">
    <w:charset w:val="80"/>
    <w:family w:val="swiss"/>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750A0"/>
    <w:multiLevelType w:val="multilevel"/>
    <w:tmpl w:val="C5889D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7FB6890"/>
    <w:multiLevelType w:val="multilevel"/>
    <w:tmpl w:val="3B7422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447BF6"/>
    <w:multiLevelType w:val="multilevel"/>
    <w:tmpl w:val="9B3A7B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97258466">
    <w:abstractNumId w:val="2"/>
  </w:num>
  <w:num w:numId="2" w16cid:durableId="1765032642">
    <w:abstractNumId w:val="1"/>
  </w:num>
  <w:num w:numId="3" w16cid:durableId="115645222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93"/>
    <w:rsid w:val="00012E01"/>
    <w:rsid w:val="000242BA"/>
    <w:rsid w:val="00026B60"/>
    <w:rsid w:val="000302BA"/>
    <w:rsid w:val="00031215"/>
    <w:rsid w:val="00032B71"/>
    <w:rsid w:val="00040E1C"/>
    <w:rsid w:val="00055CFE"/>
    <w:rsid w:val="0005675A"/>
    <w:rsid w:val="0006536E"/>
    <w:rsid w:val="0007277F"/>
    <w:rsid w:val="000A203C"/>
    <w:rsid w:val="000B4C78"/>
    <w:rsid w:val="000B6244"/>
    <w:rsid w:val="000B7F5A"/>
    <w:rsid w:val="000C20FF"/>
    <w:rsid w:val="000C7778"/>
    <w:rsid w:val="000C77FB"/>
    <w:rsid w:val="000D01D8"/>
    <w:rsid w:val="000D180B"/>
    <w:rsid w:val="000D21BD"/>
    <w:rsid w:val="000E2A7C"/>
    <w:rsid w:val="000F40C6"/>
    <w:rsid w:val="000F617A"/>
    <w:rsid w:val="00107D5F"/>
    <w:rsid w:val="00110B4E"/>
    <w:rsid w:val="00112EA7"/>
    <w:rsid w:val="001147FA"/>
    <w:rsid w:val="00122FBD"/>
    <w:rsid w:val="00140959"/>
    <w:rsid w:val="00144DEF"/>
    <w:rsid w:val="00146A17"/>
    <w:rsid w:val="00147F4F"/>
    <w:rsid w:val="001570D6"/>
    <w:rsid w:val="0016457E"/>
    <w:rsid w:val="00171C59"/>
    <w:rsid w:val="00173F70"/>
    <w:rsid w:val="001909E2"/>
    <w:rsid w:val="001917F9"/>
    <w:rsid w:val="00192977"/>
    <w:rsid w:val="001A118D"/>
    <w:rsid w:val="001B51E7"/>
    <w:rsid w:val="001B74DD"/>
    <w:rsid w:val="001C5204"/>
    <w:rsid w:val="001C7086"/>
    <w:rsid w:val="001D2859"/>
    <w:rsid w:val="001D3022"/>
    <w:rsid w:val="001E216A"/>
    <w:rsid w:val="001F10BB"/>
    <w:rsid w:val="001F5F54"/>
    <w:rsid w:val="002133F1"/>
    <w:rsid w:val="00220B70"/>
    <w:rsid w:val="002301CE"/>
    <w:rsid w:val="00255681"/>
    <w:rsid w:val="00264BDB"/>
    <w:rsid w:val="0027234A"/>
    <w:rsid w:val="0027692B"/>
    <w:rsid w:val="00287609"/>
    <w:rsid w:val="002A176B"/>
    <w:rsid w:val="002A79E4"/>
    <w:rsid w:val="002B0593"/>
    <w:rsid w:val="002B1B41"/>
    <w:rsid w:val="002C1D2C"/>
    <w:rsid w:val="002D4104"/>
    <w:rsid w:val="002D704C"/>
    <w:rsid w:val="002F40E7"/>
    <w:rsid w:val="002F4A0C"/>
    <w:rsid w:val="00302D16"/>
    <w:rsid w:val="00312EA9"/>
    <w:rsid w:val="0031628B"/>
    <w:rsid w:val="00316B5B"/>
    <w:rsid w:val="00325069"/>
    <w:rsid w:val="003257A1"/>
    <w:rsid w:val="00330B49"/>
    <w:rsid w:val="00336919"/>
    <w:rsid w:val="0034083B"/>
    <w:rsid w:val="003448E6"/>
    <w:rsid w:val="00345781"/>
    <w:rsid w:val="003479A1"/>
    <w:rsid w:val="0035229C"/>
    <w:rsid w:val="00357DB8"/>
    <w:rsid w:val="0037458F"/>
    <w:rsid w:val="0038523C"/>
    <w:rsid w:val="0038533F"/>
    <w:rsid w:val="0039245E"/>
    <w:rsid w:val="003A0811"/>
    <w:rsid w:val="003A426C"/>
    <w:rsid w:val="003C1C21"/>
    <w:rsid w:val="003C47F8"/>
    <w:rsid w:val="003D4731"/>
    <w:rsid w:val="003E0E09"/>
    <w:rsid w:val="003E134D"/>
    <w:rsid w:val="003E531E"/>
    <w:rsid w:val="003E7F2E"/>
    <w:rsid w:val="003F3982"/>
    <w:rsid w:val="003F6D63"/>
    <w:rsid w:val="0040073C"/>
    <w:rsid w:val="004167CA"/>
    <w:rsid w:val="004276BB"/>
    <w:rsid w:val="004277B8"/>
    <w:rsid w:val="0043256E"/>
    <w:rsid w:val="004333FB"/>
    <w:rsid w:val="00444071"/>
    <w:rsid w:val="00444546"/>
    <w:rsid w:val="0047220F"/>
    <w:rsid w:val="004801B7"/>
    <w:rsid w:val="00482B17"/>
    <w:rsid w:val="00491888"/>
    <w:rsid w:val="0049494E"/>
    <w:rsid w:val="004A09F2"/>
    <w:rsid w:val="004A119D"/>
    <w:rsid w:val="004A4135"/>
    <w:rsid w:val="004B0AC9"/>
    <w:rsid w:val="004B0ACE"/>
    <w:rsid w:val="004B3596"/>
    <w:rsid w:val="004C3EBD"/>
    <w:rsid w:val="004D0D31"/>
    <w:rsid w:val="004D4DE3"/>
    <w:rsid w:val="004E4576"/>
    <w:rsid w:val="004F24CE"/>
    <w:rsid w:val="00501031"/>
    <w:rsid w:val="0051134E"/>
    <w:rsid w:val="00513C7A"/>
    <w:rsid w:val="00514F54"/>
    <w:rsid w:val="005227DA"/>
    <w:rsid w:val="0052498A"/>
    <w:rsid w:val="00540AFA"/>
    <w:rsid w:val="00542838"/>
    <w:rsid w:val="0054401B"/>
    <w:rsid w:val="00544C49"/>
    <w:rsid w:val="00545CDD"/>
    <w:rsid w:val="005549E5"/>
    <w:rsid w:val="00554E8E"/>
    <w:rsid w:val="00561D49"/>
    <w:rsid w:val="0056763C"/>
    <w:rsid w:val="005677A1"/>
    <w:rsid w:val="0057202F"/>
    <w:rsid w:val="0057415A"/>
    <w:rsid w:val="00574CD1"/>
    <w:rsid w:val="00576F3B"/>
    <w:rsid w:val="00580B20"/>
    <w:rsid w:val="005912BC"/>
    <w:rsid w:val="005934B0"/>
    <w:rsid w:val="00595F5D"/>
    <w:rsid w:val="005A6363"/>
    <w:rsid w:val="005B6744"/>
    <w:rsid w:val="005B6F02"/>
    <w:rsid w:val="005D4C6A"/>
    <w:rsid w:val="005D70F2"/>
    <w:rsid w:val="00601D40"/>
    <w:rsid w:val="00631E57"/>
    <w:rsid w:val="00632DB8"/>
    <w:rsid w:val="0063492A"/>
    <w:rsid w:val="00642AA1"/>
    <w:rsid w:val="006536E7"/>
    <w:rsid w:val="006772F3"/>
    <w:rsid w:val="00683F8D"/>
    <w:rsid w:val="00696EAA"/>
    <w:rsid w:val="006B1893"/>
    <w:rsid w:val="006B26DC"/>
    <w:rsid w:val="006C0670"/>
    <w:rsid w:val="006C19B7"/>
    <w:rsid w:val="006E5556"/>
    <w:rsid w:val="006E7345"/>
    <w:rsid w:val="006F3CEF"/>
    <w:rsid w:val="006F78FA"/>
    <w:rsid w:val="006F79F3"/>
    <w:rsid w:val="007148B3"/>
    <w:rsid w:val="00721E92"/>
    <w:rsid w:val="00737573"/>
    <w:rsid w:val="007416CF"/>
    <w:rsid w:val="007438AC"/>
    <w:rsid w:val="007466FB"/>
    <w:rsid w:val="00750093"/>
    <w:rsid w:val="007631EF"/>
    <w:rsid w:val="00763843"/>
    <w:rsid w:val="007650BF"/>
    <w:rsid w:val="00767E5B"/>
    <w:rsid w:val="00781003"/>
    <w:rsid w:val="00786600"/>
    <w:rsid w:val="0079373E"/>
    <w:rsid w:val="007A1974"/>
    <w:rsid w:val="007B259A"/>
    <w:rsid w:val="007B5042"/>
    <w:rsid w:val="007D267E"/>
    <w:rsid w:val="007D5504"/>
    <w:rsid w:val="007E5C2E"/>
    <w:rsid w:val="007F2FA8"/>
    <w:rsid w:val="007F7E1C"/>
    <w:rsid w:val="008126F9"/>
    <w:rsid w:val="0082047D"/>
    <w:rsid w:val="008267D0"/>
    <w:rsid w:val="00832D47"/>
    <w:rsid w:val="008379F5"/>
    <w:rsid w:val="008434B9"/>
    <w:rsid w:val="00846B36"/>
    <w:rsid w:val="0085347E"/>
    <w:rsid w:val="0085760A"/>
    <w:rsid w:val="00857B89"/>
    <w:rsid w:val="00882A31"/>
    <w:rsid w:val="00884157"/>
    <w:rsid w:val="00890CE5"/>
    <w:rsid w:val="00897F67"/>
    <w:rsid w:val="008B0B02"/>
    <w:rsid w:val="008B2C47"/>
    <w:rsid w:val="008B3829"/>
    <w:rsid w:val="008B626C"/>
    <w:rsid w:val="008C0248"/>
    <w:rsid w:val="008E14D7"/>
    <w:rsid w:val="008F04F1"/>
    <w:rsid w:val="008F4136"/>
    <w:rsid w:val="008F5FF5"/>
    <w:rsid w:val="008F63C6"/>
    <w:rsid w:val="0090015F"/>
    <w:rsid w:val="009005FF"/>
    <w:rsid w:val="00903874"/>
    <w:rsid w:val="009058BD"/>
    <w:rsid w:val="00916970"/>
    <w:rsid w:val="00916ADF"/>
    <w:rsid w:val="00920BB3"/>
    <w:rsid w:val="009213C1"/>
    <w:rsid w:val="009412A3"/>
    <w:rsid w:val="009437E6"/>
    <w:rsid w:val="009466BC"/>
    <w:rsid w:val="0095773E"/>
    <w:rsid w:val="00974EF5"/>
    <w:rsid w:val="009817E4"/>
    <w:rsid w:val="009A1350"/>
    <w:rsid w:val="009A7EC0"/>
    <w:rsid w:val="009B5670"/>
    <w:rsid w:val="009C189B"/>
    <w:rsid w:val="009C1DD0"/>
    <w:rsid w:val="009E2D4E"/>
    <w:rsid w:val="009E463B"/>
    <w:rsid w:val="009E7B89"/>
    <w:rsid w:val="009F664D"/>
    <w:rsid w:val="00A02AC4"/>
    <w:rsid w:val="00A20F94"/>
    <w:rsid w:val="00A228B2"/>
    <w:rsid w:val="00A2456B"/>
    <w:rsid w:val="00A25D46"/>
    <w:rsid w:val="00A31524"/>
    <w:rsid w:val="00A3241E"/>
    <w:rsid w:val="00A4250B"/>
    <w:rsid w:val="00A44167"/>
    <w:rsid w:val="00A50451"/>
    <w:rsid w:val="00A53859"/>
    <w:rsid w:val="00A57BE8"/>
    <w:rsid w:val="00A67578"/>
    <w:rsid w:val="00A709A3"/>
    <w:rsid w:val="00A71F89"/>
    <w:rsid w:val="00A74800"/>
    <w:rsid w:val="00A77B87"/>
    <w:rsid w:val="00A77FA7"/>
    <w:rsid w:val="00A902EA"/>
    <w:rsid w:val="00AA0226"/>
    <w:rsid w:val="00AA5812"/>
    <w:rsid w:val="00AB78A0"/>
    <w:rsid w:val="00AC30C7"/>
    <w:rsid w:val="00AC68AE"/>
    <w:rsid w:val="00AD28B3"/>
    <w:rsid w:val="00AE2DBF"/>
    <w:rsid w:val="00AE4FF6"/>
    <w:rsid w:val="00AF4FA4"/>
    <w:rsid w:val="00B0124A"/>
    <w:rsid w:val="00B0164D"/>
    <w:rsid w:val="00B025AD"/>
    <w:rsid w:val="00B02E59"/>
    <w:rsid w:val="00B11246"/>
    <w:rsid w:val="00B2252E"/>
    <w:rsid w:val="00B24ADD"/>
    <w:rsid w:val="00B302C9"/>
    <w:rsid w:val="00B324E5"/>
    <w:rsid w:val="00B41729"/>
    <w:rsid w:val="00B44351"/>
    <w:rsid w:val="00B62FA1"/>
    <w:rsid w:val="00B70213"/>
    <w:rsid w:val="00B76AE2"/>
    <w:rsid w:val="00B86ADF"/>
    <w:rsid w:val="00B93902"/>
    <w:rsid w:val="00B96184"/>
    <w:rsid w:val="00BA2E96"/>
    <w:rsid w:val="00BA50E6"/>
    <w:rsid w:val="00BC2E13"/>
    <w:rsid w:val="00BD5322"/>
    <w:rsid w:val="00BD7DD8"/>
    <w:rsid w:val="00BE4177"/>
    <w:rsid w:val="00BE49B2"/>
    <w:rsid w:val="00BF428A"/>
    <w:rsid w:val="00C202A0"/>
    <w:rsid w:val="00C32B4A"/>
    <w:rsid w:val="00C33284"/>
    <w:rsid w:val="00C336C6"/>
    <w:rsid w:val="00C353E1"/>
    <w:rsid w:val="00C409EF"/>
    <w:rsid w:val="00C53118"/>
    <w:rsid w:val="00C62741"/>
    <w:rsid w:val="00C65465"/>
    <w:rsid w:val="00C678A4"/>
    <w:rsid w:val="00C74BE6"/>
    <w:rsid w:val="00C771CC"/>
    <w:rsid w:val="00C834E2"/>
    <w:rsid w:val="00C953F2"/>
    <w:rsid w:val="00CA2C26"/>
    <w:rsid w:val="00CA42A6"/>
    <w:rsid w:val="00CB1500"/>
    <w:rsid w:val="00CB7A3A"/>
    <w:rsid w:val="00CC47F0"/>
    <w:rsid w:val="00CD059C"/>
    <w:rsid w:val="00CD7142"/>
    <w:rsid w:val="00CE2790"/>
    <w:rsid w:val="00CE27FC"/>
    <w:rsid w:val="00CE3FFC"/>
    <w:rsid w:val="00CE4CFB"/>
    <w:rsid w:val="00CE5F4B"/>
    <w:rsid w:val="00CE7F86"/>
    <w:rsid w:val="00CF03D2"/>
    <w:rsid w:val="00CF77F9"/>
    <w:rsid w:val="00D104F4"/>
    <w:rsid w:val="00D10B29"/>
    <w:rsid w:val="00D25FFC"/>
    <w:rsid w:val="00D3591E"/>
    <w:rsid w:val="00D36A50"/>
    <w:rsid w:val="00D374E9"/>
    <w:rsid w:val="00D535AA"/>
    <w:rsid w:val="00D559DC"/>
    <w:rsid w:val="00D60509"/>
    <w:rsid w:val="00D66F42"/>
    <w:rsid w:val="00D74684"/>
    <w:rsid w:val="00D754C0"/>
    <w:rsid w:val="00D94BF0"/>
    <w:rsid w:val="00DA11D6"/>
    <w:rsid w:val="00DA42B6"/>
    <w:rsid w:val="00DC0DFB"/>
    <w:rsid w:val="00DC1F7E"/>
    <w:rsid w:val="00DC36FC"/>
    <w:rsid w:val="00DD15C7"/>
    <w:rsid w:val="00DD3358"/>
    <w:rsid w:val="00DD3554"/>
    <w:rsid w:val="00DE0F18"/>
    <w:rsid w:val="00DE31B4"/>
    <w:rsid w:val="00DE33FC"/>
    <w:rsid w:val="00DE728C"/>
    <w:rsid w:val="00E00AC7"/>
    <w:rsid w:val="00E056D7"/>
    <w:rsid w:val="00E07C49"/>
    <w:rsid w:val="00E13406"/>
    <w:rsid w:val="00E24B50"/>
    <w:rsid w:val="00E255EC"/>
    <w:rsid w:val="00E350F8"/>
    <w:rsid w:val="00E4770A"/>
    <w:rsid w:val="00E53722"/>
    <w:rsid w:val="00E576A0"/>
    <w:rsid w:val="00E57753"/>
    <w:rsid w:val="00E7450A"/>
    <w:rsid w:val="00E75413"/>
    <w:rsid w:val="00E763FF"/>
    <w:rsid w:val="00E8113B"/>
    <w:rsid w:val="00E85465"/>
    <w:rsid w:val="00E927AC"/>
    <w:rsid w:val="00EA7403"/>
    <w:rsid w:val="00EA77BD"/>
    <w:rsid w:val="00EB00D1"/>
    <w:rsid w:val="00EB6FBA"/>
    <w:rsid w:val="00EB7820"/>
    <w:rsid w:val="00EC3148"/>
    <w:rsid w:val="00EC6FBB"/>
    <w:rsid w:val="00EE2E09"/>
    <w:rsid w:val="00F01A4F"/>
    <w:rsid w:val="00F13173"/>
    <w:rsid w:val="00F13A76"/>
    <w:rsid w:val="00F27AA1"/>
    <w:rsid w:val="00F41C0F"/>
    <w:rsid w:val="00F457AB"/>
    <w:rsid w:val="00F50CCE"/>
    <w:rsid w:val="00F55068"/>
    <w:rsid w:val="00F6069A"/>
    <w:rsid w:val="00F636D3"/>
    <w:rsid w:val="00F658B7"/>
    <w:rsid w:val="00F716F7"/>
    <w:rsid w:val="00F7497A"/>
    <w:rsid w:val="00F75A62"/>
    <w:rsid w:val="00F81779"/>
    <w:rsid w:val="00F90945"/>
    <w:rsid w:val="00F9164A"/>
    <w:rsid w:val="00F9513D"/>
    <w:rsid w:val="00FA5FBB"/>
    <w:rsid w:val="00FB7BB7"/>
    <w:rsid w:val="00FD11D7"/>
    <w:rsid w:val="00FD34E0"/>
    <w:rsid w:val="00FD6619"/>
    <w:rsid w:val="00FE0CBD"/>
    <w:rsid w:val="00FE4915"/>
    <w:rsid w:val="00FE79DB"/>
    <w:rsid w:val="00FF3E0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9DB26B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4DE3"/>
    <w:rPr>
      <w:color w:val="C00000"/>
      <w:bdr w:val="none" w:sz="0" w:space="0" w:color="auto"/>
      <w:shd w:val="clear" w:color="auto" w:fill="auto"/>
    </w:rPr>
  </w:style>
  <w:style w:type="paragraph" w:customStyle="1" w:styleId="A1DEDF8B398844C39E0DE3E5B795FEA5">
    <w:name w:val="A1DEDF8B398844C39E0DE3E5B795FEA5"/>
    <w:rsid w:val="004D4DE3"/>
    <w:pPr>
      <w:spacing w:after="160" w:line="259" w:lineRule="auto"/>
    </w:pPr>
    <w:rPr>
      <w:kern w:val="2"/>
      <w:sz w:val="22"/>
      <w:szCs w:val="22"/>
      <w:lang w:eastAsia="en-AU"/>
      <w14:ligatures w14:val="standardContextual"/>
    </w:rPr>
  </w:style>
  <w:style w:type="paragraph" w:customStyle="1" w:styleId="AF528AA967E14A718D06013B181667A0">
    <w:name w:val="AF528AA967E14A718D06013B181667A0"/>
    <w:rsid w:val="004D4DE3"/>
    <w:pPr>
      <w:spacing w:after="160" w:line="259" w:lineRule="auto"/>
    </w:pPr>
    <w:rPr>
      <w:kern w:val="2"/>
      <w:sz w:val="22"/>
      <w:szCs w:val="22"/>
      <w:lang w:eastAsia="en-AU"/>
      <w14:ligatures w14:val="standardContextual"/>
    </w:rPr>
  </w:style>
  <w:style w:type="paragraph" w:customStyle="1" w:styleId="37929286253A46AEB75BA2574D7428BB">
    <w:name w:val="37929286253A46AEB75BA2574D7428BB"/>
    <w:rsid w:val="004D4DE3"/>
    <w:pPr>
      <w:spacing w:after="160" w:line="259" w:lineRule="auto"/>
    </w:pPr>
    <w:rPr>
      <w:kern w:val="2"/>
      <w:sz w:val="22"/>
      <w:szCs w:val="22"/>
      <w:lang w:eastAsia="en-AU"/>
      <w14:ligatures w14:val="standardContextual"/>
    </w:rPr>
  </w:style>
  <w:style w:type="paragraph" w:customStyle="1" w:styleId="D862D80E547B4DB0B71A1B3F1B1348BF">
    <w:name w:val="D862D80E547B4DB0B71A1B3F1B1348BF"/>
    <w:rsid w:val="004D4DE3"/>
    <w:pPr>
      <w:spacing w:after="160" w:line="259" w:lineRule="auto"/>
    </w:pPr>
    <w:rPr>
      <w:kern w:val="2"/>
      <w:sz w:val="22"/>
      <w:szCs w:val="22"/>
      <w:lang w:eastAsia="en-AU"/>
      <w14:ligatures w14:val="standardContextual"/>
    </w:rPr>
  </w:style>
  <w:style w:type="paragraph" w:customStyle="1" w:styleId="17B11BCEEAB84542851C414CD695CB96">
    <w:name w:val="17B11BCEEAB84542851C414CD695CB96"/>
    <w:rsid w:val="00CE2790"/>
    <w:pPr>
      <w:spacing w:after="160" w:line="259" w:lineRule="auto"/>
    </w:pPr>
    <w:rPr>
      <w:kern w:val="2"/>
      <w:sz w:val="22"/>
      <w:szCs w:val="22"/>
      <w:lang w:eastAsia="en-AU"/>
      <w14:ligatures w14:val="standardContextual"/>
    </w:rPr>
  </w:style>
  <w:style w:type="paragraph" w:customStyle="1" w:styleId="43567CC77F524514BB5945DEEC32761B">
    <w:name w:val="43567CC77F524514BB5945DEEC32761B"/>
    <w:rsid w:val="005912BC"/>
    <w:pPr>
      <w:spacing w:after="160" w:line="259" w:lineRule="auto"/>
    </w:pPr>
    <w:rPr>
      <w:kern w:val="2"/>
      <w:sz w:val="22"/>
      <w:szCs w:val="22"/>
      <w:lang w:eastAsia="en-AU"/>
      <w14:ligatures w14:val="standardContextual"/>
    </w:rPr>
  </w:style>
  <w:style w:type="paragraph" w:customStyle="1" w:styleId="8B3595ABC848415D9398DDC8C23C2011">
    <w:name w:val="8B3595ABC848415D9398DDC8C23C2011"/>
    <w:rsid w:val="00E85465"/>
    <w:pPr>
      <w:spacing w:after="160" w:line="259" w:lineRule="auto"/>
    </w:pPr>
    <w:rPr>
      <w:kern w:val="2"/>
      <w:sz w:val="22"/>
      <w:szCs w:val="2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11C620F3B436428A25057898027FE7" ma:contentTypeVersion="17" ma:contentTypeDescription="Create a new document." ma:contentTypeScope="" ma:versionID="dbcc892b2c18af42ec7d9f213f61722d">
  <xsd:schema xmlns:xsd="http://www.w3.org/2001/XMLSchema" xmlns:xs="http://www.w3.org/2001/XMLSchema" xmlns:p="http://schemas.microsoft.com/office/2006/metadata/properties" xmlns:ns2="11b4f495-11b8-43f2-b0a6-bd3e9198cf0b" xmlns:ns3="ae8ede3d-ca04-40de-a521-e5739ec48b5f" targetNamespace="http://schemas.microsoft.com/office/2006/metadata/properties" ma:root="true" ma:fieldsID="08de4d683e54b4dcffb84eea080e3572" ns2:_="" ns3:_="">
    <xsd:import namespace="11b4f495-11b8-43f2-b0a6-bd3e9198cf0b"/>
    <xsd:import namespace="ae8ede3d-ca04-40de-a521-e5739ec48b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4f495-11b8-43f2-b0a6-bd3e9198c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47bf4c-bf61-42a1-9e1c-47ff21bb07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ede3d-ca04-40de-a521-e5739ec48b5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cd24ef-8ff5-4886-a8af-2cc1477141e9}" ma:internalName="TaxCatchAll" ma:showField="CatchAllData" ma:web="ae8ede3d-ca04-40de-a521-e5739ec48b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b4f495-11b8-43f2-b0a6-bd3e9198cf0b">
      <Terms xmlns="http://schemas.microsoft.com/office/infopath/2007/PartnerControls"/>
    </lcf76f155ced4ddcb4097134ff3c332f>
    <TaxCatchAll xmlns="ae8ede3d-ca04-40de-a521-e5739ec48b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CCAEA-5484-415A-8515-26EED593A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4f495-11b8-43f2-b0a6-bd3e9198cf0b"/>
    <ds:schemaRef ds:uri="ae8ede3d-ca04-40de-a521-e5739ec48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39E1D-35B0-49AC-A6BB-FC8DF7CBB763}">
  <ds:schemaRefs>
    <ds:schemaRef ds:uri="http://schemas.microsoft.com/office/2006/metadata/properties"/>
    <ds:schemaRef ds:uri="http://schemas.microsoft.com/office/infopath/2007/PartnerControls"/>
    <ds:schemaRef ds:uri="11b4f495-11b8-43f2-b0a6-bd3e9198cf0b"/>
    <ds:schemaRef ds:uri="ae8ede3d-ca04-40de-a521-e5739ec48b5f"/>
  </ds:schemaRefs>
</ds:datastoreItem>
</file>

<file path=customXml/itemProps3.xml><?xml version="1.0" encoding="utf-8"?>
<ds:datastoreItem xmlns:ds="http://schemas.openxmlformats.org/officeDocument/2006/customXml" ds:itemID="{764CD209-88D0-430B-94F2-9CEFD1B0D066}">
  <ds:schemaRefs>
    <ds:schemaRef ds:uri="http://schemas.microsoft.com/sharepoint/v3/contenttype/forms"/>
  </ds:schemaRefs>
</ds:datastoreItem>
</file>

<file path=customXml/itemProps4.xml><?xml version="1.0" encoding="utf-8"?>
<ds:datastoreItem xmlns:ds="http://schemas.openxmlformats.org/officeDocument/2006/customXml" ds:itemID="{ABD60B7D-307B-4657-911B-4F99BF9C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39680</Words>
  <Characters>226179</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IBAC 2022/23 Annual Report</vt:lpstr>
    </vt:vector>
  </TitlesOfParts>
  <Company/>
  <LinksUpToDate>false</LinksUpToDate>
  <CharactersWithSpaces>265329</CharactersWithSpaces>
  <SharedDoc>false</SharedDoc>
  <HLinks>
    <vt:vector size="210" baseType="variant">
      <vt:variant>
        <vt:i4>7340064</vt:i4>
      </vt:variant>
      <vt:variant>
        <vt:i4>570</vt:i4>
      </vt:variant>
      <vt:variant>
        <vt:i4>0</vt:i4>
      </vt:variant>
      <vt:variant>
        <vt:i4>5</vt:i4>
      </vt:variant>
      <vt:variant>
        <vt:lpwstr>http://www.ovic.vic.gov.au/</vt:lpwstr>
      </vt:variant>
      <vt:variant>
        <vt:lpwstr/>
      </vt:variant>
      <vt:variant>
        <vt:i4>8192119</vt:i4>
      </vt:variant>
      <vt:variant>
        <vt:i4>567</vt:i4>
      </vt:variant>
      <vt:variant>
        <vt:i4>0</vt:i4>
      </vt:variant>
      <vt:variant>
        <vt:i4>5</vt:i4>
      </vt:variant>
      <vt:variant>
        <vt:lpwstr>http://www.ibac.vic.gov.au/freedom-information-requests</vt:lpwstr>
      </vt:variant>
      <vt:variant>
        <vt:lpwstr/>
      </vt:variant>
      <vt:variant>
        <vt:i4>8257588</vt:i4>
      </vt:variant>
      <vt:variant>
        <vt:i4>564</vt:i4>
      </vt:variant>
      <vt:variant>
        <vt:i4>0</vt:i4>
      </vt:variant>
      <vt:variant>
        <vt:i4>5</vt:i4>
      </vt:variant>
      <vt:variant>
        <vt:lpwstr>http://www.ibac.vic.gov.au/</vt:lpwstr>
      </vt:variant>
      <vt:variant>
        <vt:lpwstr/>
      </vt:variant>
      <vt:variant>
        <vt:i4>3670017</vt:i4>
      </vt:variant>
      <vt:variant>
        <vt:i4>558</vt:i4>
      </vt:variant>
      <vt:variant>
        <vt:i4>0</vt:i4>
      </vt:variant>
      <vt:variant>
        <vt:i4>5</vt:i4>
      </vt:variant>
      <vt:variant>
        <vt:lpwstr>mailto:FOI@ibac.vic.gov.au</vt:lpwstr>
      </vt:variant>
      <vt:variant>
        <vt:lpwstr/>
      </vt:variant>
      <vt:variant>
        <vt:i4>3670017</vt:i4>
      </vt:variant>
      <vt:variant>
        <vt:i4>555</vt:i4>
      </vt:variant>
      <vt:variant>
        <vt:i4>0</vt:i4>
      </vt:variant>
      <vt:variant>
        <vt:i4>5</vt:i4>
      </vt:variant>
      <vt:variant>
        <vt:lpwstr>mailto:FOI@ibac.vic.gov.au</vt:lpwstr>
      </vt:variant>
      <vt:variant>
        <vt:lpwstr/>
      </vt:variant>
      <vt:variant>
        <vt:i4>5373983</vt:i4>
      </vt:variant>
      <vt:variant>
        <vt:i4>552</vt:i4>
      </vt:variant>
      <vt:variant>
        <vt:i4>0</vt:i4>
      </vt:variant>
      <vt:variant>
        <vt:i4>5</vt:i4>
      </vt:variant>
      <vt:variant>
        <vt:lpwstr>http://www.ibac.vic.gov.au/general/contact-us/freedom-ofinformation-requests</vt:lpwstr>
      </vt:variant>
      <vt:variant>
        <vt:lpwstr/>
      </vt:variant>
      <vt:variant>
        <vt:i4>7274533</vt:i4>
      </vt:variant>
      <vt:variant>
        <vt:i4>288</vt:i4>
      </vt:variant>
      <vt:variant>
        <vt:i4>0</vt:i4>
      </vt:variant>
      <vt:variant>
        <vt:i4>5</vt:i4>
      </vt:variant>
      <vt:variant>
        <vt:lpwstr>http://www.ibac.vic.gov.au/node/441</vt:lpwstr>
      </vt:variant>
      <vt:variant>
        <vt:lpwstr/>
      </vt:variant>
      <vt:variant>
        <vt:i4>6422569</vt:i4>
      </vt:variant>
      <vt:variant>
        <vt:i4>231</vt:i4>
      </vt:variant>
      <vt:variant>
        <vt:i4>0</vt:i4>
      </vt:variant>
      <vt:variant>
        <vt:i4>5</vt:i4>
      </vt:variant>
      <vt:variant>
        <vt:lpwstr>http://www.ibac.vic.gov.au/node/891</vt:lpwstr>
      </vt:variant>
      <vt:variant>
        <vt:lpwstr/>
      </vt:variant>
      <vt:variant>
        <vt:i4>9</vt:i4>
      </vt:variant>
      <vt:variant>
        <vt:i4>228</vt:i4>
      </vt:variant>
      <vt:variant>
        <vt:i4>0</vt:i4>
      </vt:variant>
      <vt:variant>
        <vt:i4>5</vt:i4>
      </vt:variant>
      <vt:variant>
        <vt:lpwstr>https://www.ibac.vic.gov.au/node/891</vt:lpwstr>
      </vt:variant>
      <vt:variant>
        <vt:lpwstr/>
      </vt:variant>
      <vt:variant>
        <vt:i4>6619197</vt:i4>
      </vt:variant>
      <vt:variant>
        <vt:i4>222</vt:i4>
      </vt:variant>
      <vt:variant>
        <vt:i4>0</vt:i4>
      </vt:variant>
      <vt:variant>
        <vt:i4>5</vt:i4>
      </vt:variant>
      <vt:variant>
        <vt:lpwstr>https://www.ibac.vic.gov.au/reviews-police-and-public-sector-investigations</vt:lpwstr>
      </vt:variant>
      <vt:variant>
        <vt:lpwstr/>
      </vt:variant>
      <vt:variant>
        <vt:i4>6619197</vt:i4>
      </vt:variant>
      <vt:variant>
        <vt:i4>219</vt:i4>
      </vt:variant>
      <vt:variant>
        <vt:i4>0</vt:i4>
      </vt:variant>
      <vt:variant>
        <vt:i4>5</vt:i4>
      </vt:variant>
      <vt:variant>
        <vt:lpwstr>https://www.ibac.vic.gov.au/reviews-police-and-public-sector-investigations</vt:lpwstr>
      </vt:variant>
      <vt:variant>
        <vt:lpwstr/>
      </vt:variant>
      <vt:variant>
        <vt:i4>589904</vt:i4>
      </vt:variant>
      <vt:variant>
        <vt:i4>207</vt:i4>
      </vt:variant>
      <vt:variant>
        <vt:i4>0</vt:i4>
      </vt:variant>
      <vt:variant>
        <vt:i4>5</vt:i4>
      </vt:variant>
      <vt:variant>
        <vt:lpwstr>https://www.ibac.vic.gov.au/ibac-examinations</vt:lpwstr>
      </vt:variant>
      <vt:variant>
        <vt:lpwstr/>
      </vt:variant>
      <vt:variant>
        <vt:i4>5242975</vt:i4>
      </vt:variant>
      <vt:variant>
        <vt:i4>195</vt:i4>
      </vt:variant>
      <vt:variant>
        <vt:i4>0</vt:i4>
      </vt:variant>
      <vt:variant>
        <vt:i4>5</vt:i4>
      </vt:variant>
      <vt:variant>
        <vt:lpwstr>http://www.ibac.vic.gov.au/who-we-investigate</vt:lpwstr>
      </vt:variant>
      <vt:variant>
        <vt:lpwstr/>
      </vt:variant>
      <vt:variant>
        <vt:i4>5242975</vt:i4>
      </vt:variant>
      <vt:variant>
        <vt:i4>192</vt:i4>
      </vt:variant>
      <vt:variant>
        <vt:i4>0</vt:i4>
      </vt:variant>
      <vt:variant>
        <vt:i4>5</vt:i4>
      </vt:variant>
      <vt:variant>
        <vt:lpwstr>http://www.ibac.vic.gov.au/who-we-investigate</vt:lpwstr>
      </vt:variant>
      <vt:variant>
        <vt:lpwstr/>
      </vt:variant>
      <vt:variant>
        <vt:i4>7929979</vt:i4>
      </vt:variant>
      <vt:variant>
        <vt:i4>174</vt:i4>
      </vt:variant>
      <vt:variant>
        <vt:i4>0</vt:i4>
      </vt:variant>
      <vt:variant>
        <vt:i4>5</vt:i4>
      </vt:variant>
      <vt:variant>
        <vt:lpwstr>http://www.ibac.vic.gov.au/reporting-corruption/what-happens-to-your-complaint</vt:lpwstr>
      </vt:variant>
      <vt:variant>
        <vt:lpwstr/>
      </vt:variant>
      <vt:variant>
        <vt:i4>5308437</vt:i4>
      </vt:variant>
      <vt:variant>
        <vt:i4>162</vt:i4>
      </vt:variant>
      <vt:variant>
        <vt:i4>0</vt:i4>
      </vt:variant>
      <vt:variant>
        <vt:i4>5</vt:i4>
      </vt:variant>
      <vt:variant>
        <vt:lpwstr>http://www.ibac.vic.gov.au/predatory-behaviour-by-police</vt:lpwstr>
      </vt:variant>
      <vt:variant>
        <vt:lpwstr/>
      </vt:variant>
      <vt:variant>
        <vt:i4>7209001</vt:i4>
      </vt:variant>
      <vt:variant>
        <vt:i4>159</vt:i4>
      </vt:variant>
      <vt:variant>
        <vt:i4>0</vt:i4>
      </vt:variant>
      <vt:variant>
        <vt:i4>5</vt:i4>
      </vt:variant>
      <vt:variant>
        <vt:lpwstr>http://www.ibac.vic.gov.au/node/855</vt:lpwstr>
      </vt:variant>
      <vt:variant>
        <vt:lpwstr/>
      </vt:variant>
      <vt:variant>
        <vt:i4>1441798</vt:i4>
      </vt:variant>
      <vt:variant>
        <vt:i4>114</vt:i4>
      </vt:variant>
      <vt:variant>
        <vt:i4>0</vt:i4>
      </vt:variant>
      <vt:variant>
        <vt:i4>5</vt:i4>
      </vt:variant>
      <vt:variant>
        <vt:lpwstr/>
      </vt:variant>
      <vt:variant>
        <vt:lpwstr>_Our_performance</vt:lpwstr>
      </vt:variant>
      <vt:variant>
        <vt:i4>1114162</vt:i4>
      </vt:variant>
      <vt:variant>
        <vt:i4>95</vt:i4>
      </vt:variant>
      <vt:variant>
        <vt:i4>0</vt:i4>
      </vt:variant>
      <vt:variant>
        <vt:i4>5</vt:i4>
      </vt:variant>
      <vt:variant>
        <vt:lpwstr/>
      </vt:variant>
      <vt:variant>
        <vt:lpwstr>_Toc142902190</vt:lpwstr>
      </vt:variant>
      <vt:variant>
        <vt:i4>1048626</vt:i4>
      </vt:variant>
      <vt:variant>
        <vt:i4>89</vt:i4>
      </vt:variant>
      <vt:variant>
        <vt:i4>0</vt:i4>
      </vt:variant>
      <vt:variant>
        <vt:i4>5</vt:i4>
      </vt:variant>
      <vt:variant>
        <vt:lpwstr/>
      </vt:variant>
      <vt:variant>
        <vt:lpwstr>_Toc142902189</vt:lpwstr>
      </vt:variant>
      <vt:variant>
        <vt:i4>1048626</vt:i4>
      </vt:variant>
      <vt:variant>
        <vt:i4>83</vt:i4>
      </vt:variant>
      <vt:variant>
        <vt:i4>0</vt:i4>
      </vt:variant>
      <vt:variant>
        <vt:i4>5</vt:i4>
      </vt:variant>
      <vt:variant>
        <vt:lpwstr/>
      </vt:variant>
      <vt:variant>
        <vt:lpwstr>_Toc142902188</vt:lpwstr>
      </vt:variant>
      <vt:variant>
        <vt:i4>1048626</vt:i4>
      </vt:variant>
      <vt:variant>
        <vt:i4>77</vt:i4>
      </vt:variant>
      <vt:variant>
        <vt:i4>0</vt:i4>
      </vt:variant>
      <vt:variant>
        <vt:i4>5</vt:i4>
      </vt:variant>
      <vt:variant>
        <vt:lpwstr/>
      </vt:variant>
      <vt:variant>
        <vt:lpwstr>_Toc142902187</vt:lpwstr>
      </vt:variant>
      <vt:variant>
        <vt:i4>1048626</vt:i4>
      </vt:variant>
      <vt:variant>
        <vt:i4>71</vt:i4>
      </vt:variant>
      <vt:variant>
        <vt:i4>0</vt:i4>
      </vt:variant>
      <vt:variant>
        <vt:i4>5</vt:i4>
      </vt:variant>
      <vt:variant>
        <vt:lpwstr/>
      </vt:variant>
      <vt:variant>
        <vt:lpwstr>_Toc142902186</vt:lpwstr>
      </vt:variant>
      <vt:variant>
        <vt:i4>1048626</vt:i4>
      </vt:variant>
      <vt:variant>
        <vt:i4>65</vt:i4>
      </vt:variant>
      <vt:variant>
        <vt:i4>0</vt:i4>
      </vt:variant>
      <vt:variant>
        <vt:i4>5</vt:i4>
      </vt:variant>
      <vt:variant>
        <vt:lpwstr/>
      </vt:variant>
      <vt:variant>
        <vt:lpwstr>_Toc142902185</vt:lpwstr>
      </vt:variant>
      <vt:variant>
        <vt:i4>1048626</vt:i4>
      </vt:variant>
      <vt:variant>
        <vt:i4>56</vt:i4>
      </vt:variant>
      <vt:variant>
        <vt:i4>0</vt:i4>
      </vt:variant>
      <vt:variant>
        <vt:i4>5</vt:i4>
      </vt:variant>
      <vt:variant>
        <vt:lpwstr/>
      </vt:variant>
      <vt:variant>
        <vt:lpwstr>_Toc142902184</vt:lpwstr>
      </vt:variant>
      <vt:variant>
        <vt:i4>1048626</vt:i4>
      </vt:variant>
      <vt:variant>
        <vt:i4>50</vt:i4>
      </vt:variant>
      <vt:variant>
        <vt:i4>0</vt:i4>
      </vt:variant>
      <vt:variant>
        <vt:i4>5</vt:i4>
      </vt:variant>
      <vt:variant>
        <vt:lpwstr/>
      </vt:variant>
      <vt:variant>
        <vt:lpwstr>_Toc142902183</vt:lpwstr>
      </vt:variant>
      <vt:variant>
        <vt:i4>1048626</vt:i4>
      </vt:variant>
      <vt:variant>
        <vt:i4>44</vt:i4>
      </vt:variant>
      <vt:variant>
        <vt:i4>0</vt:i4>
      </vt:variant>
      <vt:variant>
        <vt:i4>5</vt:i4>
      </vt:variant>
      <vt:variant>
        <vt:lpwstr/>
      </vt:variant>
      <vt:variant>
        <vt:lpwstr>_Toc142902182</vt:lpwstr>
      </vt:variant>
      <vt:variant>
        <vt:i4>1048626</vt:i4>
      </vt:variant>
      <vt:variant>
        <vt:i4>38</vt:i4>
      </vt:variant>
      <vt:variant>
        <vt:i4>0</vt:i4>
      </vt:variant>
      <vt:variant>
        <vt:i4>5</vt:i4>
      </vt:variant>
      <vt:variant>
        <vt:lpwstr/>
      </vt:variant>
      <vt:variant>
        <vt:lpwstr>_Toc142902181</vt:lpwstr>
      </vt:variant>
      <vt:variant>
        <vt:i4>1048626</vt:i4>
      </vt:variant>
      <vt:variant>
        <vt:i4>32</vt:i4>
      </vt:variant>
      <vt:variant>
        <vt:i4>0</vt:i4>
      </vt:variant>
      <vt:variant>
        <vt:i4>5</vt:i4>
      </vt:variant>
      <vt:variant>
        <vt:lpwstr/>
      </vt:variant>
      <vt:variant>
        <vt:lpwstr>_Toc142902180</vt:lpwstr>
      </vt:variant>
      <vt:variant>
        <vt:i4>2031666</vt:i4>
      </vt:variant>
      <vt:variant>
        <vt:i4>26</vt:i4>
      </vt:variant>
      <vt:variant>
        <vt:i4>0</vt:i4>
      </vt:variant>
      <vt:variant>
        <vt:i4>5</vt:i4>
      </vt:variant>
      <vt:variant>
        <vt:lpwstr/>
      </vt:variant>
      <vt:variant>
        <vt:lpwstr>_Toc142902179</vt:lpwstr>
      </vt:variant>
      <vt:variant>
        <vt:i4>8257588</vt:i4>
      </vt:variant>
      <vt:variant>
        <vt:i4>0</vt:i4>
      </vt:variant>
      <vt:variant>
        <vt:i4>0</vt:i4>
      </vt:variant>
      <vt:variant>
        <vt:i4>5</vt:i4>
      </vt:variant>
      <vt:variant>
        <vt:lpwstr>http://www.ibac.vic.gov.au/</vt:lpwstr>
      </vt:variant>
      <vt:variant>
        <vt:lpwstr/>
      </vt:variant>
      <vt:variant>
        <vt:i4>196715</vt:i4>
      </vt:variant>
      <vt:variant>
        <vt:i4>9</vt:i4>
      </vt:variant>
      <vt:variant>
        <vt:i4>0</vt:i4>
      </vt:variant>
      <vt:variant>
        <vt:i4>5</vt:i4>
      </vt:variant>
      <vt:variant>
        <vt:lpwstr>mailto:Mihail.Vasiliadis@ibac.vic.gov.au</vt:lpwstr>
      </vt:variant>
      <vt:variant>
        <vt:lpwstr/>
      </vt:variant>
      <vt:variant>
        <vt:i4>6029367</vt:i4>
      </vt:variant>
      <vt:variant>
        <vt:i4>6</vt:i4>
      </vt:variant>
      <vt:variant>
        <vt:i4>0</vt:i4>
      </vt:variant>
      <vt:variant>
        <vt:i4>5</vt:i4>
      </vt:variant>
      <vt:variant>
        <vt:lpwstr>C:\Users\tkastanya\OneDrive - Independent Broad-based Anti-corruption Commission\Documents\Annual Report\2022_23\What happens to your complaint _ IBAC.html</vt:lpwstr>
      </vt:variant>
      <vt:variant>
        <vt:lpwstr/>
      </vt:variant>
      <vt:variant>
        <vt:i4>1638502</vt:i4>
      </vt:variant>
      <vt:variant>
        <vt:i4>3</vt:i4>
      </vt:variant>
      <vt:variant>
        <vt:i4>0</vt:i4>
      </vt:variant>
      <vt:variant>
        <vt:i4>5</vt:i4>
      </vt:variant>
      <vt:variant>
        <vt:lpwstr>mailto:tina.kastanya@ibac.vic.gov.au</vt:lpwstr>
      </vt:variant>
      <vt:variant>
        <vt:lpwstr/>
      </vt:variant>
      <vt:variant>
        <vt:i4>5570594</vt:i4>
      </vt:variant>
      <vt:variant>
        <vt:i4>0</vt:i4>
      </vt:variant>
      <vt:variant>
        <vt:i4>0</vt:i4>
      </vt:variant>
      <vt:variant>
        <vt:i4>5</vt:i4>
      </vt:variant>
      <vt:variant>
        <vt:lpwstr>mailto:Fleur.Taylor@ibac.vic.gov.au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IBAC 2022/23 Annual Report</dc:title>
  <dc:subject/>
  <dc:creator>Red Pony (PR)</dc:creator>
  <cp:keywords/>
  <dc:description/>
  <cp:lastModifiedBy>Sam White</cp:lastModifiedBy>
  <cp:revision>2</cp:revision>
  <cp:lastPrinted>2022-09-11T19:23:00Z</cp:lastPrinted>
  <dcterms:created xsi:type="dcterms:W3CDTF">2023-10-30T21:18:00Z</dcterms:created>
  <dcterms:modified xsi:type="dcterms:W3CDTF">2023-10-30T21:18:00Z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0x0101003B57F8EEB2356847B8BEEAB880240D87</vt:lpwstr>
  </property>
  <property fmtid="{D5CDD505-2E9C-101B-9397-08002B2CF9AE}" pid="3" name="MSIP_Label_83d4aa0c-304a-4fa1-90d8-73a5271b2034_Enabled">
    <vt:lpwstr>true</vt:lpwstr>
  </property>
  <property fmtid="{D5CDD505-2E9C-101B-9397-08002B2CF9AE}" pid="4" name="MSIP_Label_83d4aa0c-304a-4fa1-90d8-73a5271b2034_SetDate">
    <vt:lpwstr>2021-05-13T00:55:57Z</vt:lpwstr>
  </property>
  <property fmtid="{D5CDD505-2E9C-101B-9397-08002B2CF9AE}" pid="5" name="MSIP_Label_83d4aa0c-304a-4fa1-90d8-73a5271b2034_Method">
    <vt:lpwstr>Privileged</vt:lpwstr>
  </property>
  <property fmtid="{D5CDD505-2E9C-101B-9397-08002B2CF9AE}" pid="6" name="MSIP_Label_83d4aa0c-304a-4fa1-90d8-73a5271b2034_Name">
    <vt:lpwstr>83d4aa0c-304a-4fa1-90d8-73a5271b2034</vt:lpwstr>
  </property>
  <property fmtid="{D5CDD505-2E9C-101B-9397-08002B2CF9AE}" pid="7" name="MSIP_Label_83d4aa0c-304a-4fa1-90d8-73a5271b2034_SiteId">
    <vt:lpwstr>45f66794-1502-4c21-8ad9-49de3fb517a8</vt:lpwstr>
  </property>
  <property fmtid="{D5CDD505-2E9C-101B-9397-08002B2CF9AE}" pid="8" name="MSIP_Label_83d4aa0c-304a-4fa1-90d8-73a5271b2034_ActionId">
    <vt:lpwstr>a1682799-d66a-4cc7-9458-d85620d3656e</vt:lpwstr>
  </property>
  <property fmtid="{D5CDD505-2E9C-101B-9397-08002B2CF9AE}" pid="9" name="MSIP_Label_83d4aa0c-304a-4fa1-90d8-73a5271b2034_ContentBits">
    <vt:lpwstr>3</vt:lpwstr>
  </property>
  <property fmtid="{D5CDD505-2E9C-101B-9397-08002B2CF9AE}" pid="10" name="TitusGUID">
    <vt:lpwstr>3c55d086-418d-46f8-be85-ca14d789a02a</vt:lpwstr>
  </property>
  <property fmtid="{D5CDD505-2E9C-101B-9397-08002B2CF9AE}" pid="11" name="SEC">
    <vt:lpwstr>No Security Classification Required</vt:lpwstr>
  </property>
  <property fmtid="{D5CDD505-2E9C-101B-9397-08002B2CF9AE}" pid="12" name="MediaServiceImageTags">
    <vt:lpwstr/>
  </property>
  <property fmtid="{D5CDD505-2E9C-101B-9397-08002B2CF9AE}" pid="13" name="ClassificationContentMarkingHeaderShapeIds">
    <vt:lpwstr>29,2a,2b,6af8ac48,139d7a10,1c1db63e,1b39b408,3cd84d4b,72e7ce15,17b3016d,242ea2c7,117e16da,6bccee67,6df0c6b4,5e0ddb45,67287487,7601830f,e62738d,12c605f2,ae5b81f,47b927d6,3aca30db,5238506a,27dfe61f,3da096c7</vt:lpwstr>
  </property>
  <property fmtid="{D5CDD505-2E9C-101B-9397-08002B2CF9AE}" pid="14" name="ClassificationContentMarkingHeaderFontProps">
    <vt:lpwstr>#ff0000,14,Calibri</vt:lpwstr>
  </property>
  <property fmtid="{D5CDD505-2E9C-101B-9397-08002B2CF9AE}" pid="15" name="ClassificationContentMarkingHeaderText">
    <vt:lpwstr>OFFICIAL</vt:lpwstr>
  </property>
  <property fmtid="{D5CDD505-2E9C-101B-9397-08002B2CF9AE}" pid="16" name="_dlc_DocIdItemGuid">
    <vt:lpwstr>b4bd4186-ee3b-4214-b4ae-e6aa036ac45f</vt:lpwstr>
  </property>
  <property fmtid="{D5CDD505-2E9C-101B-9397-08002B2CF9AE}" pid="17" name="ClassificationContentMarkingHeaderShapeIds-1">
    <vt:lpwstr>6f3fc177,66c5f71d,4be53f57,53810440,6e9892a2,d43c7a5,28b22c36,285d7011,745cd275,62d4f352,720d182b,29ec8fe2,20631318,7be8469,f9cd4fa,3d92905c,49368250,26312872,61dd90e5,52dc917b,7622caf0,192a78d4,5ccd2427</vt:lpwstr>
  </property>
  <property fmtid="{D5CDD505-2E9C-101B-9397-08002B2CF9AE}" pid="18" name="ClassificationContentMarkingHeaderShapeIds-2">
    <vt:lpwstr>2e45c1e5,3848adb5,67eb25d7,3bbd0d82,1af7ed19,546b4f21,2fc961f4,7df16aa8,6379d3cb</vt:lpwstr>
  </property>
  <property fmtid="{D5CDD505-2E9C-101B-9397-08002B2CF9AE}" pid="19" name="MSIP_Label_1aece2f9-31a4-4d35-a2d3-b2dbdda9c824_Enabled">
    <vt:lpwstr>true</vt:lpwstr>
  </property>
  <property fmtid="{D5CDD505-2E9C-101B-9397-08002B2CF9AE}" pid="20" name="MSIP_Label_1aece2f9-31a4-4d35-a2d3-b2dbdda9c824_SetDate">
    <vt:lpwstr>2023-10-30T05:18:48Z</vt:lpwstr>
  </property>
  <property fmtid="{D5CDD505-2E9C-101B-9397-08002B2CF9AE}" pid="21" name="MSIP_Label_1aece2f9-31a4-4d35-a2d3-b2dbdda9c824_Method">
    <vt:lpwstr>Privileged</vt:lpwstr>
  </property>
  <property fmtid="{D5CDD505-2E9C-101B-9397-08002B2CF9AE}" pid="22" name="MSIP_Label_1aece2f9-31a4-4d35-a2d3-b2dbdda9c824_Name">
    <vt:lpwstr>OFFICIAL Classification</vt:lpwstr>
  </property>
  <property fmtid="{D5CDD505-2E9C-101B-9397-08002B2CF9AE}" pid="23" name="MSIP_Label_1aece2f9-31a4-4d35-a2d3-b2dbdda9c824_SiteId">
    <vt:lpwstr>7abda911-56f8-4add-861c-0e64682f882b</vt:lpwstr>
  </property>
  <property fmtid="{D5CDD505-2E9C-101B-9397-08002B2CF9AE}" pid="24" name="MSIP_Label_1aece2f9-31a4-4d35-a2d3-b2dbdda9c824_ActionId">
    <vt:lpwstr>e61723bb-43d3-4573-94af-99bfe4bf5304</vt:lpwstr>
  </property>
  <property fmtid="{D5CDD505-2E9C-101B-9397-08002B2CF9AE}" pid="25" name="MSIP_Label_1aece2f9-31a4-4d35-a2d3-b2dbdda9c824_ContentBits">
    <vt:lpwstr>1</vt:lpwstr>
  </property>
</Properties>
</file>